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9"/>
        <w:rPr>
          <w:rFonts w:ascii="方正小标宋简体" w:hAnsi="宋体" w:eastAsia="方正小标宋简体"/>
          <w:color w:val="000000"/>
          <w:sz w:val="72"/>
          <w:szCs w:val="72"/>
        </w:rPr>
      </w:pPr>
      <w:bookmarkStart w:id="1" w:name="_Toc15396597"/>
      <w:bookmarkStart w:id="2" w:name="_Toc15377193"/>
      <w:bookmarkStart w:id="3" w:name="_Toc15377425"/>
      <w:bookmarkStart w:id="4" w:name="_Toc15396475"/>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9"/>
        <w:rPr>
          <w:rFonts w:ascii="方正小标宋简体" w:hAnsi="宋体" w:eastAsia="方正小标宋简体"/>
          <w:color w:val="000000"/>
          <w:sz w:val="72"/>
          <w:szCs w:val="72"/>
        </w:rPr>
      </w:pPr>
      <w:bookmarkStart w:id="6" w:name="_Toc15396598"/>
      <w:bookmarkStart w:id="7" w:name="_Toc15377426"/>
      <w:bookmarkStart w:id="8" w:name="_Toc15396476"/>
      <w:bookmarkStart w:id="9" w:name="_Toc15377194"/>
      <w:bookmarkStart w:id="10" w:name="_Toc15378442"/>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九寨沟县水务局</w:t>
      </w:r>
      <w:r>
        <w:rPr>
          <w:rFonts w:hint="eastAsia" w:ascii="方正小标宋简体" w:hAnsi="宋体" w:eastAsia="方正小标宋简体"/>
          <w:color w:val="000000"/>
          <w:sz w:val="72"/>
          <w:szCs w:val="72"/>
          <w:lang w:val="en-US" w:eastAsia="zh-CN"/>
        </w:rPr>
        <w:t>(水务中心）</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outlineLvl w:val="9"/>
        <w:rPr>
          <w:rFonts w:ascii="方正小标宋简体" w:hAnsi="宋体" w:eastAsia="方正小标宋简体"/>
          <w:color w:val="000000"/>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outlineLvl w:val="9"/>
        <w:rPr>
          <w:rFonts w:ascii="方正小标宋简体" w:hAnsi="宋体" w:eastAsia="方正小标宋简体"/>
          <w:sz w:val="36"/>
          <w:szCs w:val="36"/>
        </w:rPr>
      </w:pPr>
    </w:p>
    <w:p>
      <w:pPr>
        <w:autoSpaceDE w:val="0"/>
        <w:autoSpaceDN w:val="0"/>
        <w:adjustRightInd w:val="0"/>
        <w:ind w:firstLine="1276"/>
        <w:jc w:val="left"/>
        <w:outlineLvl w:val="9"/>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outlineLvl w:val="9"/>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outlineLvl w:val="9"/>
        <w:rPr>
          <w:rFonts w:hint="eastAsia" w:ascii="黑体" w:hAnsi="黑体" w:eastAsia="黑体"/>
          <w:color w:val="000000"/>
          <w:sz w:val="48"/>
          <w:szCs w:val="48"/>
        </w:rPr>
        <w:sectPr>
          <w:headerReference r:id="rId3" w:type="default"/>
          <w:pgSz w:w="11906" w:h="16838"/>
          <w:pgMar w:top="1440" w:right="1800" w:bottom="1440" w:left="1800" w:header="851" w:footer="992" w:gutter="0"/>
          <w:pgNumType w:start="1"/>
          <w:cols w:space="425" w:num="1"/>
          <w:titlePg/>
          <w:docGrid w:type="lines" w:linePitch="312" w:charSpace="0"/>
        </w:sectPr>
      </w:pPr>
    </w:p>
    <w:p>
      <w:pPr>
        <w:widowControl/>
        <w:jc w:val="center"/>
        <w:outlineLvl w:val="9"/>
        <w:rPr>
          <w:rFonts w:ascii="黑体" w:hAnsi="黑体" w:eastAsia="黑体"/>
          <w:color w:val="000000"/>
          <w:sz w:val="48"/>
          <w:szCs w:val="48"/>
        </w:rPr>
      </w:pPr>
      <w:r>
        <w:rPr>
          <w:rFonts w:hint="eastAsia" w:ascii="黑体" w:hAnsi="黑体" w:eastAsia="黑体"/>
          <w:color w:val="000000"/>
          <w:sz w:val="48"/>
          <w:szCs w:val="48"/>
        </w:rPr>
        <w:t>目录</w:t>
      </w:r>
    </w:p>
    <w:p>
      <w:pPr>
        <w:widowControl/>
        <w:jc w:val="both"/>
        <w:outlineLvl w:val="9"/>
        <w:rPr>
          <w:rFonts w:ascii="黑体" w:hAnsi="黑体" w:eastAsia="黑体" w:cstheme="minorBidi"/>
          <w:sz w:val="28"/>
          <w:szCs w:val="28"/>
        </w:rPr>
      </w:pPr>
    </w:p>
    <w:p>
      <w:pPr>
        <w:pStyle w:val="9"/>
        <w:outlineLvl w:val="9"/>
        <w:rPr>
          <w:rFonts w:hint="eastAsia"/>
          <w:sz w:val="21"/>
          <w:szCs w:val="21"/>
        </w:rPr>
      </w:pPr>
      <w:r>
        <w:rPr>
          <w:rFonts w:hint="eastAsia"/>
        </w:rPr>
        <w:t>公开时间：2020年</w:t>
      </w:r>
      <w:r>
        <w:rPr>
          <w:rFonts w:hint="eastAsia"/>
          <w:lang w:val="en-US" w:eastAsia="zh-CN"/>
        </w:rPr>
        <w:t>8</w:t>
      </w:r>
      <w:r>
        <w:rPr>
          <w:rFonts w:hint="eastAsia"/>
        </w:rPr>
        <w:t>月</w:t>
      </w:r>
      <w:r>
        <w:rPr>
          <w:rFonts w:hint="eastAsia"/>
          <w:lang w:val="en-US" w:eastAsia="zh-CN"/>
        </w:rPr>
        <w:t>25</w:t>
      </w:r>
      <w:r>
        <w:rPr>
          <w:rFonts w:hint="eastAsia"/>
        </w:rPr>
        <w:t>日</w:t>
      </w:r>
    </w:p>
    <w:sdt>
      <w:sdtPr>
        <w:rPr>
          <w:rFonts w:ascii="宋体" w:hAnsi="宋体" w:eastAsia="宋体" w:cs="Times New Roman"/>
          <w:kern w:val="2"/>
          <w:sz w:val="21"/>
          <w:szCs w:val="24"/>
          <w:lang w:val="en-US" w:eastAsia="zh-CN" w:bidi="ar-SA"/>
        </w:rPr>
        <w:id w:val="147453351"/>
        <w15:color w:val="DBDBDB"/>
        <w:docPartObj>
          <w:docPartGallery w:val="Table of Contents"/>
          <w:docPartUnique/>
        </w:docPartObj>
      </w:sdtPr>
      <w:sdtEndPr>
        <w:rPr>
          <w:rFonts w:ascii="Times New Roman" w:hAnsi="Times New Roman"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20"/>
            <w:tabs>
              <w:tab w:val="right" w:leader="dot" w:pos="8306"/>
            </w:tabs>
            <w:rPr>
              <w:b/>
            </w:rPr>
          </w:pPr>
          <w:r>
            <w:fldChar w:fldCharType="begin"/>
          </w:r>
          <w:r>
            <w:instrText xml:space="preserve">TOC \o "1-2" \h \u </w:instrText>
          </w:r>
          <w:r>
            <w:fldChar w:fldCharType="separate"/>
          </w:r>
          <w:r>
            <w:rPr>
              <w:b/>
            </w:rPr>
            <w:fldChar w:fldCharType="begin"/>
          </w:r>
          <w:r>
            <w:rPr>
              <w:b/>
            </w:rPr>
            <w:instrText xml:space="preserve"> HYPERLINK \l _Toc24258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_Toc24258 </w:instrText>
          </w:r>
          <w:r>
            <w:rPr>
              <w:b/>
            </w:rPr>
            <w:fldChar w:fldCharType="separate"/>
          </w:r>
          <w:r>
            <w:rPr>
              <w:b/>
            </w:rPr>
            <w:t>1</w:t>
          </w:r>
          <w:r>
            <w:rPr>
              <w:b/>
            </w:rPr>
            <w:fldChar w:fldCharType="end"/>
          </w:r>
          <w:r>
            <w:rPr>
              <w:b/>
            </w:rPr>
            <w:fldChar w:fldCharType="end"/>
          </w:r>
        </w:p>
        <w:p>
          <w:pPr>
            <w:pStyle w:val="21"/>
            <w:tabs>
              <w:tab w:val="right" w:leader="dot" w:pos="8306"/>
            </w:tabs>
          </w:pPr>
          <w:r>
            <w:fldChar w:fldCharType="begin"/>
          </w:r>
          <w:r>
            <w:instrText xml:space="preserve"> HYPERLINK \l _Toc18689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_Toc18689 </w:instrText>
          </w:r>
          <w:r>
            <w:fldChar w:fldCharType="separate"/>
          </w:r>
          <w:r>
            <w:t>1</w:t>
          </w:r>
          <w:r>
            <w:fldChar w:fldCharType="end"/>
          </w:r>
          <w:r>
            <w:fldChar w:fldCharType="end"/>
          </w:r>
        </w:p>
        <w:p>
          <w:pPr>
            <w:pStyle w:val="21"/>
            <w:tabs>
              <w:tab w:val="right" w:leader="dot" w:pos="8306"/>
            </w:tabs>
          </w:pPr>
          <w:r>
            <w:fldChar w:fldCharType="begin"/>
          </w:r>
          <w:r>
            <w:instrText xml:space="preserve"> HYPERLINK \l _Toc21922 </w:instrText>
          </w:r>
          <w:r>
            <w:fldChar w:fldCharType="separate"/>
          </w:r>
          <w:r>
            <w:rPr>
              <w:rFonts w:hint="eastAsia" w:ascii="黑体" w:hAnsi="黑体" w:eastAsia="黑体"/>
              <w:bCs w:val="0"/>
            </w:rPr>
            <w:t xml:space="preserve">二、 </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_Toc21922 </w:instrText>
          </w:r>
          <w:r>
            <w:fldChar w:fldCharType="separate"/>
          </w:r>
          <w:r>
            <w:t>4</w:t>
          </w:r>
          <w:r>
            <w:fldChar w:fldCharType="end"/>
          </w:r>
          <w:r>
            <w:fldChar w:fldCharType="end"/>
          </w:r>
        </w:p>
        <w:p>
          <w:pPr>
            <w:pStyle w:val="21"/>
            <w:tabs>
              <w:tab w:val="right" w:leader="dot" w:pos="8306"/>
            </w:tabs>
          </w:pPr>
          <w:r>
            <w:fldChar w:fldCharType="begin"/>
          </w:r>
          <w:r>
            <w:instrText xml:space="preserve"> HYPERLINK \l _Toc29204 </w:instrText>
          </w:r>
          <w:r>
            <w:fldChar w:fldCharType="separate"/>
          </w:r>
          <w:r>
            <w:rPr>
              <w:rFonts w:hint="eastAsia" w:ascii="仿宋" w:hAnsi="仿宋" w:eastAsia="仿宋" w:cs="仿宋"/>
              <w:bCs w:val="0"/>
              <w:kern w:val="2"/>
              <w:szCs w:val="32"/>
              <w:lang w:val="en-US" w:eastAsia="zh-CN" w:bidi="ar-SA"/>
            </w:rPr>
            <w:t>九寨沟县水务局（简称县水务局）是九寨沟县人民政府工作部门水务局二级预算单位，服务中心。事业场站6个。</w:t>
          </w:r>
          <w:r>
            <w:tab/>
          </w:r>
          <w:r>
            <w:fldChar w:fldCharType="begin"/>
          </w:r>
          <w:r>
            <w:instrText xml:space="preserve"> PAGEREF _Toc29204 </w:instrText>
          </w:r>
          <w:r>
            <w:fldChar w:fldCharType="separate"/>
          </w:r>
          <w:r>
            <w:t>4</w:t>
          </w:r>
          <w:r>
            <w:fldChar w:fldCharType="end"/>
          </w:r>
          <w:r>
            <w:fldChar w:fldCharType="end"/>
          </w:r>
        </w:p>
        <w:p>
          <w:pPr>
            <w:pStyle w:val="20"/>
            <w:tabs>
              <w:tab w:val="right" w:leader="dot" w:pos="8306"/>
            </w:tabs>
            <w:rPr>
              <w:b/>
            </w:rPr>
          </w:pPr>
          <w:r>
            <w:rPr>
              <w:b/>
            </w:rPr>
            <w:fldChar w:fldCharType="begin"/>
          </w:r>
          <w:r>
            <w:rPr>
              <w:b/>
            </w:rPr>
            <w:instrText xml:space="preserve"> HYPERLINK \l _Toc10350 </w:instrText>
          </w:r>
          <w:r>
            <w:rPr>
              <w:b/>
            </w:rPr>
            <w:fldChar w:fldCharType="separate"/>
          </w:r>
          <w:r>
            <w:rPr>
              <w:rFonts w:hint="eastAsia" w:ascii="黑体" w:hAnsi="黑体" w:eastAsia="黑体"/>
              <w:b/>
            </w:rPr>
            <w:t xml:space="preserve">第二部分 </w:t>
          </w:r>
          <w:r>
            <w:rPr>
              <w:rFonts w:hint="eastAsia" w:ascii="黑体" w:hAnsi="黑体" w:eastAsia="黑体"/>
              <w:b/>
              <w:bCs w:val="0"/>
            </w:rPr>
            <w:t>2019年度部门决算情况说明</w:t>
          </w:r>
          <w:r>
            <w:rPr>
              <w:b/>
            </w:rPr>
            <w:tab/>
          </w:r>
          <w:r>
            <w:rPr>
              <w:b/>
            </w:rPr>
            <w:fldChar w:fldCharType="begin"/>
          </w:r>
          <w:r>
            <w:rPr>
              <w:b/>
            </w:rPr>
            <w:instrText xml:space="preserve"> PAGEREF _Toc10350 </w:instrText>
          </w:r>
          <w:r>
            <w:rPr>
              <w:b/>
            </w:rPr>
            <w:fldChar w:fldCharType="separate"/>
          </w:r>
          <w:r>
            <w:rPr>
              <w:b/>
            </w:rPr>
            <w:t>4</w:t>
          </w:r>
          <w:r>
            <w:rPr>
              <w:b/>
            </w:rPr>
            <w:fldChar w:fldCharType="end"/>
          </w:r>
          <w:r>
            <w:rPr>
              <w:b/>
            </w:rPr>
            <w:fldChar w:fldCharType="end"/>
          </w:r>
        </w:p>
        <w:p>
          <w:pPr>
            <w:pStyle w:val="21"/>
            <w:tabs>
              <w:tab w:val="right" w:leader="dot" w:pos="8306"/>
            </w:tabs>
          </w:pPr>
          <w:r>
            <w:fldChar w:fldCharType="begin"/>
          </w:r>
          <w:r>
            <w:instrText xml:space="preserve"> HYPERLINK \l _Toc10812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_Toc10812 </w:instrText>
          </w:r>
          <w:r>
            <w:fldChar w:fldCharType="separate"/>
          </w:r>
          <w:r>
            <w:t>4</w:t>
          </w:r>
          <w:r>
            <w:fldChar w:fldCharType="end"/>
          </w:r>
          <w:r>
            <w:fldChar w:fldCharType="end"/>
          </w:r>
        </w:p>
        <w:p>
          <w:pPr>
            <w:pStyle w:val="21"/>
            <w:tabs>
              <w:tab w:val="right" w:leader="dot" w:pos="8306"/>
            </w:tabs>
          </w:pPr>
          <w:r>
            <w:fldChar w:fldCharType="begin"/>
          </w:r>
          <w:r>
            <w:instrText xml:space="preserve"> HYPERLINK \l _Toc7789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_Toc7789 </w:instrText>
          </w:r>
          <w:r>
            <w:fldChar w:fldCharType="separate"/>
          </w:r>
          <w:r>
            <w:t>5</w:t>
          </w:r>
          <w:r>
            <w:fldChar w:fldCharType="end"/>
          </w:r>
          <w:r>
            <w:fldChar w:fldCharType="end"/>
          </w:r>
        </w:p>
        <w:p>
          <w:pPr>
            <w:pStyle w:val="21"/>
            <w:tabs>
              <w:tab w:val="right" w:leader="dot" w:pos="8306"/>
            </w:tabs>
          </w:pPr>
          <w:r>
            <w:fldChar w:fldCharType="begin"/>
          </w:r>
          <w:r>
            <w:instrText xml:space="preserve"> HYPERLINK \l _Toc23673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_Toc23673 </w:instrText>
          </w:r>
          <w:r>
            <w:fldChar w:fldCharType="separate"/>
          </w:r>
          <w:r>
            <w:t>6</w:t>
          </w:r>
          <w:r>
            <w:fldChar w:fldCharType="end"/>
          </w:r>
          <w:r>
            <w:fldChar w:fldCharType="end"/>
          </w:r>
        </w:p>
        <w:p>
          <w:pPr>
            <w:pStyle w:val="21"/>
            <w:tabs>
              <w:tab w:val="right" w:leader="dot" w:pos="8306"/>
            </w:tabs>
          </w:pPr>
          <w:r>
            <w:fldChar w:fldCharType="begin"/>
          </w:r>
          <w:r>
            <w:instrText xml:space="preserve"> HYPERLINK \l _Toc31785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_Toc31785 </w:instrText>
          </w:r>
          <w:r>
            <w:fldChar w:fldCharType="separate"/>
          </w:r>
          <w:r>
            <w:t>7</w:t>
          </w:r>
          <w:r>
            <w:fldChar w:fldCharType="end"/>
          </w:r>
          <w:r>
            <w:fldChar w:fldCharType="end"/>
          </w:r>
        </w:p>
        <w:p>
          <w:pPr>
            <w:pStyle w:val="21"/>
            <w:tabs>
              <w:tab w:val="right" w:leader="dot" w:pos="8306"/>
            </w:tabs>
          </w:pPr>
          <w:r>
            <w:fldChar w:fldCharType="begin"/>
          </w:r>
          <w:r>
            <w:instrText xml:space="preserve"> HYPERLINK \l _Toc21134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_Toc21134 </w:instrText>
          </w:r>
          <w:r>
            <w:fldChar w:fldCharType="separate"/>
          </w:r>
          <w:r>
            <w:t>8</w:t>
          </w:r>
          <w:r>
            <w:fldChar w:fldCharType="end"/>
          </w:r>
          <w:r>
            <w:fldChar w:fldCharType="end"/>
          </w:r>
        </w:p>
        <w:p>
          <w:pPr>
            <w:pStyle w:val="21"/>
            <w:tabs>
              <w:tab w:val="right" w:leader="dot" w:pos="8306"/>
            </w:tabs>
          </w:pPr>
          <w:r>
            <w:fldChar w:fldCharType="begin"/>
          </w:r>
          <w:r>
            <w:instrText xml:space="preserve"> HYPERLINK \l _Toc9780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_Toc9780 </w:instrText>
          </w:r>
          <w:r>
            <w:fldChar w:fldCharType="separate"/>
          </w:r>
          <w:r>
            <w:t>10</w:t>
          </w:r>
          <w:r>
            <w:fldChar w:fldCharType="end"/>
          </w:r>
          <w:r>
            <w:fldChar w:fldCharType="end"/>
          </w:r>
        </w:p>
        <w:p>
          <w:pPr>
            <w:pStyle w:val="21"/>
            <w:tabs>
              <w:tab w:val="right" w:leader="dot" w:pos="8306"/>
            </w:tabs>
          </w:pPr>
          <w:r>
            <w:fldChar w:fldCharType="begin"/>
          </w:r>
          <w:r>
            <w:instrText xml:space="preserve"> HYPERLINK \l _Toc310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_Toc310 </w:instrText>
          </w:r>
          <w:r>
            <w:fldChar w:fldCharType="separate"/>
          </w:r>
          <w:r>
            <w:t>11</w:t>
          </w:r>
          <w:r>
            <w:fldChar w:fldCharType="end"/>
          </w:r>
          <w:r>
            <w:fldChar w:fldCharType="end"/>
          </w:r>
        </w:p>
        <w:p>
          <w:pPr>
            <w:pStyle w:val="21"/>
            <w:tabs>
              <w:tab w:val="right" w:leader="dot" w:pos="8306"/>
            </w:tabs>
          </w:pPr>
          <w:r>
            <w:fldChar w:fldCharType="begin"/>
          </w:r>
          <w:r>
            <w:instrText xml:space="preserve"> HYPERLINK \l _Toc7939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_Toc7939 </w:instrText>
          </w:r>
          <w:r>
            <w:fldChar w:fldCharType="separate"/>
          </w:r>
          <w:r>
            <w:t>12</w:t>
          </w:r>
          <w:r>
            <w:fldChar w:fldCharType="end"/>
          </w:r>
          <w:r>
            <w:fldChar w:fldCharType="end"/>
          </w:r>
        </w:p>
        <w:p>
          <w:pPr>
            <w:pStyle w:val="21"/>
            <w:tabs>
              <w:tab w:val="right" w:leader="dot" w:pos="8306"/>
            </w:tabs>
          </w:pPr>
          <w:r>
            <w:fldChar w:fldCharType="begin"/>
          </w:r>
          <w:r>
            <w:instrText xml:space="preserve"> HYPERLINK \l _Toc26386 </w:instrText>
          </w:r>
          <w:r>
            <w:fldChar w:fldCharType="separate"/>
          </w:r>
          <w:r>
            <w:rPr>
              <w:rFonts w:hint="eastAsia" w:ascii="黑体" w:hAnsi="黑体" w:eastAsia="黑体"/>
            </w:rPr>
            <w:t>九、 国有资本经营预算支出决算情况说明</w:t>
          </w:r>
          <w:r>
            <w:tab/>
          </w:r>
          <w:r>
            <w:fldChar w:fldCharType="begin"/>
          </w:r>
          <w:r>
            <w:instrText xml:space="preserve"> PAGEREF _Toc26386 </w:instrText>
          </w:r>
          <w:r>
            <w:fldChar w:fldCharType="separate"/>
          </w:r>
          <w:r>
            <w:t>12</w:t>
          </w:r>
          <w:r>
            <w:fldChar w:fldCharType="end"/>
          </w:r>
          <w:r>
            <w:fldChar w:fldCharType="end"/>
          </w:r>
        </w:p>
        <w:p>
          <w:pPr>
            <w:pStyle w:val="21"/>
            <w:tabs>
              <w:tab w:val="right" w:leader="dot" w:pos="8306"/>
            </w:tabs>
          </w:pPr>
          <w:r>
            <w:fldChar w:fldCharType="begin"/>
          </w:r>
          <w:r>
            <w:instrText xml:space="preserve"> HYPERLINK \l _Toc24749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_Toc24749 </w:instrText>
          </w:r>
          <w:r>
            <w:fldChar w:fldCharType="separate"/>
          </w:r>
          <w:r>
            <w:t>12</w:t>
          </w:r>
          <w:r>
            <w:fldChar w:fldCharType="end"/>
          </w:r>
          <w:r>
            <w:fldChar w:fldCharType="end"/>
          </w:r>
        </w:p>
        <w:p>
          <w:pPr>
            <w:pStyle w:val="20"/>
            <w:tabs>
              <w:tab w:val="right" w:leader="dot" w:pos="8306"/>
            </w:tabs>
            <w:rPr>
              <w:b/>
            </w:rPr>
          </w:pPr>
          <w:r>
            <w:rPr>
              <w:b/>
            </w:rPr>
            <w:fldChar w:fldCharType="begin"/>
          </w:r>
          <w:r>
            <w:rPr>
              <w:b/>
            </w:rPr>
            <w:instrText xml:space="preserve"> HYPERLINK \l _Toc7155 </w:instrText>
          </w:r>
          <w:r>
            <w:rPr>
              <w:b/>
            </w:rPr>
            <w:fldChar w:fldCharType="separate"/>
          </w:r>
          <w:r>
            <w:rPr>
              <w:rFonts w:hint="eastAsia" w:ascii="宋体"/>
              <w:b/>
              <w:szCs w:val="44"/>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_Toc7155 </w:instrText>
          </w:r>
          <w:r>
            <w:rPr>
              <w:b/>
            </w:rPr>
            <w:fldChar w:fldCharType="separate"/>
          </w:r>
          <w:r>
            <w:rPr>
              <w:b/>
            </w:rPr>
            <w:t>14</w:t>
          </w:r>
          <w:r>
            <w:rPr>
              <w:b/>
            </w:rPr>
            <w:fldChar w:fldCharType="end"/>
          </w:r>
          <w:r>
            <w:rPr>
              <w:b/>
            </w:rPr>
            <w:fldChar w:fldCharType="end"/>
          </w:r>
        </w:p>
        <w:p>
          <w:pPr>
            <w:pStyle w:val="20"/>
            <w:tabs>
              <w:tab w:val="right" w:leader="dot" w:pos="8306"/>
            </w:tabs>
            <w:rPr>
              <w:b/>
            </w:rPr>
          </w:pPr>
          <w:r>
            <w:rPr>
              <w:b/>
            </w:rPr>
            <w:fldChar w:fldCharType="begin"/>
          </w:r>
          <w:r>
            <w:rPr>
              <w:b/>
            </w:rPr>
            <w:instrText xml:space="preserve"> HYPERLINK \l _Toc22927 </w:instrText>
          </w:r>
          <w:r>
            <w:rPr>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_Toc22927 </w:instrText>
          </w:r>
          <w:r>
            <w:rPr>
              <w:b/>
            </w:rPr>
            <w:fldChar w:fldCharType="separate"/>
          </w:r>
          <w:r>
            <w:rPr>
              <w:b/>
            </w:rPr>
            <w:t>16</w:t>
          </w:r>
          <w:r>
            <w:rPr>
              <w:b/>
            </w:rPr>
            <w:fldChar w:fldCharType="end"/>
          </w:r>
          <w:r>
            <w:rPr>
              <w:b/>
            </w:rPr>
            <w:fldChar w:fldCharType="end"/>
          </w:r>
        </w:p>
        <w:p>
          <w:pPr>
            <w:pStyle w:val="21"/>
            <w:tabs>
              <w:tab w:val="right" w:leader="dot" w:pos="8306"/>
            </w:tabs>
          </w:pPr>
          <w:r>
            <w:fldChar w:fldCharType="begin"/>
          </w:r>
          <w:r>
            <w:instrText xml:space="preserve"> HYPERLINK \l _Toc23393 </w:instrText>
          </w:r>
          <w:r>
            <w:fldChar w:fldCharType="separate"/>
          </w:r>
          <w:r>
            <w:rPr>
              <w:rFonts w:hint="eastAsia" w:ascii="黑体" w:hAnsi="黑体" w:eastAsia="黑体" w:cs="黑体"/>
              <w:szCs w:val="32"/>
            </w:rPr>
            <w:t>附件1</w:t>
          </w:r>
          <w:r>
            <w:tab/>
          </w:r>
          <w:r>
            <w:fldChar w:fldCharType="begin"/>
          </w:r>
          <w:r>
            <w:instrText xml:space="preserve"> PAGEREF _Toc23393 </w:instrText>
          </w:r>
          <w:r>
            <w:fldChar w:fldCharType="separate"/>
          </w:r>
          <w:r>
            <w:t>16</w:t>
          </w:r>
          <w:r>
            <w:fldChar w:fldCharType="end"/>
          </w:r>
          <w:r>
            <w:fldChar w:fldCharType="end"/>
          </w:r>
        </w:p>
        <w:p>
          <w:pPr>
            <w:pStyle w:val="20"/>
            <w:tabs>
              <w:tab w:val="right" w:leader="dot" w:pos="8306"/>
            </w:tabs>
            <w:rPr>
              <w:b/>
            </w:rPr>
          </w:pPr>
          <w:r>
            <w:rPr>
              <w:b/>
            </w:rPr>
            <w:fldChar w:fldCharType="begin"/>
          </w:r>
          <w:r>
            <w:rPr>
              <w:b/>
            </w:rPr>
            <w:instrText xml:space="preserve"> HYPERLINK \l _Toc19237 </w:instrText>
          </w:r>
          <w:r>
            <w:rPr>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_Toc19237 </w:instrText>
          </w:r>
          <w:r>
            <w:rPr>
              <w:b/>
            </w:rPr>
            <w:fldChar w:fldCharType="separate"/>
          </w:r>
          <w:r>
            <w:rPr>
              <w:b/>
            </w:rPr>
            <w:t>20</w:t>
          </w:r>
          <w:r>
            <w:rPr>
              <w:b/>
            </w:rPr>
            <w:fldChar w:fldCharType="end"/>
          </w:r>
          <w:r>
            <w:rPr>
              <w:b/>
            </w:rPr>
            <w:fldChar w:fldCharType="end"/>
          </w:r>
        </w:p>
        <w:p>
          <w:pPr>
            <w:pStyle w:val="21"/>
            <w:tabs>
              <w:tab w:val="right" w:leader="dot" w:pos="8306"/>
            </w:tabs>
          </w:pPr>
          <w:r>
            <w:fldChar w:fldCharType="begin"/>
          </w:r>
          <w:r>
            <w:instrText xml:space="preserve"> HYPERLINK \l _Toc27806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_Toc27806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_Toc1175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_Toc1175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_Toc7022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_Toc7022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_Toc32463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_Toc32463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_Toc20587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_Toc20587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_Toc19982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_Toc19982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_Toc3247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_Toc3247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_Toc15708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_Toc15708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_Toc27673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_Toc27673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_Toc19014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_Toc19014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_Toc10878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_Toc10878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_Toc11211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_Toc11211 </w:instrText>
          </w:r>
          <w:r>
            <w:fldChar w:fldCharType="separate"/>
          </w:r>
          <w:r>
            <w:t>20</w:t>
          </w:r>
          <w:r>
            <w:fldChar w:fldCharType="end"/>
          </w:r>
          <w:r>
            <w:fldChar w:fldCharType="end"/>
          </w:r>
        </w:p>
        <w:p>
          <w:pPr>
            <w:pStyle w:val="21"/>
            <w:tabs>
              <w:tab w:val="right" w:leader="dot" w:pos="8306"/>
            </w:tabs>
          </w:pPr>
          <w:r>
            <w:fldChar w:fldCharType="begin"/>
          </w:r>
          <w:r>
            <w:instrText xml:space="preserve"> HYPERLINK \l _Toc19320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_Toc19320 </w:instrText>
          </w:r>
          <w:r>
            <w:fldChar w:fldCharType="separate"/>
          </w:r>
          <w:r>
            <w:t>20</w:t>
          </w:r>
          <w:r>
            <w:fldChar w:fldCharType="end"/>
          </w:r>
          <w:r>
            <w:fldChar w:fldCharType="end"/>
          </w:r>
        </w:p>
        <w:p>
          <w:pPr>
            <w:spacing w:before="0" w:beforeLines="0" w:after="0" w:afterLines="0" w:line="240" w:lineRule="auto"/>
            <w:ind w:left="0" w:leftChars="0" w:right="0" w:rightChars="0" w:firstLine="0" w:firstLineChars="0"/>
            <w:jc w:val="center"/>
          </w:pPr>
          <w:r>
            <w:rPr>
              <w:b/>
            </w:rPr>
            <w:fldChar w:fldCharType="end"/>
          </w:r>
        </w:p>
      </w:sdtContent>
    </w:sdt>
    <w:p>
      <w:pPr>
        <w:pStyle w:val="4"/>
        <w:jc w:val="center"/>
        <w:rPr>
          <w:rFonts w:hint="eastAsia" w:ascii="黑体" w:hAnsi="黑体" w:eastAsia="黑体"/>
          <w:b w:val="0"/>
        </w:rPr>
        <w:sectPr>
          <w:footerReference r:id="rId5" w:type="first"/>
          <w:footerReference r:id="rId4" w:type="default"/>
          <w:pgSz w:w="11906" w:h="16838"/>
          <w:pgMar w:top="1440" w:right="1800" w:bottom="1440" w:left="1800" w:header="851" w:footer="992" w:gutter="0"/>
          <w:pgNumType w:start="1"/>
          <w:cols w:space="425" w:num="1"/>
          <w:titlePg/>
          <w:docGrid w:type="lines" w:linePitch="312" w:charSpace="0"/>
        </w:sectPr>
      </w:pPr>
      <w:bookmarkStart w:id="12" w:name="_Toc15377196"/>
      <w:bookmarkStart w:id="13" w:name="_Toc15396599"/>
      <w:bookmarkStart w:id="14" w:name="_Toc24534"/>
      <w:bookmarkStart w:id="15" w:name="_Toc24258"/>
    </w:p>
    <w:p>
      <w:pPr>
        <w:pStyle w:val="4"/>
        <w:jc w:val="center"/>
        <w:rPr>
          <w:rFonts w:ascii="黑体" w:eastAsia="黑体"/>
          <w:color w:val="000000"/>
          <w:sz w:val="32"/>
          <w:szCs w:val="32"/>
        </w:rPr>
      </w:pPr>
      <w:r>
        <w:rPr>
          <w:rFonts w:hint="eastAsia" w:ascii="黑体" w:hAnsi="黑体" w:eastAsia="黑体"/>
          <w:b w:val="0"/>
        </w:rPr>
        <w:t xml:space="preserve">第一部分 </w:t>
      </w:r>
      <w:r>
        <w:rPr>
          <w:rStyle w:val="16"/>
          <w:rFonts w:hint="eastAsia" w:ascii="黑体" w:hAnsi="黑体" w:eastAsia="黑体"/>
          <w:b w:val="0"/>
          <w:bCs w:val="0"/>
        </w:rPr>
        <w:t>部门概况</w:t>
      </w:r>
      <w:bookmarkEnd w:id="12"/>
      <w:bookmarkEnd w:id="13"/>
      <w:bookmarkEnd w:id="14"/>
      <w:bookmarkEnd w:id="15"/>
    </w:p>
    <w:p>
      <w:pPr>
        <w:pStyle w:val="5"/>
        <w:rPr>
          <w:rStyle w:val="17"/>
          <w:rFonts w:ascii="仿宋" w:hAnsi="仿宋" w:eastAsia="仿宋"/>
          <w:b w:val="0"/>
          <w:bCs w:val="0"/>
        </w:rPr>
      </w:pPr>
      <w:bookmarkStart w:id="16" w:name="_Toc12897"/>
      <w:bookmarkStart w:id="17" w:name="_Toc15396600"/>
      <w:bookmarkStart w:id="18" w:name="_Toc15377197"/>
      <w:bookmarkStart w:id="19" w:name="_Toc18689"/>
      <w:r>
        <w:rPr>
          <w:rFonts w:hint="eastAsia" w:ascii="黑体" w:hAnsi="黑体" w:eastAsia="黑体"/>
          <w:b w:val="0"/>
          <w:color w:val="000000"/>
        </w:rPr>
        <w:t>一、基</w:t>
      </w:r>
      <w:r>
        <w:rPr>
          <w:rStyle w:val="17"/>
          <w:rFonts w:hint="eastAsia" w:ascii="黑体" w:hAnsi="黑体" w:eastAsia="黑体"/>
          <w:b w:val="0"/>
          <w:bCs w:val="0"/>
        </w:rPr>
        <w:t>本职能及主要工作</w:t>
      </w:r>
      <w:bookmarkEnd w:id="16"/>
      <w:bookmarkEnd w:id="17"/>
      <w:bookmarkEnd w:id="18"/>
      <w:bookmarkEnd w:id="19"/>
    </w:p>
    <w:p>
      <w:pPr>
        <w:autoSpaceDN w:val="0"/>
        <w:spacing w:line="320" w:lineRule="exact"/>
        <w:ind w:firstLine="320" w:firstLineChars="100"/>
        <w:jc w:val="left"/>
        <w:textAlignment w:val="center"/>
        <w:outlineLvl w:val="2"/>
        <w:rPr>
          <w:rFonts w:hint="eastAsia" w:ascii="仿宋" w:hAnsi="仿宋" w:eastAsia="仿宋" w:cs="仿宋"/>
          <w:bCs/>
          <w:color w:val="000000"/>
          <w:sz w:val="32"/>
          <w:szCs w:val="32"/>
        </w:rPr>
      </w:pPr>
      <w:bookmarkStart w:id="20" w:name="_Toc15378445"/>
      <w:bookmarkStart w:id="21" w:name="_Toc15377198"/>
      <w:bookmarkStart w:id="22" w:name="_Toc32071"/>
      <w:r>
        <w:rPr>
          <w:rFonts w:hint="eastAsia" w:ascii="仿宋" w:hAnsi="仿宋" w:eastAsia="仿宋" w:cs="仿宋"/>
          <w:bCs/>
          <w:color w:val="000000"/>
          <w:sz w:val="32"/>
          <w:szCs w:val="32"/>
        </w:rPr>
        <w:t>（一）主要职能。</w:t>
      </w:r>
      <w:bookmarkEnd w:id="20"/>
      <w:bookmarkEnd w:id="21"/>
      <w:bookmarkEnd w:id="22"/>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贯彻执行党和国家有关水利工作方针政策和法律法规，拟订全县水利战略规划和政策，起草有关地方性法规和规章草案，组织编制、审查、申报水利综合规划、专业规划、专项规划。负责保障水资源的合理开发利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2、负责生活、生产经营和生态环境用水的统筹和保障。实施最严格水资源管理制度，实施水资源的统一监督管理。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按规定制定水利工程建设有关制度并组织实施，负责提出水利固定资产投资规模、方向、具体安排建议并组织实施，提出水利资金安排建议并负责项目实施的监督管理，按权限指导和组织编制、审核、申报水利基本建设项目建议书、可行性研究报告和初步设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4、负责水资源管理和保护工作。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5、负责节约用水工作。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6、负责洪水干旱灾害防治。</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7、指导水利设施、水域及其岸线的管理、保护与综合利用。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8、承担全面推行河长制湖长制工作。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9、负责水土保持工作。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10、负责农村水利建设工作。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11、负责落实综合防灾减灾工作。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12、开展水利科技和教育工作。组织开展水利行业质量监督工作。承担水利统计工作。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13、负责职责范围内的水利行业安全生产、职业健康、生态环境保护和审批服务便民化等工作。</w:t>
      </w:r>
    </w:p>
    <w:p>
      <w:pPr>
        <w:pStyle w:val="6"/>
        <w:adjustRightInd w:val="0"/>
        <w:snapToGrid w:val="0"/>
        <w:spacing w:before="93" w:line="600" w:lineRule="exact"/>
        <w:ind w:firstLine="640" w:firstLineChars="200"/>
        <w:outlineLvl w:val="2"/>
        <w:rPr>
          <w:rFonts w:hint="eastAsia" w:ascii="仿宋" w:hAnsi="仿宋" w:eastAsia="仿宋"/>
          <w:bCs/>
          <w:color w:val="000000"/>
          <w:sz w:val="32"/>
          <w:szCs w:val="32"/>
        </w:rPr>
      </w:pPr>
      <w:bookmarkStart w:id="23" w:name="_Toc15377199"/>
      <w:bookmarkStart w:id="24" w:name="_Toc21234"/>
      <w:bookmarkStart w:id="25"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3"/>
      <w:bookmarkEnd w:id="24"/>
      <w:bookmarkEnd w:id="25"/>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firstLine="320" w:firstLineChars="1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1</w:t>
      </w:r>
      <w:r>
        <w:rPr>
          <w:rFonts w:hint="eastAsia" w:ascii="黑体" w:hAnsi="黑体" w:eastAsia="黑体" w:cs="黑体"/>
          <w:b w:val="0"/>
          <w:bCs w:val="0"/>
          <w:sz w:val="32"/>
          <w:szCs w:val="32"/>
          <w:lang w:eastAsia="zh-CN"/>
        </w:rPr>
        <w:t>、全力</w:t>
      </w:r>
      <w:r>
        <w:rPr>
          <w:rFonts w:hint="eastAsia" w:ascii="黑体" w:hAnsi="黑体" w:eastAsia="黑体" w:cs="黑体"/>
          <w:b w:val="0"/>
          <w:bCs w:val="0"/>
          <w:sz w:val="32"/>
          <w:szCs w:val="32"/>
        </w:rPr>
        <w:t>推进灾后重建工作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涉及我县灾后重建水利设施建设项目3个，总投资14747万元，其中：中省专项投资13018万元，州县投资2881万元。一是漳扎、大录灾后重建堤防工程</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计划投资13253万元。目前，累计完成投资12</w:t>
      </w:r>
      <w:r>
        <w:rPr>
          <w:rFonts w:hint="eastAsia" w:ascii="Times New Roman" w:hAnsi="Times New Roman" w:eastAsia="仿宋_GB2312" w:cs="Times New Roman"/>
          <w:sz w:val="32"/>
          <w:szCs w:val="32"/>
          <w:lang w:val="en-US" w:eastAsia="zh-CN"/>
        </w:rPr>
        <w:t>850</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现已基本完工。</w:t>
      </w:r>
      <w:r>
        <w:rPr>
          <w:rFonts w:hint="default" w:ascii="Times New Roman" w:hAnsi="Times New Roman" w:eastAsia="仿宋_GB2312" w:cs="Times New Roman"/>
          <w:sz w:val="32"/>
          <w:szCs w:val="32"/>
          <w:lang w:val="en-US" w:eastAsia="zh-CN"/>
        </w:rPr>
        <w:t>二是九寨沟山洪灾害防治非工程措施建设项目</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项目投资总投资</w:t>
      </w:r>
      <w:r>
        <w:rPr>
          <w:rFonts w:hint="eastAsia" w:ascii="Times New Roman" w:hAnsi="Times New Roman" w:eastAsia="仿宋_GB2312" w:cs="Times New Roman"/>
          <w:sz w:val="32"/>
          <w:szCs w:val="32"/>
          <w:lang w:val="en-US" w:eastAsia="zh-CN"/>
        </w:rPr>
        <w:t>294</w:t>
      </w:r>
      <w:r>
        <w:rPr>
          <w:rFonts w:hint="default" w:ascii="Times New Roman" w:hAnsi="Times New Roman" w:eastAsia="仿宋_GB2312" w:cs="Times New Roman"/>
          <w:sz w:val="32"/>
          <w:szCs w:val="32"/>
          <w:lang w:val="en-US" w:eastAsia="zh-CN"/>
        </w:rPr>
        <w:t>万元，已完成建设任务并竣工验收</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三是水土保持设施恢复重建项目。总投资1200万元。漳扎镇水土保持工程总投资300万元，已全面竣工；小流域水土流失综合治理项目一期</w:t>
      </w:r>
      <w:r>
        <w:rPr>
          <w:rFonts w:hint="eastAsia" w:ascii="Times New Roman" w:hAnsi="Times New Roman" w:eastAsia="仿宋_GB2312" w:cs="Times New Roman"/>
          <w:sz w:val="32"/>
          <w:szCs w:val="32"/>
          <w:lang w:val="en-US" w:eastAsia="zh-CN"/>
        </w:rPr>
        <w:t>620万元</w:t>
      </w:r>
      <w:r>
        <w:rPr>
          <w:rFonts w:hint="default" w:ascii="Times New Roman" w:hAnsi="Times New Roman" w:eastAsia="仿宋_GB2312" w:cs="Times New Roman"/>
          <w:sz w:val="32"/>
          <w:szCs w:val="32"/>
          <w:lang w:val="en-US" w:eastAsia="zh-CN"/>
        </w:rPr>
        <w:t>，已全面竣工；小流域水土流失综合治理项目第二期</w:t>
      </w:r>
      <w:r>
        <w:rPr>
          <w:rFonts w:hint="eastAsia" w:ascii="Times New Roman" w:hAnsi="Times New Roman" w:eastAsia="仿宋_GB2312" w:cs="Times New Roman"/>
          <w:sz w:val="32"/>
          <w:szCs w:val="32"/>
          <w:lang w:val="en-US" w:eastAsia="zh-CN"/>
        </w:rPr>
        <w:t>280万元</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已全面完成建设任务并通过县级验收</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firstLine="320" w:firstLineChars="100"/>
        <w:textAlignment w:val="auto"/>
        <w:outlineLvl w:val="9"/>
        <w:rPr>
          <w:rFonts w:hint="eastAsia" w:ascii="黑体" w:hAnsi="黑体" w:eastAsia="黑体"/>
          <w:sz w:val="32"/>
          <w:szCs w:val="32"/>
        </w:rPr>
      </w:pPr>
      <w:r>
        <w:rPr>
          <w:rFonts w:hint="eastAsia" w:ascii="黑体" w:hAnsi="黑体" w:eastAsia="黑体"/>
          <w:sz w:val="32"/>
          <w:szCs w:val="32"/>
          <w:lang w:val="en-US" w:eastAsia="zh-CN"/>
        </w:rPr>
        <w:t>2</w:t>
      </w:r>
      <w:r>
        <w:rPr>
          <w:rFonts w:hint="eastAsia" w:ascii="黑体" w:hAnsi="黑体" w:eastAsia="黑体"/>
          <w:sz w:val="32"/>
          <w:szCs w:val="32"/>
          <w:lang w:eastAsia="zh-CN"/>
        </w:rPr>
        <w:t>、</w:t>
      </w:r>
      <w:r>
        <w:rPr>
          <w:rFonts w:hint="eastAsia" w:ascii="黑体" w:hAnsi="黑体" w:eastAsia="黑体"/>
          <w:sz w:val="32"/>
          <w:szCs w:val="32"/>
        </w:rPr>
        <w:t>抓好水利基础建设，保障生产生活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outlineLvl w:val="9"/>
        <w:rPr>
          <w:rFonts w:hint="eastAsia"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（1）水利基础设施建设项目。</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val="0"/>
          <w:bCs w:val="0"/>
          <w:sz w:val="32"/>
          <w:szCs w:val="32"/>
        </w:rPr>
        <w:t>县城堤防维修加固</w:t>
      </w:r>
      <w:r>
        <w:rPr>
          <w:rFonts w:hint="eastAsia" w:ascii="仿宋_GB2312" w:hAnsi="仿宋_GB2312" w:eastAsia="仿宋_GB2312" w:cs="仿宋_GB2312"/>
          <w:b w:val="0"/>
          <w:bCs w:val="0"/>
          <w:sz w:val="32"/>
          <w:szCs w:val="32"/>
          <w:lang w:eastAsia="zh-CN"/>
        </w:rPr>
        <w:t>工程，</w:t>
      </w:r>
      <w:r>
        <w:rPr>
          <w:rFonts w:hint="eastAsia" w:ascii="仿宋_GB2312" w:hAnsi="仿宋_GB2312" w:eastAsia="仿宋_GB2312" w:cs="仿宋_GB2312"/>
          <w:b w:val="0"/>
          <w:bCs w:val="0"/>
          <w:sz w:val="32"/>
          <w:szCs w:val="32"/>
        </w:rPr>
        <w:t>总投资1680万元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已完成建设任务</w:t>
      </w:r>
      <w:r>
        <w:rPr>
          <w:rFonts w:hint="eastAsia" w:ascii="仿宋_GB2312" w:hAnsi="仿宋_GB2312" w:eastAsia="仿宋_GB2312" w:cs="仿宋_GB2312"/>
          <w:b w:val="0"/>
          <w:bCs w:val="0"/>
          <w:sz w:val="32"/>
          <w:szCs w:val="32"/>
          <w:lang w:val="en-US" w:eastAsia="zh-CN"/>
        </w:rPr>
        <w:t>并竣工</w:t>
      </w:r>
      <w:r>
        <w:rPr>
          <w:rFonts w:hint="eastAsia" w:ascii="仿宋_GB2312" w:hAnsi="仿宋_GB2312" w:eastAsia="仿宋_GB2312" w:cs="仿宋_GB2312"/>
          <w:b w:val="0"/>
          <w:bCs w:val="0"/>
          <w:sz w:val="32"/>
          <w:szCs w:val="32"/>
        </w:rPr>
        <w:t>验收；</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val="0"/>
          <w:bCs w:val="0"/>
          <w:sz w:val="32"/>
          <w:szCs w:val="32"/>
        </w:rPr>
        <w:t>县城堤防清平市场段应急治理工</w:t>
      </w:r>
      <w:r>
        <w:rPr>
          <w:rFonts w:hint="eastAsia" w:ascii="仿宋_GB2312" w:hAnsi="仿宋_GB2312" w:eastAsia="仿宋_GB2312" w:cs="仿宋_GB2312"/>
          <w:b w:val="0"/>
          <w:bCs w:val="0"/>
          <w:sz w:val="32"/>
          <w:szCs w:val="32"/>
          <w:lang w:eastAsia="zh-CN"/>
        </w:rPr>
        <w:t>程，</w:t>
      </w:r>
      <w:r>
        <w:rPr>
          <w:rFonts w:hint="eastAsia" w:ascii="仿宋_GB2312" w:hAnsi="仿宋_GB2312" w:eastAsia="仿宋_GB2312" w:cs="仿宋_GB2312"/>
          <w:b w:val="0"/>
          <w:bCs w:val="0"/>
          <w:sz w:val="32"/>
          <w:szCs w:val="32"/>
        </w:rPr>
        <w:t>总投资926万元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已完成建设任务</w:t>
      </w:r>
      <w:r>
        <w:rPr>
          <w:rFonts w:hint="eastAsia" w:ascii="仿宋_GB2312" w:hAnsi="仿宋_GB2312" w:eastAsia="仿宋_GB2312" w:cs="仿宋_GB2312"/>
          <w:b w:val="0"/>
          <w:bCs w:val="0"/>
          <w:sz w:val="32"/>
          <w:szCs w:val="32"/>
          <w:lang w:val="en-US" w:eastAsia="zh-CN"/>
        </w:rPr>
        <w:t>并竣工</w:t>
      </w:r>
      <w:r>
        <w:rPr>
          <w:rFonts w:hint="eastAsia" w:ascii="仿宋_GB2312" w:hAnsi="仿宋_GB2312" w:eastAsia="仿宋_GB2312" w:cs="仿宋_GB2312"/>
          <w:b w:val="0"/>
          <w:bCs w:val="0"/>
          <w:sz w:val="32"/>
          <w:szCs w:val="32"/>
        </w:rPr>
        <w:t>验收；</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b w:val="0"/>
          <w:bCs w:val="0"/>
          <w:sz w:val="32"/>
          <w:szCs w:val="32"/>
        </w:rPr>
        <w:t>县城一号桥下游右岸堤防应急抢险工程，总投资400万元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已完成建设任务</w:t>
      </w:r>
      <w:r>
        <w:rPr>
          <w:rFonts w:hint="eastAsia" w:ascii="仿宋_GB2312" w:hAnsi="仿宋_GB2312" w:eastAsia="仿宋_GB2312" w:cs="仿宋_GB2312"/>
          <w:b w:val="0"/>
          <w:bCs w:val="0"/>
          <w:sz w:val="32"/>
          <w:szCs w:val="32"/>
          <w:lang w:val="en-US" w:eastAsia="zh-CN"/>
        </w:rPr>
        <w:t>并竣工</w:t>
      </w:r>
      <w:r>
        <w:rPr>
          <w:rFonts w:hint="eastAsia" w:ascii="仿宋_GB2312" w:hAnsi="仿宋_GB2312" w:eastAsia="仿宋_GB2312" w:cs="仿宋_GB2312"/>
          <w:b w:val="0"/>
          <w:bCs w:val="0"/>
          <w:sz w:val="32"/>
          <w:szCs w:val="32"/>
        </w:rPr>
        <w:t>验收；</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b w:val="0"/>
          <w:bCs w:val="0"/>
          <w:color w:val="000000"/>
          <w:sz w:val="32"/>
          <w:szCs w:val="32"/>
          <w:lang w:val="en-US" w:eastAsia="zh-CN"/>
        </w:rPr>
        <w:t>双河乡汤珠河防洪治理工程，总投资1688万元，项目已竣工验收；</w:t>
      </w:r>
      <w:r>
        <w:rPr>
          <w:rFonts w:hint="eastAsia" w:ascii="仿宋_GB2312" w:hAnsi="仿宋_GB2312" w:eastAsia="仿宋_GB2312" w:cs="仿宋_GB2312"/>
          <w:b/>
          <w:bCs/>
          <w:color w:val="000000"/>
          <w:sz w:val="32"/>
          <w:szCs w:val="32"/>
          <w:lang w:val="en-US" w:eastAsia="zh-CN"/>
        </w:rPr>
        <w:t>五是</w:t>
      </w:r>
      <w:r>
        <w:rPr>
          <w:rFonts w:hint="eastAsia" w:ascii="仿宋_GB2312" w:hAnsi="仿宋_GB2312" w:eastAsia="仿宋_GB2312" w:cs="仿宋_GB2312"/>
          <w:b w:val="0"/>
          <w:bCs w:val="0"/>
          <w:sz w:val="32"/>
          <w:szCs w:val="32"/>
          <w:lang w:val="en-US" w:eastAsia="zh-CN"/>
        </w:rPr>
        <w:t>国家水土保持重点工程九寨沟县城沟小流域项目，总投资256万，已完工，正在组织验收和按照合同约定拨付资金。</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outlineLvl w:val="9"/>
        <w:rPr>
          <w:rFonts w:hint="eastAsia" w:ascii="黑体" w:hAnsi="黑体" w:eastAsia="黑体" w:cs="黑体"/>
          <w:b w:val="0"/>
          <w:bCs w:val="0"/>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水土保持</w:t>
      </w:r>
      <w:r>
        <w:rPr>
          <w:rFonts w:hint="eastAsia" w:ascii="楷体_GB2312" w:hAnsi="楷体_GB2312" w:eastAsia="楷体_GB2312" w:cs="楷体_GB2312"/>
          <w:b/>
          <w:bCs/>
          <w:sz w:val="32"/>
          <w:szCs w:val="32"/>
          <w:lang w:eastAsia="zh-CN"/>
        </w:rPr>
        <w:t>惠民生助生态。</w:t>
      </w:r>
      <w:r>
        <w:rPr>
          <w:rFonts w:hint="eastAsia" w:ascii="仿宋_GB2312" w:hAnsi="仿宋_GB2312" w:eastAsia="仿宋_GB2312" w:cs="仿宋_GB2312"/>
          <w:b w:val="0"/>
          <w:bCs w:val="0"/>
          <w:sz w:val="32"/>
          <w:szCs w:val="32"/>
        </w:rPr>
        <w:t>截止目前，共检查</w:t>
      </w:r>
      <w:r>
        <w:rPr>
          <w:rFonts w:hint="eastAsia" w:ascii="仿宋_GB2312" w:hAnsi="仿宋_GB2312" w:eastAsia="仿宋_GB2312" w:cs="仿宋_GB2312"/>
          <w:b w:val="0"/>
          <w:bCs w:val="0"/>
          <w:sz w:val="32"/>
          <w:szCs w:val="32"/>
          <w:lang w:val="en-US" w:eastAsia="zh-CN"/>
        </w:rPr>
        <w:t>30</w:t>
      </w:r>
      <w:r>
        <w:rPr>
          <w:rFonts w:hint="eastAsia" w:ascii="仿宋_GB2312" w:hAnsi="仿宋_GB2312" w:eastAsia="仿宋_GB2312" w:cs="仿宋_GB2312"/>
          <w:b w:val="0"/>
          <w:bCs w:val="0"/>
          <w:sz w:val="32"/>
          <w:szCs w:val="32"/>
        </w:rPr>
        <w:t>余次，出动车辆</w:t>
      </w:r>
      <w:r>
        <w:rPr>
          <w:rFonts w:hint="eastAsia" w:ascii="仿宋_GB2312" w:hAnsi="仿宋_GB2312" w:eastAsia="仿宋_GB2312" w:cs="仿宋_GB2312"/>
          <w:b w:val="0"/>
          <w:bCs w:val="0"/>
          <w:sz w:val="32"/>
          <w:szCs w:val="32"/>
          <w:lang w:val="en-US" w:eastAsia="zh-CN"/>
        </w:rPr>
        <w:t>30</w:t>
      </w:r>
      <w:r>
        <w:rPr>
          <w:rFonts w:hint="eastAsia" w:ascii="仿宋_GB2312" w:hAnsi="仿宋_GB2312" w:eastAsia="仿宋_GB2312" w:cs="仿宋_GB2312"/>
          <w:b w:val="0"/>
          <w:bCs w:val="0"/>
          <w:sz w:val="32"/>
          <w:szCs w:val="32"/>
        </w:rPr>
        <w:t>台次，人员</w:t>
      </w:r>
      <w:r>
        <w:rPr>
          <w:rFonts w:hint="eastAsia" w:ascii="仿宋_GB2312" w:hAnsi="仿宋_GB2312" w:eastAsia="仿宋_GB2312" w:cs="仿宋_GB2312"/>
          <w:b w:val="0"/>
          <w:bCs w:val="0"/>
          <w:sz w:val="32"/>
          <w:szCs w:val="32"/>
          <w:lang w:val="en-US" w:eastAsia="zh-CN"/>
        </w:rPr>
        <w:t>50</w:t>
      </w:r>
      <w:r>
        <w:rPr>
          <w:rFonts w:hint="eastAsia" w:ascii="仿宋_GB2312" w:hAnsi="仿宋_GB2312" w:eastAsia="仿宋_GB2312" w:cs="仿宋_GB2312"/>
          <w:b w:val="0"/>
          <w:bCs w:val="0"/>
          <w:sz w:val="32"/>
          <w:szCs w:val="32"/>
        </w:rPr>
        <w:t>余人次，</w:t>
      </w:r>
      <w:r>
        <w:rPr>
          <w:rFonts w:hint="eastAsia" w:ascii="仿宋_GB2312" w:hAnsi="仿宋_GB2312" w:eastAsia="仿宋_GB2312" w:cs="仿宋_GB2312"/>
          <w:bCs/>
          <w:snapToGrid w:val="0"/>
          <w:color w:val="auto"/>
          <w:spacing w:val="2"/>
          <w:kern w:val="0"/>
          <w:sz w:val="32"/>
          <w:szCs w:val="32"/>
          <w:lang w:val="en-US" w:eastAsia="zh-CN" w:bidi="ar"/>
        </w:rPr>
        <w:t>下达整改通知书20余份，列出问题清单11处。目前，已整改13起，移交综合行政执法局立案查处1起，对九绵高速7标仁字沟弃渣场“未批先建”，处罚罚金30.45万元。2019年下达水土保持补偿费缴费通知书12份，共征收缴纳836.404万元，县级征收273.47万元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3</w:t>
      </w:r>
      <w:r>
        <w:rPr>
          <w:rFonts w:hint="eastAsia" w:ascii="黑体" w:hAnsi="黑体" w:eastAsia="黑体" w:cs="黑体"/>
          <w:b w:val="0"/>
          <w:bCs w:val="0"/>
          <w:sz w:val="32"/>
          <w:szCs w:val="32"/>
          <w:lang w:eastAsia="zh-CN"/>
        </w:rPr>
        <w:t>、多措并举，扎实推进河长制工作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今年以来，县级河长巡河累计102人次，乡镇河长巡河累计833人次，发现并整改问题208处，整改率达到100%；共组织开展清“四乱”、“扫黑除恶”集中排查30余次，人员439人，排查出涉乱线索41条，已完成整改销号33条，正在整改7条，移送综合执法局处理1条；同时高度重视反馈问题整改，及时建立问题整改四张清单，逗真碰硬完成水利部暗访督察涉及九寨沟7个问题整改。通过全面清查整改，全县河道非法采砂、弃渣乱堆乱占侵占河道现象得到有效遏制，水域生态环境进一步得到改善；按照河长制工作要求，落实生态扶贫河道管护员104名，灾后就业困难公益性岗位46个；我县需划定管理范围的县级河道30条，长度695.5公里，目前已落实资金136万开展县级河流汤珠河、草地沟、中路河共64.5公里河道管理范围划定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textAlignment w:val="auto"/>
        <w:outlineLvl w:val="9"/>
        <w:rPr>
          <w:rFonts w:hint="eastAsia" w:ascii="黑体" w:hAnsi="黑体" w:eastAsia="黑体" w:cs="黑体"/>
          <w:b w:val="0"/>
          <w:bCs w:val="0"/>
          <w:color w:val="auto"/>
          <w:kern w:val="2"/>
          <w:sz w:val="32"/>
          <w:szCs w:val="32"/>
          <w:shd w:val="clear" w:color="auto" w:fill="auto"/>
          <w:lang w:val="en-US" w:eastAsia="zh-CN" w:bidi="ar-SA"/>
        </w:rPr>
      </w:pPr>
      <w:r>
        <w:rPr>
          <w:rFonts w:hint="eastAsia" w:ascii="黑体" w:hAnsi="黑体" w:eastAsia="黑体" w:cs="黑体"/>
          <w:b w:val="0"/>
          <w:bCs w:val="0"/>
          <w:color w:val="auto"/>
          <w:kern w:val="2"/>
          <w:sz w:val="32"/>
          <w:szCs w:val="32"/>
          <w:shd w:val="clear" w:color="auto" w:fill="auto"/>
          <w:lang w:val="en-US" w:eastAsia="zh-CN" w:bidi="ar-SA"/>
        </w:rPr>
        <w:t>4、全面推进水资源管理工作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督促电站业主编制完成17座水电站下泄生态流量“一站一策”整改工作方案（永竹、彭丰两座电站已确定退出并已拆除，未列入下泄生态流量整改），目前15座电站下泄生态流量整改和在线监控监测设施的安装工作已完成，其中14座电站已接入省级信息平台，大录仙湾电站由于网络不通，未接入省级平台，可以实现数据拷贝保存；按照省水利厅工作部署，开展了96个取水工程（设施）的核查登记并入库，所有取水工程（设施）登记信息已全部通过省级复核。</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5、全面推进防汛减灾工作</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outlineLvl w:val="9"/>
        <w:rPr>
          <w:rFonts w:hint="eastAsia" w:ascii="仿宋" w:hAnsi="仿宋" w:eastAsia="仿宋"/>
          <w:bCs/>
          <w:color w:val="000000"/>
          <w:sz w:val="32"/>
          <w:szCs w:val="32"/>
        </w:rPr>
      </w:pPr>
      <w:r>
        <w:rPr>
          <w:rFonts w:hint="default" w:ascii="Times New Roman" w:hAnsi="Times New Roman" w:eastAsia="仿宋_GB2312" w:cs="Times New Roman"/>
          <w:sz w:val="32"/>
          <w:szCs w:val="32"/>
          <w:lang w:val="en-US" w:eastAsia="zh-CN"/>
        </w:rPr>
        <w:t>入汛以来，我县共发生5次强降雨灾害，造成全县共15个乡镇6864人受灾，造成直接经济损失5729.274万元，其中水利设施损失共计1834.3万元。</w:t>
      </w:r>
      <w:r>
        <w:rPr>
          <w:rFonts w:hint="eastAsia" w:ascii="Times New Roman" w:hAnsi="Times New Roman" w:eastAsia="仿宋_GB2312" w:cs="Times New Roman"/>
          <w:sz w:val="32"/>
          <w:szCs w:val="32"/>
          <w:lang w:val="en-US" w:eastAsia="zh-CN"/>
        </w:rPr>
        <w:t>全</w:t>
      </w:r>
      <w:r>
        <w:rPr>
          <w:rFonts w:hint="default" w:ascii="Times New Roman" w:hAnsi="Times New Roman" w:eastAsia="仿宋_GB2312" w:cs="Times New Roman"/>
          <w:sz w:val="32"/>
          <w:szCs w:val="32"/>
          <w:lang w:val="en-US" w:eastAsia="zh-CN"/>
        </w:rPr>
        <w:t>县共投</w:t>
      </w:r>
      <w:r>
        <w:rPr>
          <w:rFonts w:hint="default" w:ascii="仿宋_GB2312" w:hAnsi="仿宋_GB2312" w:eastAsia="仿宋_GB2312" w:cs="仿宋_GB2312"/>
          <w:sz w:val="32"/>
          <w:szCs w:val="32"/>
          <w:lang w:val="en-US" w:eastAsia="zh-CN"/>
        </w:rPr>
        <w:t>入灾情应急抢险人员546人次，大型机械410台班，</w:t>
      </w:r>
      <w:r>
        <w:rPr>
          <w:rFonts w:hint="eastAsia" w:ascii="仿宋_GB2312" w:hAnsi="仿宋_GB2312" w:eastAsia="仿宋_GB2312" w:cs="仿宋_GB2312"/>
          <w:sz w:val="32"/>
          <w:szCs w:val="32"/>
          <w:lang w:val="en-US" w:eastAsia="zh-CN"/>
        </w:rPr>
        <w:t>发放</w:t>
      </w:r>
      <w:r>
        <w:rPr>
          <w:rFonts w:hint="default" w:ascii="仿宋_GB2312" w:hAnsi="仿宋_GB2312" w:eastAsia="仿宋_GB2312" w:cs="仿宋_GB2312"/>
          <w:sz w:val="32"/>
          <w:szCs w:val="32"/>
          <w:lang w:val="en-US" w:eastAsia="zh-CN"/>
        </w:rPr>
        <w:t>编织袋4050条，钢材1.25吨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snapToGrid w:val="0"/>
          <w:color w:val="auto"/>
          <w:spacing w:val="2"/>
          <w:kern w:val="0"/>
          <w:sz w:val="32"/>
          <w:szCs w:val="32"/>
          <w:lang w:val="en-US" w:eastAsia="zh-CN" w:bidi="ar"/>
        </w:rPr>
        <w:t>通过加强组织领导，强化责任落实，加强隐患排查，强化汛期监测预警信息发布和防汛物资储备，建立联动会商机制，建设防治项目，2019年我县防洪度汛、监测预警能力得到进一步提高，及时转移人员，确保了汛期无人员伤亡，有效保障了人民群众生命财产安全。</w:t>
      </w:r>
    </w:p>
    <w:p>
      <w:pPr>
        <w:pStyle w:val="5"/>
        <w:numPr>
          <w:ilvl w:val="0"/>
          <w:numId w:val="1"/>
        </w:numPr>
        <w:rPr>
          <w:rStyle w:val="17"/>
          <w:rFonts w:hint="eastAsia" w:ascii="黑体" w:hAnsi="黑体" w:eastAsia="黑体"/>
          <w:b w:val="0"/>
          <w:bCs w:val="0"/>
        </w:rPr>
      </w:pPr>
      <w:bookmarkStart w:id="26" w:name="_Toc29964"/>
      <w:bookmarkStart w:id="27" w:name="_Toc21922"/>
      <w:bookmarkStart w:id="28" w:name="_Toc15377200"/>
      <w:bookmarkStart w:id="29" w:name="_Toc15396601"/>
      <w:r>
        <w:rPr>
          <w:rFonts w:hint="eastAsia" w:ascii="黑体" w:hAnsi="黑体" w:eastAsia="黑体"/>
          <w:b w:val="0"/>
          <w:color w:val="000000"/>
        </w:rPr>
        <w:t>机</w:t>
      </w:r>
      <w:r>
        <w:rPr>
          <w:rStyle w:val="17"/>
          <w:rFonts w:hint="eastAsia" w:ascii="黑体" w:hAnsi="黑体" w:eastAsia="黑体"/>
          <w:b w:val="0"/>
          <w:bCs w:val="0"/>
        </w:rPr>
        <w:t>构设置</w:t>
      </w:r>
      <w:bookmarkEnd w:id="26"/>
      <w:bookmarkEnd w:id="27"/>
      <w:bookmarkEnd w:id="28"/>
      <w:bookmarkEnd w:id="29"/>
    </w:p>
    <w:p>
      <w:pPr>
        <w:pStyle w:val="5"/>
        <w:numPr>
          <w:ilvl w:val="0"/>
          <w:numId w:val="0"/>
        </w:numPr>
        <w:ind w:firstLine="640" w:firstLineChars="200"/>
        <w:rPr>
          <w:rFonts w:hint="eastAsia" w:ascii="仿宋" w:hAnsi="仿宋" w:eastAsia="仿宋" w:cs="仿宋"/>
          <w:b w:val="0"/>
          <w:bCs w:val="0"/>
          <w:color w:val="auto"/>
          <w:kern w:val="2"/>
          <w:sz w:val="32"/>
          <w:szCs w:val="32"/>
          <w:lang w:val="en-US" w:eastAsia="zh-CN" w:bidi="ar-SA"/>
        </w:rPr>
      </w:pPr>
      <w:bookmarkStart w:id="30" w:name="_Toc29204"/>
      <w:bookmarkStart w:id="31" w:name="_Toc4824"/>
      <w:r>
        <w:rPr>
          <w:rFonts w:hint="eastAsia" w:ascii="仿宋" w:hAnsi="仿宋" w:eastAsia="仿宋" w:cs="仿宋"/>
          <w:b w:val="0"/>
          <w:bCs w:val="0"/>
          <w:color w:val="auto"/>
          <w:kern w:val="2"/>
          <w:sz w:val="32"/>
          <w:szCs w:val="32"/>
          <w:lang w:val="en-US" w:eastAsia="zh-CN" w:bidi="ar-SA"/>
        </w:rPr>
        <w:t>九寨沟县水务局（简称县水务局）是九寨沟县人民政府工作部门水务局二级预算单位，服务中心。事业场站6个。</w:t>
      </w:r>
      <w:bookmarkEnd w:id="30"/>
      <w:bookmarkEnd w:id="31"/>
    </w:p>
    <w:p>
      <w:pPr>
        <w:pStyle w:val="4"/>
        <w:ind w:right="440"/>
        <w:jc w:val="center"/>
      </w:pPr>
      <w:bookmarkStart w:id="32" w:name="_Toc15377204"/>
      <w:bookmarkStart w:id="33" w:name="_Toc15396602"/>
      <w:r>
        <w:rPr>
          <w:rFonts w:hint="eastAsia" w:ascii="黑体" w:hAnsi="黑体" w:eastAsia="黑体"/>
          <w:b w:val="0"/>
          <w:color w:val="000000"/>
          <w:lang w:val="en-US" w:eastAsia="zh-CN"/>
        </w:rPr>
        <w:t xml:space="preserve">  </w:t>
      </w:r>
      <w:bookmarkStart w:id="34" w:name="_Toc9430"/>
      <w:bookmarkStart w:id="35" w:name="_Toc10350"/>
      <w:r>
        <w:rPr>
          <w:rFonts w:hint="eastAsia" w:ascii="黑体" w:hAnsi="黑体" w:eastAsia="黑体"/>
          <w:b w:val="0"/>
          <w:color w:val="000000"/>
        </w:rPr>
        <w:t>第二部分</w:t>
      </w:r>
      <w:r>
        <w:rPr>
          <w:rFonts w:hint="eastAsia" w:ascii="黑体" w:hAnsi="黑体" w:eastAsia="黑体"/>
          <w:color w:val="000000"/>
        </w:rPr>
        <w:t xml:space="preserve"> </w:t>
      </w:r>
      <w:r>
        <w:rPr>
          <w:rStyle w:val="16"/>
          <w:rFonts w:hint="eastAsia" w:ascii="黑体" w:hAnsi="黑体" w:eastAsia="黑体"/>
          <w:b w:val="0"/>
          <w:bCs w:val="0"/>
        </w:rPr>
        <w:t>2019年度部门决算情况说明</w:t>
      </w:r>
      <w:bookmarkEnd w:id="32"/>
      <w:bookmarkEnd w:id="33"/>
      <w:bookmarkEnd w:id="34"/>
      <w:bookmarkEnd w:id="35"/>
    </w:p>
    <w:p>
      <w:pPr>
        <w:pStyle w:val="18"/>
        <w:numPr>
          <w:ilvl w:val="0"/>
          <w:numId w:val="2"/>
        </w:numPr>
        <w:spacing w:line="600" w:lineRule="exact"/>
        <w:ind w:firstLineChars="0"/>
        <w:outlineLvl w:val="1"/>
        <w:rPr>
          <w:rStyle w:val="17"/>
          <w:rFonts w:ascii="黑体" w:hAnsi="黑体" w:eastAsia="黑体"/>
          <w:b w:val="0"/>
        </w:rPr>
      </w:pPr>
      <w:bookmarkStart w:id="36" w:name="_Toc15396603"/>
      <w:bookmarkStart w:id="37" w:name="_Toc15377205"/>
      <w:bookmarkStart w:id="38" w:name="_Toc1449"/>
      <w:bookmarkStart w:id="39" w:name="_Toc10812"/>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36"/>
      <w:bookmarkEnd w:id="37"/>
      <w:bookmarkEnd w:id="38"/>
      <w:bookmarkEnd w:id="39"/>
    </w:p>
    <w:p>
      <w:pPr>
        <w:spacing w:line="600" w:lineRule="exact"/>
        <w:ind w:firstLine="640" w:firstLineChars="200"/>
        <w:outlineLvl w:val="9"/>
        <w:rPr>
          <w:rFonts w:hint="eastAsia" w:ascii="仿宋" w:hAnsi="仿宋" w:eastAsia="仿宋"/>
          <w:color w:val="000000"/>
          <w:sz w:val="32"/>
          <w:szCs w:val="32"/>
          <w:lang w:val="en-US" w:eastAsia="zh-CN"/>
        </w:rPr>
      </w:pPr>
      <w:r>
        <w:rPr>
          <w:rFonts w:hint="eastAsia" w:ascii="仿宋" w:hAnsi="仿宋" w:eastAsia="仿宋" w:cs="仿宋"/>
          <w:b w:val="0"/>
          <w:bCs w:val="0"/>
          <w:color w:val="auto"/>
          <w:sz w:val="32"/>
          <w:szCs w:val="32"/>
          <w:highlight w:val="none"/>
          <w:lang w:val="zh-CN" w:eastAsia="zh-CN"/>
        </w:rPr>
        <w:t>1、</w:t>
      </w:r>
      <w:r>
        <w:rPr>
          <w:rFonts w:hint="eastAsia" w:ascii="仿宋" w:hAnsi="仿宋" w:eastAsia="仿宋" w:cs="仿宋"/>
          <w:b w:val="0"/>
          <w:bCs w:val="0"/>
          <w:color w:val="auto"/>
          <w:sz w:val="32"/>
          <w:szCs w:val="32"/>
          <w:highlight w:val="none"/>
          <w:lang w:val="en-US" w:eastAsia="zh-CN"/>
        </w:rPr>
        <w:t>2019</w:t>
      </w:r>
      <w:r>
        <w:rPr>
          <w:rFonts w:hint="eastAsia" w:ascii="仿宋" w:hAnsi="仿宋" w:eastAsia="仿宋" w:cs="仿宋"/>
          <w:b w:val="0"/>
          <w:bCs w:val="0"/>
          <w:color w:val="auto"/>
          <w:sz w:val="32"/>
          <w:szCs w:val="32"/>
          <w:highlight w:val="none"/>
          <w:lang w:val="zh-CN" w:eastAsia="zh-CN"/>
        </w:rPr>
        <w:t>年财政拨款收入</w:t>
      </w:r>
      <w:r>
        <w:rPr>
          <w:rFonts w:hint="eastAsia" w:ascii="仿宋" w:hAnsi="仿宋" w:eastAsia="仿宋" w:cs="仿宋"/>
          <w:b w:val="0"/>
          <w:bCs w:val="0"/>
          <w:color w:val="auto"/>
          <w:sz w:val="32"/>
          <w:szCs w:val="32"/>
          <w:highlight w:val="none"/>
          <w:lang w:val="en-US" w:eastAsia="zh-CN"/>
        </w:rPr>
        <w:t>137.21万</w:t>
      </w:r>
      <w:r>
        <w:rPr>
          <w:rFonts w:hint="eastAsia" w:ascii="仿宋" w:hAnsi="仿宋" w:eastAsia="仿宋" w:cs="仿宋"/>
          <w:b w:val="0"/>
          <w:bCs w:val="0"/>
          <w:color w:val="auto"/>
          <w:sz w:val="32"/>
          <w:szCs w:val="32"/>
          <w:highlight w:val="none"/>
          <w:lang w:val="zh-CN" w:eastAsia="zh-CN"/>
        </w:rPr>
        <w:t>元</w:t>
      </w:r>
      <w:r>
        <w:rPr>
          <w:rFonts w:hint="eastAsia" w:ascii="仿宋_GB2312" w:hAnsi="仿宋_GB2312" w:eastAsia="仿宋_GB2312" w:cs="仿宋_GB2312"/>
          <w:bCs/>
          <w:color w:val="auto"/>
          <w:sz w:val="28"/>
          <w:szCs w:val="28"/>
          <w:highlight w:val="none"/>
          <w:lang w:val="en-US" w:eastAsia="zh-CN"/>
        </w:rPr>
        <w:t>，</w:t>
      </w:r>
      <w:r>
        <w:rPr>
          <w:rFonts w:hint="eastAsia" w:ascii="仿宋" w:hAnsi="仿宋" w:eastAsia="仿宋" w:cs="仿宋"/>
          <w:color w:val="000000"/>
          <w:sz w:val="32"/>
          <w:szCs w:val="32"/>
          <w:lang w:val="en-US" w:eastAsia="zh-CN"/>
        </w:rPr>
        <w:t>2019年</w:t>
      </w:r>
      <w:r>
        <w:rPr>
          <w:rFonts w:hint="eastAsia" w:ascii="仿宋" w:hAnsi="仿宋" w:eastAsia="仿宋" w:cs="仿宋"/>
          <w:color w:val="000000"/>
          <w:sz w:val="32"/>
          <w:szCs w:val="32"/>
          <w:lang w:val="zh-CN" w:eastAsia="zh-CN"/>
        </w:rPr>
        <w:t>财政拨款支出</w:t>
      </w:r>
      <w:r>
        <w:rPr>
          <w:rFonts w:hint="eastAsia" w:ascii="仿宋" w:hAnsi="仿宋" w:eastAsia="仿宋" w:cs="仿宋"/>
          <w:color w:val="000000"/>
          <w:sz w:val="32"/>
          <w:szCs w:val="32"/>
          <w:lang w:val="en-US" w:eastAsia="zh-CN"/>
        </w:rPr>
        <w:t>137.21万</w:t>
      </w:r>
      <w:r>
        <w:rPr>
          <w:rFonts w:hint="eastAsia" w:ascii="仿宋" w:hAnsi="仿宋" w:eastAsia="仿宋" w:cs="仿宋"/>
          <w:color w:val="000000"/>
          <w:sz w:val="32"/>
          <w:szCs w:val="32"/>
          <w:lang w:val="zh-CN" w:eastAsia="zh-CN"/>
        </w:rPr>
        <w:t>元，</w:t>
      </w:r>
      <w:r>
        <w:rPr>
          <w:rFonts w:hint="eastAsia" w:ascii="仿宋" w:hAnsi="仿宋" w:eastAsia="仿宋"/>
          <w:color w:val="000000"/>
          <w:sz w:val="32"/>
          <w:szCs w:val="32"/>
        </w:rPr>
        <w:t>与2018年相比，收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137.21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机构改革，单位新增。</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ascii="仿宋" w:hAnsi="仿宋" w:eastAsia="仿宋"/>
          <w:color w:val="000000"/>
          <w:kern w:val="0"/>
          <w:sz w:val="32"/>
          <w:szCs w:val="32"/>
        </w:rPr>
      </w:pPr>
    </w:p>
    <w:p>
      <w:pPr>
        <w:outlineLvl w:val="9"/>
      </w:pPr>
      <w:r>
        <w:rPr>
          <w:rFonts w:hint="eastAsia" w:ascii="仿宋" w:hAnsi="仿宋" w:eastAsia="仿宋"/>
          <w:color w:val="000000"/>
          <w:sz w:val="32"/>
          <w:szCs w:val="32"/>
          <w:lang w:val="en-US" w:eastAsia="zh-CN"/>
        </w:rPr>
        <w:drawing>
          <wp:anchor distT="0" distB="0" distL="114300" distR="114300" simplePos="0" relativeHeight="251659264" behindDoc="0" locked="0" layoutInCell="1" allowOverlap="1">
            <wp:simplePos x="0" y="0"/>
            <wp:positionH relativeFrom="column">
              <wp:posOffset>636905</wp:posOffset>
            </wp:positionH>
            <wp:positionV relativeFrom="paragraph">
              <wp:posOffset>241935</wp:posOffset>
            </wp:positionV>
            <wp:extent cx="4629785" cy="2883535"/>
            <wp:effectExtent l="4445" t="4445" r="13970" b="762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9"/>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18"/>
        <w:numPr>
          <w:ilvl w:val="0"/>
          <w:numId w:val="2"/>
        </w:numPr>
        <w:spacing w:line="600" w:lineRule="exact"/>
        <w:ind w:firstLineChars="0"/>
        <w:outlineLvl w:val="1"/>
        <w:rPr>
          <w:rStyle w:val="17"/>
          <w:rFonts w:ascii="黑体" w:hAnsi="黑体" w:eastAsia="黑体"/>
          <w:b w:val="0"/>
        </w:rPr>
      </w:pPr>
      <w:bookmarkStart w:id="40" w:name="_Toc15396604"/>
      <w:bookmarkStart w:id="41" w:name="_Toc15377206"/>
      <w:bookmarkStart w:id="42" w:name="_Toc21500"/>
      <w:bookmarkStart w:id="43" w:name="_Toc7789"/>
      <w:r>
        <w:rPr>
          <w:rFonts w:hint="eastAsia" w:ascii="黑体" w:hAnsi="黑体" w:eastAsia="黑体"/>
          <w:color w:val="000000"/>
          <w:sz w:val="32"/>
          <w:szCs w:val="32"/>
        </w:rPr>
        <w:t>收</w:t>
      </w:r>
      <w:r>
        <w:rPr>
          <w:rStyle w:val="17"/>
          <w:rFonts w:hint="eastAsia" w:ascii="黑体" w:hAnsi="黑体" w:eastAsia="黑体"/>
          <w:b w:val="0"/>
        </w:rPr>
        <w:t>入决算情况说明</w:t>
      </w:r>
      <w:bookmarkEnd w:id="40"/>
      <w:bookmarkEnd w:id="41"/>
      <w:bookmarkEnd w:id="42"/>
      <w:bookmarkEnd w:id="43"/>
    </w:p>
    <w:p>
      <w:pPr>
        <w:spacing w:line="600" w:lineRule="exact"/>
        <w:ind w:firstLine="640" w:firstLineChars="200"/>
        <w:outlineLvl w:val="9"/>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s="仿宋"/>
          <w:b w:val="0"/>
          <w:bCs w:val="0"/>
          <w:color w:val="auto"/>
          <w:sz w:val="32"/>
          <w:szCs w:val="32"/>
          <w:highlight w:val="none"/>
          <w:lang w:val="en-US" w:eastAsia="zh-CN"/>
        </w:rPr>
        <w:t>137.21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137.21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lang w:eastAsia="zh-CN"/>
        </w:rPr>
        <w:t>。</w:t>
      </w:r>
    </w:p>
    <w:p>
      <w:pPr>
        <w:pStyle w:val="2"/>
        <w:ind w:left="0" w:leftChars="0" w:firstLine="0" w:firstLineChars="0"/>
        <w:outlineLvl w:val="9"/>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636270</wp:posOffset>
            </wp:positionH>
            <wp:positionV relativeFrom="paragraph">
              <wp:posOffset>-8890</wp:posOffset>
            </wp:positionV>
            <wp:extent cx="4361815" cy="3238500"/>
            <wp:effectExtent l="4445" t="4445" r="15240"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outlineLvl w:val="9"/>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8"/>
        <w:numPr>
          <w:ilvl w:val="0"/>
          <w:numId w:val="2"/>
        </w:numPr>
        <w:spacing w:line="600" w:lineRule="exact"/>
        <w:ind w:firstLineChars="0"/>
        <w:outlineLvl w:val="1"/>
        <w:rPr>
          <w:rStyle w:val="17"/>
          <w:rFonts w:ascii="黑体" w:hAnsi="黑体" w:eastAsia="黑体"/>
          <w:b w:val="0"/>
        </w:rPr>
      </w:pPr>
      <w:bookmarkStart w:id="44" w:name="_Toc23673"/>
      <w:bookmarkStart w:id="45" w:name="_Toc15396605"/>
      <w:bookmarkStart w:id="46" w:name="_Toc15377207"/>
      <w:bookmarkStart w:id="47" w:name="_Toc14093"/>
      <w:r>
        <w:rPr>
          <w:rFonts w:hint="eastAsia" w:ascii="黑体" w:hAnsi="黑体" w:eastAsia="黑体"/>
          <w:color w:val="000000"/>
          <w:sz w:val="32"/>
          <w:szCs w:val="32"/>
        </w:rPr>
        <w:t>支</w:t>
      </w:r>
      <w:r>
        <w:rPr>
          <w:rStyle w:val="17"/>
          <w:rFonts w:hint="eastAsia" w:ascii="黑体" w:hAnsi="黑体" w:eastAsia="黑体"/>
          <w:b w:val="0"/>
        </w:rPr>
        <w:t>出决算情况说明</w:t>
      </w:r>
      <w:bookmarkEnd w:id="44"/>
      <w:bookmarkEnd w:id="45"/>
      <w:bookmarkEnd w:id="46"/>
      <w:bookmarkEnd w:id="47"/>
    </w:p>
    <w:p>
      <w:pPr>
        <w:spacing w:line="600" w:lineRule="exact"/>
        <w:ind w:firstLine="640" w:firstLineChars="200"/>
        <w:outlineLvl w:val="9"/>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s="仿宋"/>
          <w:color w:val="000000"/>
          <w:sz w:val="32"/>
          <w:szCs w:val="32"/>
          <w:lang w:val="en-US" w:eastAsia="zh-CN"/>
        </w:rPr>
        <w:t>137.21</w:t>
      </w:r>
      <w:r>
        <w:rPr>
          <w:rFonts w:hint="eastAsia" w:ascii="仿宋" w:hAnsi="仿宋" w:eastAsia="仿宋"/>
          <w:color w:val="000000"/>
          <w:sz w:val="32"/>
          <w:szCs w:val="32"/>
        </w:rPr>
        <w:t>万元，其中：</w:t>
      </w:r>
      <w:r>
        <w:rPr>
          <w:rFonts w:hint="eastAsia" w:ascii="仿宋" w:hAnsi="仿宋" w:eastAsia="仿宋" w:cs="仿宋"/>
          <w:color w:val="000000"/>
          <w:sz w:val="32"/>
          <w:szCs w:val="32"/>
          <w:lang w:val="zh-CN" w:eastAsia="zh-CN"/>
        </w:rPr>
        <w:t>其中基本支出</w:t>
      </w:r>
      <w:r>
        <w:rPr>
          <w:rFonts w:hint="eastAsia" w:ascii="仿宋" w:hAnsi="仿宋" w:eastAsia="仿宋" w:cs="仿宋"/>
          <w:color w:val="000000"/>
          <w:sz w:val="32"/>
          <w:szCs w:val="32"/>
          <w:lang w:val="en-US" w:eastAsia="zh-CN"/>
        </w:rPr>
        <w:t>137.21万</w:t>
      </w:r>
      <w:r>
        <w:rPr>
          <w:rFonts w:hint="eastAsia" w:ascii="仿宋" w:hAnsi="仿宋" w:eastAsia="仿宋" w:cs="仿宋"/>
          <w:color w:val="000000"/>
          <w:sz w:val="32"/>
          <w:szCs w:val="32"/>
          <w:lang w:val="zh-CN" w:eastAsia="zh-CN"/>
        </w:rPr>
        <w:t>元，项目支出</w:t>
      </w:r>
      <w:r>
        <w:rPr>
          <w:rFonts w:hint="eastAsia" w:ascii="仿宋" w:hAnsi="仿宋" w:eastAsia="仿宋" w:cs="仿宋"/>
          <w:color w:val="000000"/>
          <w:sz w:val="32"/>
          <w:szCs w:val="32"/>
          <w:lang w:val="en-US" w:eastAsia="zh-CN"/>
        </w:rPr>
        <w:t>0万</w:t>
      </w:r>
      <w:r>
        <w:rPr>
          <w:rFonts w:hint="eastAsia" w:ascii="仿宋" w:hAnsi="仿宋" w:eastAsia="仿宋" w:cs="仿宋"/>
          <w:color w:val="000000"/>
          <w:sz w:val="32"/>
          <w:szCs w:val="32"/>
          <w:lang w:val="zh-CN" w:eastAsia="zh-CN"/>
        </w:rPr>
        <w:t>元，</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keepNext w:val="0"/>
        <w:keepLines w:val="0"/>
        <w:pageBreakBefore w:val="0"/>
        <w:widowControl/>
        <w:kinsoku/>
        <w:wordWrap/>
        <w:overflowPunct/>
        <w:topLinePunct w:val="0"/>
        <w:autoSpaceDE/>
        <w:autoSpaceDN/>
        <w:bidi w:val="0"/>
        <w:spacing w:line="500" w:lineRule="exact"/>
        <w:ind w:firstLine="960" w:firstLineChars="300"/>
        <w:jc w:val="left"/>
        <w:textAlignment w:val="auto"/>
        <w:outlineLvl w:val="9"/>
        <w:rPr>
          <w:rFonts w:hint="eastAsia" w:ascii="仿宋" w:hAnsi="仿宋" w:eastAsia="仿宋" w:cs="仿宋"/>
          <w:color w:val="000000"/>
          <w:sz w:val="32"/>
          <w:szCs w:val="32"/>
          <w:lang w:val="zh-CN" w:eastAsia="zh-CN"/>
        </w:rPr>
      </w:pPr>
    </w:p>
    <w:p>
      <w:pPr>
        <w:pStyle w:val="2"/>
        <w:outlineLvl w:val="9"/>
        <w:rPr>
          <w:rFonts w:hint="eastAsia" w:ascii="仿宋" w:hAnsi="仿宋" w:eastAsia="仿宋" w:cs="仿宋"/>
          <w:color w:val="000000"/>
          <w:sz w:val="32"/>
          <w:szCs w:val="32"/>
          <w:lang w:val="zh-CN" w:eastAsia="zh-CN"/>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488950</wp:posOffset>
            </wp:positionH>
            <wp:positionV relativeFrom="paragraph">
              <wp:posOffset>446405</wp:posOffset>
            </wp:positionV>
            <wp:extent cx="4538980" cy="2663190"/>
            <wp:effectExtent l="4445" t="4445" r="9525" b="1841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9"/>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9"/>
        <w:rPr>
          <w:rFonts w:ascii="仿宋_GB2312" w:eastAsia="仿宋_GB2312"/>
          <w:color w:val="FF0000"/>
          <w:sz w:val="32"/>
          <w:szCs w:val="32"/>
        </w:rPr>
      </w:pPr>
    </w:p>
    <w:p>
      <w:pPr>
        <w:spacing w:line="600" w:lineRule="exact"/>
        <w:ind w:firstLine="640" w:firstLineChars="200"/>
        <w:outlineLvl w:val="1"/>
        <w:rPr>
          <w:rStyle w:val="17"/>
          <w:rFonts w:ascii="黑体" w:hAnsi="黑体" w:eastAsia="黑体"/>
          <w:b w:val="0"/>
        </w:rPr>
      </w:pPr>
      <w:bookmarkStart w:id="48" w:name="_Toc15377208"/>
      <w:bookmarkStart w:id="49" w:name="_Toc31785"/>
      <w:bookmarkStart w:id="50" w:name="_Toc625"/>
      <w:bookmarkStart w:id="51" w:name="_Toc15396606"/>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48"/>
      <w:bookmarkEnd w:id="49"/>
      <w:bookmarkEnd w:id="50"/>
      <w:bookmarkEnd w:id="51"/>
    </w:p>
    <w:p>
      <w:pPr>
        <w:spacing w:line="600" w:lineRule="exact"/>
        <w:ind w:firstLine="640"/>
        <w:outlineLvl w:val="9"/>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val="en-US" w:eastAsia="zh-CN"/>
        </w:rPr>
        <w:t>137.21万元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137.21</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hint="eastAsia" w:ascii="仿宋" w:hAnsi="仿宋" w:eastAsia="仿宋"/>
          <w:color w:val="000000"/>
          <w:sz w:val="32"/>
          <w:szCs w:val="32"/>
          <w:lang w:val="en-US" w:eastAsia="zh-CN"/>
        </w:rPr>
        <w:t>137.21万元，支137.21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机构改革，单位新增。</w:t>
      </w:r>
    </w:p>
    <w:p>
      <w:pPr>
        <w:pStyle w:val="2"/>
        <w:outlineLvl w:val="9"/>
        <w:rPr>
          <w:rFonts w:hint="eastAsia" w:ascii="仿宋" w:hAnsi="仿宋" w:eastAsia="仿宋"/>
          <w:color w:val="000000"/>
          <w:sz w:val="32"/>
          <w:szCs w:val="32"/>
          <w:lang w:val="en-US" w:eastAsia="zh-CN"/>
        </w:rPr>
      </w:pPr>
    </w:p>
    <w:p>
      <w:pPr>
        <w:pStyle w:val="2"/>
        <w:outlineLvl w:val="9"/>
        <w:rPr>
          <w:rFonts w:hint="eastAsia" w:ascii="仿宋" w:hAnsi="仿宋" w:eastAsia="仿宋"/>
          <w:color w:val="000000"/>
          <w:sz w:val="32"/>
          <w:szCs w:val="32"/>
          <w:lang w:val="en-US" w:eastAsia="zh-CN"/>
        </w:rPr>
      </w:pPr>
    </w:p>
    <w:p>
      <w:pPr>
        <w:pStyle w:val="2"/>
        <w:outlineLvl w:val="9"/>
        <w:rPr>
          <w:rFonts w:hint="eastAsia" w:ascii="仿宋" w:hAnsi="仿宋" w:eastAsia="仿宋"/>
          <w:color w:val="000000"/>
          <w:sz w:val="32"/>
          <w:szCs w:val="32"/>
          <w:lang w:val="en-US" w:eastAsia="zh-CN"/>
        </w:rPr>
      </w:pPr>
    </w:p>
    <w:p>
      <w:pPr>
        <w:pStyle w:val="2"/>
        <w:outlineLvl w:val="9"/>
        <w:rPr>
          <w:rFonts w:hint="eastAsia" w:ascii="仿宋" w:hAnsi="仿宋" w:eastAsia="仿宋"/>
          <w:color w:val="000000"/>
          <w:sz w:val="32"/>
          <w:szCs w:val="32"/>
          <w:lang w:val="en-US" w:eastAsia="zh-CN"/>
        </w:rPr>
      </w:pPr>
    </w:p>
    <w:p>
      <w:pPr>
        <w:pStyle w:val="2"/>
        <w:outlineLvl w:val="9"/>
        <w:rPr>
          <w:rFonts w:hint="eastAsia" w:ascii="仿宋" w:hAnsi="仿宋" w:eastAsia="仿宋"/>
          <w:color w:val="000000"/>
          <w:sz w:val="32"/>
          <w:szCs w:val="32"/>
          <w:lang w:val="en-US" w:eastAsia="zh-CN"/>
        </w:rPr>
      </w:pPr>
    </w:p>
    <w:p>
      <w:pPr>
        <w:pStyle w:val="2"/>
        <w:outlineLvl w:val="9"/>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299720</wp:posOffset>
            </wp:positionH>
            <wp:positionV relativeFrom="paragraph">
              <wp:posOffset>137795</wp:posOffset>
            </wp:positionV>
            <wp:extent cx="4903470" cy="3235960"/>
            <wp:effectExtent l="5080" t="4445" r="635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9"/>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17"/>
          <w:rFonts w:ascii="黑体" w:hAnsi="黑体" w:eastAsia="黑体"/>
          <w:b w:val="0"/>
        </w:rPr>
      </w:pPr>
      <w:bookmarkStart w:id="52" w:name="_Toc15377209"/>
      <w:bookmarkStart w:id="53" w:name="_Toc15396607"/>
      <w:bookmarkStart w:id="54" w:name="_Toc26220"/>
      <w:bookmarkStart w:id="55" w:name="_Toc2113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15377210"/>
      <w:bookmarkStart w:id="57" w:name="_Toc15412"/>
      <w:r>
        <w:rPr>
          <w:rFonts w:hint="eastAsia" w:ascii="仿宋" w:hAnsi="仿宋" w:eastAsia="仿宋"/>
          <w:b/>
          <w:color w:val="000000"/>
          <w:sz w:val="32"/>
          <w:szCs w:val="32"/>
        </w:rPr>
        <w:t>（一）一般公共预算财政拨款支出决算总体情况</w:t>
      </w:r>
      <w:bookmarkEnd w:id="56"/>
      <w:bookmarkEnd w:id="57"/>
    </w:p>
    <w:p>
      <w:pPr>
        <w:spacing w:line="600" w:lineRule="exact"/>
        <w:ind w:firstLine="640" w:firstLineChars="200"/>
        <w:outlineLvl w:val="9"/>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137.21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137.21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机构改革，单位新增。</w:t>
      </w:r>
    </w:p>
    <w:p>
      <w:pPr>
        <w:spacing w:line="600" w:lineRule="exact"/>
        <w:ind w:firstLine="640" w:firstLineChars="200"/>
        <w:outlineLvl w:val="9"/>
        <w:rPr>
          <w:rFonts w:hint="eastAsia" w:ascii="仿宋" w:hAnsi="仿宋" w:eastAsia="仿宋"/>
          <w:color w:val="000000"/>
          <w:sz w:val="32"/>
          <w:szCs w:val="32"/>
          <w:lang w:val="en-US" w:eastAsia="zh-CN"/>
        </w:rPr>
      </w:pPr>
    </w:p>
    <w:p>
      <w:pPr>
        <w:pStyle w:val="2"/>
        <w:outlineLvl w:val="9"/>
        <w:rPr>
          <w:rFonts w:hint="eastAsia" w:ascii="仿宋" w:hAnsi="仿宋" w:eastAsia="仿宋"/>
          <w:color w:val="000000"/>
          <w:sz w:val="32"/>
          <w:szCs w:val="32"/>
          <w:lang w:val="en-US" w:eastAsia="zh-CN"/>
        </w:rPr>
      </w:pPr>
    </w:p>
    <w:p>
      <w:pPr>
        <w:pStyle w:val="2"/>
        <w:ind w:left="0" w:leftChars="0" w:firstLine="0" w:firstLineChars="0"/>
        <w:outlineLvl w:val="9"/>
        <w:rPr>
          <w:rFonts w:hint="eastAsia" w:ascii="仿宋" w:hAnsi="仿宋" w:eastAsia="仿宋"/>
          <w:color w:val="000000"/>
          <w:sz w:val="32"/>
          <w:szCs w:val="32"/>
          <w:lang w:val="en-US" w:eastAsia="zh-CN"/>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5408" behindDoc="0" locked="0" layoutInCell="1" allowOverlap="1">
            <wp:simplePos x="0" y="0"/>
            <wp:positionH relativeFrom="column">
              <wp:posOffset>367665</wp:posOffset>
            </wp:positionH>
            <wp:positionV relativeFrom="paragraph">
              <wp:posOffset>363220</wp:posOffset>
            </wp:positionV>
            <wp:extent cx="4585335" cy="2724785"/>
            <wp:effectExtent l="4445" t="4445" r="20320" b="1397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outlineLvl w:val="9"/>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58" w:name="_Toc31007"/>
      <w:bookmarkStart w:id="59" w:name="_Toc15377211"/>
      <w:r>
        <w:rPr>
          <w:rFonts w:hint="eastAsia" w:ascii="仿宋" w:hAnsi="仿宋" w:eastAsia="仿宋"/>
          <w:b/>
          <w:color w:val="000000"/>
          <w:sz w:val="32"/>
          <w:szCs w:val="32"/>
        </w:rPr>
        <w:t>（二）一般公共预算财政拨款支出决算结构情况</w:t>
      </w:r>
      <w:bookmarkEnd w:id="58"/>
      <w:bookmarkEnd w:id="59"/>
    </w:p>
    <w:p>
      <w:pPr>
        <w:spacing w:line="600" w:lineRule="exact"/>
        <w:ind w:firstLine="640"/>
        <w:outlineLvl w:val="9"/>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137.21</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14.06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农林水支出</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213</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支</w:t>
      </w:r>
      <w:r>
        <w:rPr>
          <w:rFonts w:hint="eastAsia" w:ascii="仿宋" w:hAnsi="仿宋" w:eastAsia="仿宋" w:cs="Times New Roman"/>
          <w:color w:val="000000" w:themeColor="text1"/>
          <w:sz w:val="32"/>
          <w:szCs w:val="32"/>
          <w14:textFill>
            <w14:solidFill>
              <w14:schemeClr w14:val="tx1"/>
            </w14:solidFill>
          </w14:textFill>
        </w:rPr>
        <w:t>出</w:t>
      </w:r>
      <w:r>
        <w:rPr>
          <w:rFonts w:hint="eastAsia" w:ascii="仿宋" w:hAnsi="仿宋" w:eastAsia="仿宋" w:cs="Times New Roman"/>
          <w:color w:val="000000" w:themeColor="text1"/>
          <w:sz w:val="32"/>
          <w:szCs w:val="32"/>
          <w:lang w:val="en-US" w:eastAsia="zh-CN"/>
          <w14:textFill>
            <w14:solidFill>
              <w14:schemeClr w14:val="tx1"/>
            </w14:solidFill>
          </w14:textFill>
        </w:rPr>
        <w:t>113.15</w:t>
      </w:r>
      <w:r>
        <w:rPr>
          <w:rFonts w:hint="eastAsia" w:ascii="仿宋" w:hAnsi="仿宋" w:eastAsia="仿宋"/>
          <w:b/>
          <w:bCs/>
          <w:color w:val="000000" w:themeColor="text1"/>
          <w:sz w:val="32"/>
          <w:szCs w:val="32"/>
          <w14:textFill>
            <w14:solidFill>
              <w14:schemeClr w14:val="tx1"/>
            </w14:solidFill>
          </w14:textFill>
        </w:rPr>
        <w:t>万元，占</w:t>
      </w:r>
      <w:r>
        <w:rPr>
          <w:rFonts w:hint="eastAsia" w:ascii="仿宋" w:hAnsi="仿宋" w:eastAsia="仿宋"/>
          <w:b/>
          <w:bCs/>
          <w:color w:val="000000" w:themeColor="text1"/>
          <w:sz w:val="32"/>
          <w:szCs w:val="32"/>
          <w:lang w:val="en-US" w:eastAsia="zh-CN"/>
          <w14:textFill>
            <w14:solidFill>
              <w14:schemeClr w14:val="tx1"/>
            </w14:solidFill>
          </w14:textFill>
        </w:rPr>
        <w:t>82.46</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221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7.28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pStyle w:val="2"/>
        <w:outlineLvl w:val="9"/>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6432" behindDoc="0" locked="0" layoutInCell="1" allowOverlap="1">
            <wp:simplePos x="0" y="0"/>
            <wp:positionH relativeFrom="column">
              <wp:posOffset>913765</wp:posOffset>
            </wp:positionH>
            <wp:positionV relativeFrom="paragraph">
              <wp:posOffset>423545</wp:posOffset>
            </wp:positionV>
            <wp:extent cx="4276090" cy="2301240"/>
            <wp:effectExtent l="5080" t="5080" r="5080" b="1778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firstLineChars="200"/>
        <w:outlineLvl w:val="9"/>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outlineLvl w:val="9"/>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0" w:name="_Toc15377212"/>
      <w:bookmarkStart w:id="61" w:name="_Toc32072"/>
      <w:r>
        <w:rPr>
          <w:rFonts w:hint="eastAsia" w:ascii="仿宋" w:hAnsi="仿宋" w:eastAsia="仿宋"/>
          <w:b/>
          <w:color w:val="000000"/>
          <w:sz w:val="32"/>
          <w:szCs w:val="32"/>
        </w:rPr>
        <w:t>（三）一般公共预算财政拨款支出决算具体情况</w:t>
      </w:r>
      <w:bookmarkEnd w:id="60"/>
      <w:bookmarkEnd w:id="61"/>
    </w:p>
    <w:p>
      <w:pPr>
        <w:spacing w:line="600" w:lineRule="exact"/>
        <w:ind w:firstLine="643" w:firstLineChars="200"/>
        <w:outlineLvl w:val="9"/>
        <w:rPr>
          <w:rFonts w:ascii="仿宋" w:hAnsi="仿宋" w:eastAsia="仿宋"/>
          <w:color w:val="FF0000"/>
          <w:sz w:val="32"/>
          <w:szCs w:val="32"/>
        </w:rPr>
      </w:pPr>
      <w:bookmarkStart w:id="62" w:name="_Toc15377444"/>
      <w:bookmarkStart w:id="63" w:name="_Toc15377213"/>
      <w:bookmarkStart w:id="64" w:name="_Toc15378460"/>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137.21万元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62"/>
      <w:bookmarkEnd w:id="63"/>
      <w:bookmarkEnd w:id="64"/>
    </w:p>
    <w:p>
      <w:pPr>
        <w:spacing w:line="600" w:lineRule="exact"/>
        <w:ind w:firstLine="640"/>
        <w:outlineLvl w:val="9"/>
        <w:rPr>
          <w:rFonts w:hint="eastAsia" w:ascii="仿宋" w:hAnsi="仿宋" w:eastAsia="仿宋"/>
          <w:b/>
          <w:color w:val="000000"/>
          <w:sz w:val="32"/>
          <w:szCs w:val="32"/>
          <w:lang w:eastAsia="zh-CN"/>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机关事业单位基本养老保险缴费支出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14.06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spacing w:line="600" w:lineRule="exact"/>
        <w:ind w:firstLine="643" w:firstLineChars="200"/>
        <w:outlineLvl w:val="9"/>
        <w:rPr>
          <w:rStyle w:val="14"/>
          <w:rFonts w:hint="eastAsia" w:ascii="仿宋" w:hAnsi="仿宋" w:eastAsia="仿宋"/>
          <w:b w:val="0"/>
          <w:bCs/>
          <w:color w:val="000000"/>
          <w:sz w:val="32"/>
          <w:szCs w:val="32"/>
          <w:lang w:eastAsia="zh-CN"/>
        </w:rPr>
      </w:pPr>
      <w:r>
        <w:rPr>
          <w:rStyle w:val="14"/>
          <w:rFonts w:hint="eastAsia" w:ascii="仿宋" w:hAnsi="仿宋" w:eastAsia="仿宋"/>
          <w:bCs/>
          <w:color w:val="000000"/>
          <w:sz w:val="32"/>
          <w:szCs w:val="32"/>
          <w:lang w:val="en-US" w:eastAsia="zh-CN"/>
        </w:rPr>
        <w:t>2</w:t>
      </w:r>
      <w:r>
        <w:rPr>
          <w:rStyle w:val="14"/>
          <w:rFonts w:ascii="仿宋" w:hAnsi="仿宋" w:eastAsia="仿宋"/>
          <w:bCs/>
          <w:color w:val="000000"/>
          <w:sz w:val="32"/>
          <w:szCs w:val="32"/>
        </w:rPr>
        <w:t>.</w:t>
      </w:r>
      <w:r>
        <w:rPr>
          <w:rFonts w:hint="eastAsia" w:ascii="仿宋" w:hAnsi="仿宋" w:eastAsia="仿宋"/>
          <w:b/>
          <w:bCs/>
          <w:color w:val="000000" w:themeColor="text1"/>
          <w:sz w:val="32"/>
          <w:szCs w:val="32"/>
          <w:lang w:val="en-US" w:eastAsia="zh-CN"/>
          <w14:textFill>
            <w14:solidFill>
              <w14:schemeClr w14:val="tx1"/>
            </w14:solidFill>
          </w14:textFill>
        </w:rPr>
        <w:t>农林水支出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213</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eastAsia="zh-CN"/>
        </w:rPr>
        <w:t>水利</w:t>
      </w:r>
      <w:r>
        <w:rPr>
          <w:rFonts w:hint="eastAsia" w:ascii="仿宋" w:hAnsi="仿宋" w:eastAsia="仿宋"/>
          <w:b/>
          <w:bCs/>
          <w:color w:val="000000" w:themeColor="text1"/>
          <w:sz w:val="32"/>
          <w:szCs w:val="32"/>
          <w:lang w:val="en-US" w:eastAsia="zh-CN"/>
          <w14:textFill>
            <w14:solidFill>
              <w14:schemeClr w14:val="tx1"/>
            </w14:solidFill>
          </w14:textFill>
        </w:rPr>
        <w:t>（03）其他水利支出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113.15</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spacing w:line="600" w:lineRule="exact"/>
        <w:ind w:firstLine="643" w:firstLineChars="200"/>
        <w:outlineLvl w:val="9"/>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Fonts w:hint="eastAsia" w:ascii="仿宋" w:hAnsi="仿宋" w:eastAsia="仿宋"/>
          <w:b/>
          <w:bCs/>
          <w:color w:val="000000" w:themeColor="text1"/>
          <w:sz w:val="32"/>
          <w:szCs w:val="32"/>
          <w:lang w:val="en-US" w:eastAsia="zh-CN"/>
          <w14:textFill>
            <w14:solidFill>
              <w14:schemeClr w14:val="tx1"/>
            </w14:solidFill>
          </w14:textFill>
        </w:rPr>
        <w:t>住房保障支出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221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eastAsia="zh-CN"/>
        </w:rPr>
        <w:t>住房改革支出</w:t>
      </w:r>
      <w:r>
        <w:rPr>
          <w:rFonts w:hint="eastAsia" w:ascii="仿宋" w:hAnsi="仿宋" w:eastAsia="仿宋"/>
          <w:b/>
          <w:bCs/>
          <w:color w:val="000000" w:themeColor="text1"/>
          <w:sz w:val="32"/>
          <w:szCs w:val="32"/>
          <w:lang w:val="en-US" w:eastAsia="zh-CN"/>
          <w14:textFill>
            <w14:solidFill>
              <w14:schemeClr w14:val="tx1"/>
            </w14:solidFill>
          </w14:textFill>
        </w:rPr>
        <w:t>（02）</w:t>
      </w:r>
      <w:r>
        <w:rPr>
          <w:rStyle w:val="14"/>
          <w:rFonts w:hint="eastAsia" w:ascii="仿宋" w:hAnsi="仿宋" w:eastAsia="仿宋"/>
          <w:bCs/>
          <w:color w:val="000000"/>
          <w:sz w:val="32"/>
          <w:szCs w:val="32"/>
          <w:lang w:eastAsia="zh-CN"/>
        </w:rPr>
        <w:t>住房公积金</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17"/>
        </w:rPr>
      </w:pPr>
      <w:bookmarkStart w:id="65" w:name="_Toc15396608"/>
      <w:bookmarkStart w:id="66" w:name="_Toc15377214"/>
      <w:bookmarkStart w:id="67" w:name="_Toc7933"/>
      <w:bookmarkStart w:id="68" w:name="_Toc9780"/>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65"/>
      <w:bookmarkEnd w:id="66"/>
      <w:bookmarkEnd w:id="67"/>
      <w:bookmarkEnd w:id="68"/>
      <w:r>
        <w:rPr>
          <w:rStyle w:val="17"/>
          <w:rFonts w:ascii="黑体" w:hAnsi="黑体" w:eastAsia="黑体"/>
          <w:b w:val="0"/>
        </w:rPr>
        <w:tab/>
      </w:r>
    </w:p>
    <w:p>
      <w:pPr>
        <w:spacing w:line="600" w:lineRule="exact"/>
        <w:ind w:firstLine="645"/>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137.21</w:t>
      </w:r>
      <w:r>
        <w:rPr>
          <w:rFonts w:hint="eastAsia" w:ascii="仿宋" w:hAnsi="仿宋" w:eastAsia="仿宋"/>
          <w:color w:val="000000"/>
          <w:sz w:val="32"/>
          <w:szCs w:val="32"/>
        </w:rPr>
        <w:t>万元，其中：</w:t>
      </w:r>
    </w:p>
    <w:p>
      <w:pPr>
        <w:spacing w:line="600" w:lineRule="exact"/>
        <w:ind w:firstLine="645"/>
        <w:outlineLvl w:val="9"/>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137.21</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7"/>
          <w:rFonts w:ascii="黑体" w:hAnsi="黑体" w:eastAsia="黑体"/>
          <w:b w:val="0"/>
        </w:rPr>
      </w:pPr>
      <w:bookmarkStart w:id="69" w:name="_Toc15396609"/>
      <w:bookmarkStart w:id="70" w:name="_Toc15377215"/>
      <w:bookmarkStart w:id="71" w:name="_Toc21122"/>
      <w:bookmarkStart w:id="72" w:name="_Toc310"/>
      <w:r>
        <w:rPr>
          <w:rFonts w:hint="eastAsia" w:ascii="黑体" w:eastAsia="黑体"/>
          <w:color w:val="000000"/>
          <w:sz w:val="32"/>
          <w:szCs w:val="32"/>
        </w:rPr>
        <w:t>七、</w:t>
      </w:r>
      <w:r>
        <w:rPr>
          <w:rStyle w:val="17"/>
          <w:rFonts w:hint="eastAsia" w:ascii="黑体" w:hAnsi="黑体" w:eastAsia="黑体"/>
        </w:rPr>
        <w:t>“</w:t>
      </w:r>
      <w:r>
        <w:rPr>
          <w:rStyle w:val="17"/>
          <w:rFonts w:hint="eastAsia" w:ascii="黑体" w:hAnsi="黑体" w:eastAsia="黑体"/>
          <w:b w:val="0"/>
        </w:rPr>
        <w:t>三公”经费财政拨款支出决算情况说明</w:t>
      </w:r>
      <w:bookmarkEnd w:id="69"/>
      <w:bookmarkEnd w:id="70"/>
      <w:bookmarkEnd w:id="71"/>
      <w:bookmarkEnd w:id="72"/>
    </w:p>
    <w:p>
      <w:pPr>
        <w:spacing w:line="600" w:lineRule="exact"/>
        <w:ind w:firstLine="640"/>
        <w:outlineLvl w:val="2"/>
        <w:rPr>
          <w:rFonts w:ascii="仿宋" w:hAnsi="仿宋" w:eastAsia="仿宋"/>
          <w:b/>
          <w:color w:val="000000"/>
          <w:sz w:val="32"/>
          <w:szCs w:val="32"/>
        </w:rPr>
      </w:pPr>
      <w:bookmarkStart w:id="73" w:name="_Toc15377216"/>
      <w:bookmarkStart w:id="74" w:name="_Toc17531"/>
      <w:r>
        <w:rPr>
          <w:rFonts w:hint="eastAsia" w:ascii="仿宋" w:hAnsi="仿宋" w:eastAsia="仿宋"/>
          <w:b/>
          <w:color w:val="000000"/>
          <w:sz w:val="32"/>
          <w:szCs w:val="32"/>
        </w:rPr>
        <w:t>（一）“三公”经费财政拨款支出决算总体情况说明</w:t>
      </w:r>
      <w:bookmarkEnd w:id="73"/>
      <w:bookmarkEnd w:id="74"/>
    </w:p>
    <w:p>
      <w:pPr>
        <w:spacing w:line="600" w:lineRule="exact"/>
        <w:ind w:firstLine="64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5" w:name="_Toc15377217"/>
      <w:bookmarkStart w:id="76" w:name="_Toc1729"/>
      <w:r>
        <w:rPr>
          <w:rFonts w:hint="eastAsia" w:ascii="仿宋" w:hAnsi="仿宋" w:eastAsia="仿宋"/>
          <w:b/>
          <w:color w:val="000000"/>
          <w:sz w:val="32"/>
          <w:szCs w:val="32"/>
        </w:rPr>
        <w:t>（二）“三公”经费财政拨款支出决算具体情况说明</w:t>
      </w:r>
      <w:bookmarkEnd w:id="75"/>
      <w:bookmarkEnd w:id="76"/>
    </w:p>
    <w:p>
      <w:pPr>
        <w:spacing w:line="600" w:lineRule="exact"/>
        <w:ind w:firstLine="64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outlineLvl w:val="9"/>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outlineLvl w:val="9"/>
        <w:rPr>
          <w:rFonts w:ascii="黑体" w:eastAsia="黑体"/>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单位新成立。</w:t>
      </w:r>
      <w:bookmarkStart w:id="77" w:name="_Toc15396610"/>
      <w:bookmarkStart w:id="78" w:name="_Toc15377218"/>
    </w:p>
    <w:p>
      <w:pPr>
        <w:spacing w:line="600" w:lineRule="exact"/>
        <w:ind w:firstLine="640"/>
        <w:outlineLvl w:val="1"/>
        <w:rPr>
          <w:rStyle w:val="17"/>
          <w:rFonts w:ascii="黑体" w:hAnsi="黑体" w:eastAsia="黑体"/>
        </w:rPr>
      </w:pPr>
      <w:bookmarkStart w:id="79" w:name="_Toc22465"/>
      <w:bookmarkStart w:id="80" w:name="_Toc7939"/>
      <w:r>
        <w:rPr>
          <w:rFonts w:hint="eastAsia" w:ascii="黑体" w:eastAsia="黑体"/>
          <w:color w:val="000000"/>
          <w:sz w:val="32"/>
          <w:szCs w:val="32"/>
        </w:rPr>
        <w:t>八、</w:t>
      </w:r>
      <w:r>
        <w:rPr>
          <w:rStyle w:val="17"/>
          <w:rFonts w:hint="eastAsia" w:ascii="黑体" w:hAnsi="黑体" w:eastAsia="黑体"/>
          <w:b w:val="0"/>
        </w:rPr>
        <w:t>政府性基金预算支出决算情况说明</w:t>
      </w:r>
      <w:bookmarkEnd w:id="77"/>
      <w:bookmarkEnd w:id="78"/>
      <w:bookmarkEnd w:id="79"/>
      <w:bookmarkEnd w:id="8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17"/>
          <w:rFonts w:ascii="黑体" w:hAnsi="黑体" w:eastAsia="黑体"/>
          <w:b w:val="0"/>
        </w:rPr>
      </w:pPr>
      <w:bookmarkStart w:id="81" w:name="_Toc15396611"/>
      <w:bookmarkStart w:id="82" w:name="_Toc15377219"/>
      <w:bookmarkStart w:id="83" w:name="_Toc16730"/>
      <w:bookmarkStart w:id="84" w:name="_Toc26386"/>
      <w:r>
        <w:rPr>
          <w:rStyle w:val="17"/>
          <w:rFonts w:hint="eastAsia" w:ascii="黑体" w:hAnsi="黑体" w:eastAsia="黑体"/>
          <w:b w:val="0"/>
        </w:rPr>
        <w:t>国有资本经营预算支出决算情况说明</w:t>
      </w:r>
      <w:bookmarkEnd w:id="81"/>
      <w:bookmarkEnd w:id="82"/>
      <w:bookmarkEnd w:id="83"/>
      <w:bookmarkEnd w:id="84"/>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17"/>
          <w:rFonts w:ascii="黑体" w:hAnsi="黑体" w:eastAsia="黑体"/>
        </w:rPr>
      </w:pPr>
      <w:bookmarkStart w:id="85" w:name="_Toc8820"/>
      <w:bookmarkStart w:id="86" w:name="_Toc15377221"/>
      <w:bookmarkStart w:id="87" w:name="_Toc24749"/>
      <w:bookmarkStart w:id="88" w:name="_Toc15396612"/>
      <w:r>
        <w:rPr>
          <w:rFonts w:hint="eastAsia" w:ascii="黑体" w:hAnsi="黑体" w:eastAsia="黑体"/>
          <w:color w:val="000000"/>
          <w:sz w:val="32"/>
          <w:szCs w:val="32"/>
        </w:rPr>
        <w:t>十</w:t>
      </w:r>
      <w:r>
        <w:rPr>
          <w:rStyle w:val="17"/>
          <w:rFonts w:hint="eastAsia" w:ascii="黑体" w:hAnsi="黑体" w:eastAsia="黑体"/>
        </w:rPr>
        <w:t>、</w:t>
      </w:r>
      <w:r>
        <w:rPr>
          <w:rStyle w:val="17"/>
          <w:rFonts w:hint="eastAsia" w:ascii="黑体" w:hAnsi="黑体" w:eastAsia="黑体"/>
          <w:b w:val="0"/>
        </w:rPr>
        <w:t>其他重要事项的情况说明</w:t>
      </w:r>
      <w:bookmarkEnd w:id="85"/>
      <w:bookmarkEnd w:id="86"/>
      <w:bookmarkEnd w:id="87"/>
      <w:bookmarkEnd w:id="88"/>
    </w:p>
    <w:p>
      <w:pPr>
        <w:spacing w:line="600" w:lineRule="exact"/>
        <w:ind w:firstLine="643" w:firstLineChars="200"/>
        <w:outlineLvl w:val="2"/>
        <w:rPr>
          <w:rFonts w:ascii="仿宋" w:hAnsi="仿宋" w:eastAsia="仿宋"/>
          <w:color w:val="000000"/>
          <w:sz w:val="32"/>
          <w:szCs w:val="32"/>
        </w:rPr>
      </w:pPr>
      <w:bookmarkStart w:id="89" w:name="_Toc15377222"/>
      <w:bookmarkStart w:id="90" w:name="_Toc19048"/>
      <w:r>
        <w:rPr>
          <w:rFonts w:hint="eastAsia" w:ascii="仿宋" w:hAnsi="仿宋" w:eastAsia="仿宋"/>
          <w:b/>
          <w:color w:val="000000"/>
          <w:sz w:val="32"/>
          <w:szCs w:val="32"/>
        </w:rPr>
        <w:t>（一）机关运行经费支出情况</w:t>
      </w:r>
      <w:bookmarkEnd w:id="89"/>
      <w:bookmarkEnd w:id="90"/>
    </w:p>
    <w:p>
      <w:pPr>
        <w:spacing w:line="600" w:lineRule="exact"/>
        <w:ind w:firstLine="640" w:firstLineChars="200"/>
        <w:outlineLvl w:val="9"/>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水务局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机构改革，单位新增。</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1" w:name="_Toc15377223"/>
      <w:bookmarkStart w:id="92" w:name="_Toc16883"/>
      <w:r>
        <w:rPr>
          <w:rFonts w:hint="eastAsia" w:ascii="仿宋" w:hAnsi="仿宋" w:eastAsia="仿宋"/>
          <w:b/>
          <w:color w:val="000000"/>
          <w:sz w:val="32"/>
          <w:szCs w:val="32"/>
        </w:rPr>
        <w:t>（二）政府采购支出情况</w:t>
      </w:r>
      <w:bookmarkEnd w:id="91"/>
      <w:bookmarkEnd w:id="92"/>
    </w:p>
    <w:p>
      <w:pPr>
        <w:spacing w:line="600" w:lineRule="exact"/>
        <w:ind w:firstLine="640" w:firstLineChars="200"/>
        <w:outlineLvl w:val="9"/>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水务局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防汛物资采购，物资储备采购等</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3" w:name="_Toc15377224"/>
      <w:bookmarkStart w:id="94" w:name="_Toc22923"/>
      <w:r>
        <w:rPr>
          <w:rFonts w:hint="eastAsia" w:ascii="仿宋" w:hAnsi="仿宋" w:eastAsia="仿宋"/>
          <w:b/>
          <w:color w:val="000000"/>
          <w:sz w:val="32"/>
          <w:szCs w:val="32"/>
        </w:rPr>
        <w:t>（三）国有资产占有使用情况</w:t>
      </w:r>
      <w:bookmarkEnd w:id="93"/>
      <w:bookmarkEnd w:id="94"/>
    </w:p>
    <w:p>
      <w:pPr>
        <w:autoSpaceDE w:val="0"/>
        <w:autoSpaceDN w:val="0"/>
        <w:adjustRightInd w:val="0"/>
        <w:spacing w:line="600" w:lineRule="exact"/>
        <w:ind w:firstLine="640" w:firstLineChars="200"/>
        <w:jc w:val="left"/>
        <w:outlineLvl w:val="9"/>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水务局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日常公务用车，</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5" w:name="_Toc29391"/>
      <w:r>
        <w:rPr>
          <w:rFonts w:hint="eastAsia" w:ascii="仿宋" w:hAnsi="仿宋" w:eastAsia="仿宋"/>
          <w:b/>
          <w:color w:val="000000"/>
          <w:sz w:val="32"/>
          <w:szCs w:val="32"/>
        </w:rPr>
        <w:t>（四）预算绩效管理情况。</w:t>
      </w:r>
      <w:bookmarkEnd w:id="95"/>
    </w:p>
    <w:p>
      <w:pPr>
        <w:spacing w:line="580" w:lineRule="exact"/>
        <w:ind w:firstLine="640" w:firstLineChars="200"/>
        <w:outlineLvl w:val="9"/>
        <w:rPr>
          <w:rFonts w:hint="eastAsia" w:ascii="仿宋" w:hAnsi="仿宋" w:eastAsia="仿宋" w:cs="仿宋"/>
          <w:color w:val="000000"/>
          <w:kern w:val="2"/>
          <w:sz w:val="32"/>
          <w:szCs w:val="32"/>
          <w:lang w:val="en-US" w:eastAsia="zh-CN" w:bidi="ar-SA"/>
        </w:rPr>
      </w:pPr>
      <w:r>
        <w:rPr>
          <w:rFonts w:hint="eastAsia" w:ascii="仿宋_GB2312" w:hAnsi="仿宋_GB2312" w:eastAsia="仿宋_GB2312" w:cs="仿宋_GB2312"/>
          <w:sz w:val="32"/>
          <w:szCs w:val="32"/>
        </w:rPr>
        <w:t>根据预算绩效管理要求，本部门（单位）在年初预算编制阶段，本部门按要求对2019年部门整体支出开展绩效自评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从评价情况来看</w:t>
      </w:r>
      <w:r>
        <w:rPr>
          <w:rFonts w:hint="eastAsia" w:ascii="仿宋" w:hAnsi="仿宋" w:eastAsia="仿宋" w:cs="仿宋"/>
          <w:color w:val="000000"/>
          <w:sz w:val="32"/>
          <w:szCs w:val="32"/>
          <w:lang w:val="en-US" w:eastAsia="zh-CN"/>
        </w:rPr>
        <w:t>2019</w:t>
      </w:r>
      <w:r>
        <w:rPr>
          <w:rFonts w:hint="eastAsia" w:ascii="仿宋" w:hAnsi="仿宋" w:eastAsia="仿宋" w:cs="仿宋"/>
          <w:color w:val="000000"/>
          <w:sz w:val="32"/>
          <w:szCs w:val="32"/>
          <w:lang w:val="zh-CN" w:eastAsia="zh-CN"/>
        </w:rPr>
        <w:t>年我局所有预算内资金都严格纳入财政大平台系统管理，日常支出都严格履行了我局的报账程序，</w:t>
      </w:r>
      <w:r>
        <w:rPr>
          <w:rFonts w:hint="eastAsia" w:ascii="仿宋_GB2312" w:hAnsi="仿宋_GB2312" w:eastAsia="仿宋_GB2312" w:cs="仿宋_GB2312"/>
          <w:sz w:val="32"/>
          <w:szCs w:val="32"/>
        </w:rPr>
        <w:t>从评价情况来看</w:t>
      </w:r>
      <w:r>
        <w:rPr>
          <w:rFonts w:hint="eastAsia" w:ascii="仿宋" w:hAnsi="仿宋" w:eastAsia="仿宋" w:cs="仿宋"/>
          <w:color w:val="000000"/>
          <w:kern w:val="2"/>
          <w:sz w:val="32"/>
          <w:szCs w:val="32"/>
          <w:lang w:val="en-US" w:eastAsia="zh-CN" w:bidi="ar-SA"/>
        </w:rPr>
        <w:t>对各项资金的管理、经费收支审批等均做了明确规定，正确组织资金的筹集、调度和使用，债权债务及时结算、结清。各项目经费支出严格按照合同及单位“三重一大”制度执行。</w:t>
      </w:r>
    </w:p>
    <w:p>
      <w:pPr>
        <w:spacing w:line="580" w:lineRule="exact"/>
        <w:ind w:firstLine="640" w:firstLineChars="200"/>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从评价情况来看</w:t>
      </w:r>
      <w:r>
        <w:rPr>
          <w:rFonts w:hint="eastAsia" w:ascii="仿宋" w:hAnsi="仿宋" w:eastAsia="仿宋" w:cs="仿宋"/>
          <w:color w:val="000000"/>
          <w:sz w:val="32"/>
          <w:szCs w:val="32"/>
          <w:lang w:val="en-US" w:eastAsia="zh-CN"/>
        </w:rPr>
        <w:t>2019</w:t>
      </w:r>
      <w:r>
        <w:rPr>
          <w:rFonts w:hint="eastAsia" w:ascii="仿宋" w:hAnsi="仿宋" w:eastAsia="仿宋" w:cs="仿宋"/>
          <w:color w:val="000000"/>
          <w:sz w:val="32"/>
          <w:szCs w:val="32"/>
          <w:lang w:val="zh-CN" w:eastAsia="zh-CN"/>
        </w:rPr>
        <w:t>年我局所有预算内资金都严格纳入财政大平台系统管理，日常支出都严格履行了我局的报账程序，</w:t>
      </w:r>
      <w:r>
        <w:rPr>
          <w:rFonts w:hint="eastAsia" w:ascii="仿宋_GB2312" w:hAnsi="仿宋_GB2312" w:eastAsia="仿宋_GB2312" w:cs="仿宋_GB2312"/>
          <w:sz w:val="32"/>
          <w:szCs w:val="32"/>
        </w:rPr>
        <w:t>从评价情况来看</w:t>
      </w:r>
      <w:r>
        <w:rPr>
          <w:rFonts w:hint="eastAsia" w:ascii="仿宋" w:hAnsi="仿宋" w:eastAsia="仿宋" w:cs="仿宋"/>
          <w:color w:val="000000"/>
          <w:kern w:val="2"/>
          <w:sz w:val="32"/>
          <w:szCs w:val="32"/>
          <w:lang w:val="en-US" w:eastAsia="zh-CN" w:bidi="ar-SA"/>
        </w:rPr>
        <w:t>对各项资金的管理、经费收支审批等均做了明确规定，正确组织资金的筹集、调度和使用，债权债务及时结算、结清。各项目经费支出严格按照合同及单位“三重一大”制度执行，整体运行良好。</w:t>
      </w:r>
    </w:p>
    <w:p>
      <w:pPr>
        <w:outlineLvl w:val="9"/>
      </w:pPr>
    </w:p>
    <w:p>
      <w:pPr>
        <w:spacing w:line="580" w:lineRule="exact"/>
        <w:ind w:firstLine="640" w:firstLineChars="200"/>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九寨沟县水务局</w:t>
      </w:r>
      <w:r>
        <w:rPr>
          <w:rFonts w:hint="eastAsia" w:ascii="仿宋_GB2312" w:hAnsi="仿宋_GB2312" w:eastAsia="仿宋_GB2312" w:cs="仿宋_GB2312"/>
          <w:sz w:val="32"/>
          <w:szCs w:val="32"/>
        </w:rPr>
        <w:t>2019年部门整体支出绩效评价报告》见附件（附件1）。</w:t>
      </w:r>
    </w:p>
    <w:p>
      <w:pPr>
        <w:outlineLvl w:val="9"/>
        <w:rPr>
          <w:rFonts w:hint="eastAsia" w:ascii="仿宋_GB2312" w:hAnsi="仿宋_GB2312" w:eastAsia="仿宋_GB2312" w:cs="仿宋_GB2312"/>
          <w:sz w:val="32"/>
          <w:szCs w:val="32"/>
        </w:rPr>
      </w:pPr>
    </w:p>
    <w:p>
      <w:pPr>
        <w:outlineLvl w:val="9"/>
        <w:rPr>
          <w:rFonts w:hint="eastAsia" w:ascii="仿宋_GB2312" w:hAnsi="仿宋_GB2312" w:eastAsia="仿宋_GB2312" w:cs="仿宋_GB2312"/>
          <w:sz w:val="32"/>
          <w:szCs w:val="32"/>
        </w:rPr>
      </w:pPr>
    </w:p>
    <w:p>
      <w:pPr>
        <w:outlineLvl w:val="9"/>
        <w:rPr>
          <w:rFonts w:hint="eastAsia" w:ascii="仿宋_GB2312" w:hAnsi="仿宋_GB2312" w:eastAsia="仿宋_GB2312" w:cs="仿宋_GB2312"/>
          <w:sz w:val="32"/>
          <w:szCs w:val="32"/>
        </w:rPr>
      </w:pPr>
    </w:p>
    <w:p>
      <w:pPr>
        <w:pStyle w:val="5"/>
        <w:outlineLvl w:val="9"/>
        <w:rPr>
          <w:rFonts w:hint="eastAsia"/>
        </w:rPr>
      </w:pPr>
    </w:p>
    <w:p>
      <w:pPr>
        <w:outlineLvl w:val="9"/>
      </w:pPr>
    </w:p>
    <w:p>
      <w:pPr>
        <w:numPr>
          <w:ilvl w:val="0"/>
          <w:numId w:val="4"/>
        </w:numPr>
        <w:spacing w:line="600" w:lineRule="exact"/>
        <w:ind w:firstLine="660" w:firstLineChars="150"/>
        <w:jc w:val="center"/>
        <w:outlineLvl w:val="0"/>
        <w:rPr>
          <w:rFonts w:ascii="宋体"/>
          <w:b/>
          <w:color w:val="000000"/>
          <w:sz w:val="44"/>
          <w:szCs w:val="44"/>
        </w:rPr>
      </w:pPr>
      <w:bookmarkStart w:id="96" w:name="_Toc15377225"/>
      <w:bookmarkStart w:id="97" w:name="_Toc15396613"/>
      <w:bookmarkStart w:id="98" w:name="_Toc14033"/>
      <w:bookmarkStart w:id="99" w:name="_Toc7155"/>
      <w:r>
        <w:rPr>
          <w:rFonts w:hint="eastAsia" w:ascii="黑体" w:hAnsi="黑体" w:eastAsia="黑体"/>
          <w:color w:val="000000"/>
          <w:sz w:val="44"/>
          <w:szCs w:val="44"/>
        </w:rPr>
        <w:t>名</w:t>
      </w:r>
      <w:r>
        <w:rPr>
          <w:rStyle w:val="16"/>
          <w:rFonts w:hint="eastAsia" w:ascii="黑体" w:hAnsi="黑体" w:eastAsia="黑体"/>
          <w:b w:val="0"/>
        </w:rPr>
        <w:t>词解释</w:t>
      </w:r>
      <w:bookmarkEnd w:id="96"/>
      <w:bookmarkEnd w:id="97"/>
      <w:bookmarkEnd w:id="98"/>
      <w:bookmarkEnd w:id="99"/>
    </w:p>
    <w:p>
      <w:pPr>
        <w:pStyle w:val="1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9"/>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1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1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8.社会保障和就业（208）行政事业单位离退休（05）机关事业单位基本养老保险缴费支出（05）：指部门实施养老保险制度由单位缴纳的养老保险费的支出。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9.农林水支出（213）水利（03）其他水利支出（99）：指反映除上述项目以外其他用于水利方面的支出。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10.住房保障（221）住房改革支出（02）住房公积金（01）：反映行政事业单位按人力资源和社会保障部、财政部规定的基本工资和津贴补贴以及规定比例为职工缴纳的住房公积金。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9"/>
        <w:spacing w:line="560" w:lineRule="exact"/>
        <w:ind w:firstLine="640" w:firstLineChars="200"/>
        <w:rPr>
          <w:rFonts w:ascii="仿宋_GB2312" w:eastAsia="仿宋_GB2312" w:cs="黑体"/>
          <w:sz w:val="32"/>
          <w:szCs w:val="32"/>
        </w:rPr>
      </w:pPr>
    </w:p>
    <w:p>
      <w:pPr>
        <w:spacing w:line="600" w:lineRule="exact"/>
        <w:jc w:val="center"/>
        <w:outlineLvl w:val="0"/>
        <w:rPr>
          <w:rStyle w:val="16"/>
          <w:rFonts w:ascii="黑体" w:hAnsi="黑体" w:eastAsia="黑体"/>
          <w:b w:val="0"/>
        </w:rPr>
      </w:pPr>
      <w:bookmarkStart w:id="100" w:name="_Toc15377226"/>
      <w:r>
        <w:rPr>
          <w:rFonts w:ascii="宋体"/>
          <w:b/>
          <w:color w:val="000000"/>
          <w:sz w:val="44"/>
          <w:szCs w:val="44"/>
        </w:rPr>
        <w:br w:type="page"/>
      </w:r>
      <w:bookmarkStart w:id="101" w:name="_Toc15396614"/>
      <w:bookmarkStart w:id="102" w:name="_Toc27536"/>
      <w:bookmarkStart w:id="103" w:name="_Toc22927"/>
      <w:r>
        <w:rPr>
          <w:rFonts w:hint="eastAsia" w:ascii="黑体" w:hAnsi="黑体" w:eastAsia="黑体"/>
          <w:color w:val="000000"/>
          <w:sz w:val="44"/>
          <w:szCs w:val="44"/>
        </w:rPr>
        <w:t>第</w:t>
      </w:r>
      <w:r>
        <w:rPr>
          <w:rStyle w:val="16"/>
          <w:rFonts w:hint="eastAsia" w:ascii="黑体" w:hAnsi="黑体" w:eastAsia="黑体"/>
          <w:b w:val="0"/>
        </w:rPr>
        <w:t>四部分 附件</w:t>
      </w:r>
      <w:bookmarkEnd w:id="101"/>
      <w:bookmarkEnd w:id="102"/>
      <w:bookmarkEnd w:id="103"/>
    </w:p>
    <w:p>
      <w:pPr>
        <w:spacing w:line="600" w:lineRule="exact"/>
        <w:jc w:val="left"/>
        <w:outlineLvl w:val="1"/>
        <w:rPr>
          <w:rFonts w:ascii="方正小标宋简体" w:hAnsi="方正小标宋简体" w:eastAsia="方正小标宋简体" w:cs="方正小标宋简体"/>
          <w:sz w:val="32"/>
          <w:szCs w:val="32"/>
        </w:rPr>
      </w:pPr>
      <w:bookmarkStart w:id="104" w:name="_Toc31346"/>
      <w:bookmarkStart w:id="105" w:name="_Toc23393"/>
      <w:r>
        <w:rPr>
          <w:rFonts w:hint="eastAsia" w:ascii="黑体" w:hAnsi="黑体" w:eastAsia="黑体" w:cs="黑体"/>
          <w:sz w:val="32"/>
          <w:szCs w:val="32"/>
        </w:rPr>
        <w:t>附件1</w:t>
      </w:r>
      <w:bookmarkEnd w:id="104"/>
      <w:bookmarkEnd w:id="105"/>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9"/>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九寨沟县水务局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w:t>
      </w:r>
    </w:p>
    <w:p>
      <w:pPr>
        <w:spacing w:line="600" w:lineRule="exact"/>
        <w:jc w:val="center"/>
        <w:outlineLvl w:val="9"/>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绩效</w:t>
      </w:r>
      <w:r>
        <w:rPr>
          <w:rFonts w:hint="eastAsia" w:ascii="方正小标宋简体" w:hAnsi="宋体" w:eastAsia="方正小标宋简体"/>
          <w:color w:val="000000"/>
          <w:kern w:val="0"/>
          <w:sz w:val="40"/>
          <w:szCs w:val="44"/>
          <w:lang w:val="zh-CN"/>
        </w:rPr>
        <w:tab/>
      </w:r>
      <w:r>
        <w:rPr>
          <w:rFonts w:hint="eastAsia" w:ascii="方正小标宋简体" w:hAnsi="宋体" w:eastAsia="方正小标宋简体"/>
          <w:color w:val="000000"/>
          <w:kern w:val="0"/>
          <w:sz w:val="40"/>
          <w:szCs w:val="44"/>
          <w:lang w:val="zh-CN"/>
        </w:rPr>
        <w:t>评价报告</w:t>
      </w:r>
    </w:p>
    <w:p>
      <w:pPr>
        <w:widowControl/>
        <w:spacing w:line="580" w:lineRule="exact"/>
        <w:ind w:firstLine="640" w:firstLineChars="200"/>
        <w:contextualSpacing/>
        <w:jc w:val="center"/>
        <w:outlineLvl w:val="9"/>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outlineLvl w:val="9"/>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9"/>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pStyle w:val="6"/>
        <w:keepNext w:val="0"/>
        <w:keepLines w:val="0"/>
        <w:pageBreakBefore w:val="0"/>
        <w:kinsoku/>
        <w:wordWrap/>
        <w:overflowPunct/>
        <w:topLinePunct w:val="0"/>
        <w:autoSpaceDE/>
        <w:autoSpaceDN/>
        <w:bidi w:val="0"/>
        <w:spacing w:line="500" w:lineRule="exact"/>
        <w:ind w:firstLine="640" w:firstLineChars="200"/>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Style w:val="6"/>
        <w:keepNext w:val="0"/>
        <w:keepLines w:val="0"/>
        <w:pageBreakBefore w:val="0"/>
        <w:kinsoku/>
        <w:wordWrap/>
        <w:overflowPunct/>
        <w:topLinePunct w:val="0"/>
        <w:autoSpaceDE/>
        <w:autoSpaceDN/>
        <w:bidi w:val="0"/>
        <w:spacing w:line="500" w:lineRule="exact"/>
        <w:ind w:firstLine="640" w:firstLineChars="200"/>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b w:val="0"/>
          <w:bCs w:val="0"/>
          <w:color w:val="auto"/>
          <w:kern w:val="2"/>
          <w:sz w:val="32"/>
          <w:szCs w:val="32"/>
          <w:lang w:val="en-US" w:eastAsia="zh-CN" w:bidi="ar-SA"/>
        </w:rPr>
        <w:t>九寨沟县水务局（简称县水务局）是九寨沟县人民政府工作部门，为正科级。内设行政股室2个：综合股、规划建设股。事业场站6个。</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32"/>
          <w:szCs w:val="32"/>
        </w:rPr>
        <w:t>贯彻执行党和国家有关水利工作方针政策和法律法规，拟订全县水利战略规划和政策，起草有关地方性法规和规章草案，组织编制、审查、申报水利综合规划、专业规划、专项规划。负责保障水资源的合理开发利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w:t>
      </w:r>
      <w:r>
        <w:rPr>
          <w:rFonts w:hint="eastAsia" w:ascii="仿宋" w:hAnsi="仿宋" w:eastAsia="仿宋" w:cs="仿宋"/>
          <w:b w:val="0"/>
          <w:bCs w:val="0"/>
          <w:color w:val="auto"/>
          <w:sz w:val="32"/>
          <w:szCs w:val="32"/>
          <w:highlight w:val="none"/>
          <w:lang w:eastAsia="zh-CN"/>
        </w:rPr>
        <w:t>负责</w:t>
      </w:r>
      <w:r>
        <w:rPr>
          <w:rFonts w:hint="eastAsia" w:ascii="仿宋" w:hAnsi="仿宋" w:eastAsia="仿宋" w:cs="仿宋"/>
          <w:b w:val="0"/>
          <w:bCs w:val="0"/>
          <w:color w:val="auto"/>
          <w:sz w:val="32"/>
          <w:szCs w:val="32"/>
          <w:highlight w:val="none"/>
        </w:rPr>
        <w:t>生活、生产经营和生态环境用水的统筹和保障。实施最严格水资源管理制度</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实施水资源的统一监督管理</w:t>
      </w:r>
      <w:r>
        <w:rPr>
          <w:rFonts w:hint="eastAsia" w:ascii="仿宋" w:hAnsi="仿宋" w:eastAsia="仿宋" w:cs="仿宋"/>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3、</w:t>
      </w:r>
      <w:r>
        <w:rPr>
          <w:rFonts w:hint="eastAsia" w:ascii="仿宋" w:hAnsi="仿宋" w:eastAsia="仿宋" w:cs="仿宋"/>
          <w:b w:val="0"/>
          <w:bCs w:val="0"/>
          <w:color w:val="auto"/>
          <w:sz w:val="32"/>
          <w:szCs w:val="32"/>
          <w:highlight w:val="none"/>
        </w:rPr>
        <w:t>按规定制定水利工程建设有关制度并组织实施，负责提出水利固定资产投资规模、方向、具体安排建议并组织实施，提出水利资金安排建议并负责项目实施的监督管理，按权限指导和组织编制、审核、申报水利基本建设项目建议书、可行性研究报告和初步设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yellow"/>
          <w:lang w:eastAsia="zh-CN"/>
        </w:rPr>
      </w:pPr>
      <w:r>
        <w:rPr>
          <w:rFonts w:hint="eastAsia" w:ascii="仿宋" w:hAnsi="仿宋" w:eastAsia="仿宋" w:cs="仿宋"/>
          <w:b w:val="0"/>
          <w:bCs w:val="0"/>
          <w:color w:val="auto"/>
          <w:sz w:val="32"/>
          <w:szCs w:val="32"/>
          <w:highlight w:val="none"/>
          <w:lang w:val="en-US" w:eastAsia="zh-CN"/>
        </w:rPr>
        <w:t>4、</w:t>
      </w:r>
      <w:r>
        <w:rPr>
          <w:rFonts w:hint="eastAsia" w:ascii="仿宋" w:hAnsi="仿宋" w:eastAsia="仿宋" w:cs="仿宋"/>
          <w:b w:val="0"/>
          <w:bCs w:val="0"/>
          <w:color w:val="auto"/>
          <w:sz w:val="32"/>
          <w:szCs w:val="32"/>
          <w:highlight w:val="none"/>
        </w:rPr>
        <w:t>负责水资源</w:t>
      </w:r>
      <w:r>
        <w:rPr>
          <w:rFonts w:hint="eastAsia" w:ascii="仿宋" w:hAnsi="仿宋" w:eastAsia="仿宋" w:cs="仿宋"/>
          <w:b w:val="0"/>
          <w:bCs w:val="0"/>
          <w:color w:val="auto"/>
          <w:sz w:val="32"/>
          <w:szCs w:val="32"/>
          <w:highlight w:val="none"/>
          <w:lang w:eastAsia="zh-CN"/>
        </w:rPr>
        <w:t>管理和</w:t>
      </w:r>
      <w:r>
        <w:rPr>
          <w:rFonts w:hint="eastAsia" w:ascii="仿宋" w:hAnsi="仿宋" w:eastAsia="仿宋" w:cs="仿宋"/>
          <w:b w:val="0"/>
          <w:bCs w:val="0"/>
          <w:color w:val="auto"/>
          <w:sz w:val="32"/>
          <w:szCs w:val="32"/>
          <w:highlight w:val="none"/>
        </w:rPr>
        <w:t>保护工作。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5、</w:t>
      </w:r>
      <w:r>
        <w:rPr>
          <w:rFonts w:hint="eastAsia" w:ascii="仿宋" w:hAnsi="仿宋" w:eastAsia="仿宋" w:cs="仿宋"/>
          <w:b w:val="0"/>
          <w:bCs w:val="0"/>
          <w:color w:val="auto"/>
          <w:sz w:val="32"/>
          <w:szCs w:val="32"/>
          <w:highlight w:val="none"/>
        </w:rPr>
        <w:t>负责节约用水工作。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w:t>
      </w:r>
      <w:r>
        <w:rPr>
          <w:rFonts w:hint="eastAsia" w:ascii="仿宋" w:hAnsi="仿宋" w:eastAsia="仿宋" w:cs="仿宋"/>
          <w:b w:val="0"/>
          <w:bCs w:val="0"/>
          <w:color w:val="auto"/>
          <w:sz w:val="32"/>
          <w:szCs w:val="32"/>
          <w:highlight w:val="none"/>
          <w:lang w:eastAsia="zh-CN"/>
        </w:rPr>
        <w:t>负责洪水干旱灾害防治。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7、</w:t>
      </w:r>
      <w:r>
        <w:rPr>
          <w:rFonts w:hint="eastAsia" w:ascii="仿宋" w:hAnsi="仿宋" w:eastAsia="仿宋" w:cs="仿宋"/>
          <w:b w:val="0"/>
          <w:bCs w:val="0"/>
          <w:color w:val="auto"/>
          <w:sz w:val="32"/>
          <w:szCs w:val="32"/>
          <w:highlight w:val="none"/>
        </w:rPr>
        <w:t>指导水利设施、水域及其岸线的管理、保护与综合利用。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yellow"/>
          <w:lang w:eastAsia="zh-CN"/>
        </w:rPr>
      </w:pPr>
      <w:r>
        <w:rPr>
          <w:rFonts w:hint="eastAsia" w:ascii="仿宋" w:hAnsi="仿宋" w:eastAsia="仿宋" w:cs="仿宋"/>
          <w:b w:val="0"/>
          <w:bCs w:val="0"/>
          <w:color w:val="auto"/>
          <w:sz w:val="32"/>
          <w:szCs w:val="32"/>
          <w:highlight w:val="none"/>
          <w:lang w:val="en-US" w:eastAsia="zh-CN"/>
        </w:rPr>
        <w:t>8、</w:t>
      </w:r>
      <w:r>
        <w:rPr>
          <w:rFonts w:hint="eastAsia" w:ascii="仿宋" w:hAnsi="仿宋" w:eastAsia="仿宋" w:cs="仿宋"/>
          <w:b w:val="0"/>
          <w:bCs w:val="0"/>
          <w:color w:val="auto"/>
          <w:sz w:val="32"/>
          <w:szCs w:val="32"/>
          <w:highlight w:val="none"/>
        </w:rPr>
        <w:t>承担全面推行河长制湖长制工作。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9、</w:t>
      </w:r>
      <w:r>
        <w:rPr>
          <w:rFonts w:hint="eastAsia" w:ascii="仿宋" w:hAnsi="仿宋" w:eastAsia="仿宋" w:cs="仿宋"/>
          <w:b w:val="0"/>
          <w:bCs w:val="0"/>
          <w:color w:val="auto"/>
          <w:sz w:val="32"/>
          <w:szCs w:val="32"/>
          <w:highlight w:val="none"/>
        </w:rPr>
        <w:t>负责水土保持工作。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10、</w:t>
      </w:r>
      <w:r>
        <w:rPr>
          <w:rFonts w:hint="eastAsia" w:ascii="仿宋" w:hAnsi="仿宋" w:eastAsia="仿宋" w:cs="仿宋"/>
          <w:b w:val="0"/>
          <w:bCs w:val="0"/>
          <w:color w:val="auto"/>
          <w:sz w:val="32"/>
          <w:szCs w:val="32"/>
          <w:highlight w:val="none"/>
          <w:lang w:eastAsia="zh-CN"/>
        </w:rPr>
        <w:t>负责</w:t>
      </w:r>
      <w:r>
        <w:rPr>
          <w:rFonts w:hint="eastAsia" w:ascii="仿宋" w:hAnsi="仿宋" w:eastAsia="仿宋" w:cs="仿宋"/>
          <w:b w:val="0"/>
          <w:bCs w:val="0"/>
          <w:color w:val="auto"/>
          <w:sz w:val="32"/>
          <w:szCs w:val="32"/>
          <w:highlight w:val="none"/>
        </w:rPr>
        <w:t>农村水利</w:t>
      </w:r>
      <w:r>
        <w:rPr>
          <w:rFonts w:hint="eastAsia" w:ascii="仿宋" w:hAnsi="仿宋" w:eastAsia="仿宋" w:cs="仿宋"/>
          <w:b w:val="0"/>
          <w:bCs w:val="0"/>
          <w:color w:val="auto"/>
          <w:sz w:val="32"/>
          <w:szCs w:val="32"/>
          <w:highlight w:val="none"/>
          <w:lang w:eastAsia="zh-CN"/>
        </w:rPr>
        <w:t>建设</w:t>
      </w:r>
      <w:r>
        <w:rPr>
          <w:rFonts w:hint="eastAsia" w:ascii="仿宋" w:hAnsi="仿宋" w:eastAsia="仿宋" w:cs="仿宋"/>
          <w:b w:val="0"/>
          <w:bCs w:val="0"/>
          <w:color w:val="auto"/>
          <w:sz w:val="32"/>
          <w:szCs w:val="32"/>
          <w:highlight w:val="none"/>
        </w:rPr>
        <w:t>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lang w:val="en-US" w:eastAsia="zh-CN"/>
        </w:rPr>
        <w:t>11、</w:t>
      </w:r>
      <w:r>
        <w:rPr>
          <w:rFonts w:hint="eastAsia" w:ascii="仿宋" w:hAnsi="仿宋" w:eastAsia="仿宋" w:cs="仿宋"/>
          <w:b w:val="0"/>
          <w:bCs w:val="0"/>
          <w:color w:val="auto"/>
          <w:sz w:val="32"/>
          <w:szCs w:val="32"/>
          <w:highlight w:val="none"/>
        </w:rPr>
        <w:t>负责落实综合防灾减灾</w:t>
      </w:r>
      <w:r>
        <w:rPr>
          <w:rFonts w:hint="eastAsia" w:ascii="仿宋" w:hAnsi="仿宋" w:eastAsia="仿宋" w:cs="仿宋"/>
          <w:b w:val="0"/>
          <w:bCs w:val="0"/>
          <w:color w:val="auto"/>
          <w:sz w:val="32"/>
          <w:szCs w:val="32"/>
          <w:highlight w:val="none"/>
          <w:lang w:eastAsia="zh-CN"/>
        </w:rPr>
        <w:t>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12、</w:t>
      </w:r>
      <w:r>
        <w:rPr>
          <w:rFonts w:hint="eastAsia" w:ascii="仿宋" w:hAnsi="仿宋" w:eastAsia="仿宋" w:cs="仿宋"/>
          <w:b w:val="0"/>
          <w:bCs w:val="0"/>
          <w:color w:val="auto"/>
          <w:sz w:val="32"/>
          <w:szCs w:val="32"/>
          <w:highlight w:val="none"/>
        </w:rPr>
        <w:t>开展水利科技和教育工作。组织开展水利行业质量监督工作。承担水利统计工作。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b w:val="0"/>
          <w:bCs w:val="0"/>
          <w:color w:val="auto"/>
          <w:sz w:val="32"/>
          <w:szCs w:val="32"/>
          <w:lang w:val="en-US" w:eastAsia="zh-CN"/>
        </w:rPr>
        <w:t>13、</w:t>
      </w:r>
      <w:r>
        <w:rPr>
          <w:rFonts w:hint="eastAsia" w:ascii="仿宋" w:hAnsi="仿宋" w:eastAsia="仿宋" w:cs="仿宋"/>
          <w:b w:val="0"/>
          <w:bCs w:val="0"/>
          <w:color w:val="auto"/>
          <w:sz w:val="32"/>
          <w:szCs w:val="32"/>
        </w:rPr>
        <w:t>负责职责范围内的</w:t>
      </w:r>
      <w:r>
        <w:rPr>
          <w:rFonts w:hint="eastAsia" w:ascii="仿宋" w:hAnsi="仿宋" w:eastAsia="仿宋" w:cs="仿宋"/>
          <w:b w:val="0"/>
          <w:bCs w:val="0"/>
          <w:color w:val="auto"/>
          <w:sz w:val="32"/>
          <w:szCs w:val="32"/>
          <w:lang w:eastAsia="zh-CN"/>
        </w:rPr>
        <w:t>水利行业</w:t>
      </w:r>
      <w:r>
        <w:rPr>
          <w:rFonts w:hint="eastAsia" w:ascii="仿宋" w:hAnsi="仿宋" w:eastAsia="仿宋" w:cs="仿宋"/>
          <w:b w:val="0"/>
          <w:bCs w:val="0"/>
          <w:color w:val="auto"/>
          <w:sz w:val="32"/>
          <w:szCs w:val="32"/>
        </w:rPr>
        <w:t>安全生产、职业健康、生态环境保护和审批服务便民化等工作</w:t>
      </w:r>
      <w:r>
        <w:rPr>
          <w:rFonts w:hint="eastAsia" w:ascii="仿宋" w:hAnsi="仿宋" w:eastAsia="仿宋" w:cs="仿宋"/>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b w:val="0"/>
          <w:bCs w:val="0"/>
          <w:color w:val="auto"/>
          <w:sz w:val="32"/>
          <w:szCs w:val="32"/>
          <w:highlight w:val="none"/>
          <w:lang w:val="zh-CN" w:eastAsia="zh-CN"/>
        </w:rPr>
        <w:t>县水务局行政编制5名。其中，局长1名，副局长2名；股级领导职数2名。县水务局事业编制编制</w:t>
      </w:r>
      <w:r>
        <w:rPr>
          <w:rFonts w:hint="eastAsia" w:ascii="仿宋" w:hAnsi="仿宋" w:eastAsia="仿宋" w:cs="仿宋"/>
          <w:b w:val="0"/>
          <w:bCs w:val="0"/>
          <w:color w:val="auto"/>
          <w:sz w:val="32"/>
          <w:szCs w:val="32"/>
          <w:highlight w:val="none"/>
          <w:lang w:val="en-US" w:eastAsia="zh-CN"/>
        </w:rPr>
        <w:t>22</w:t>
      </w:r>
      <w:r>
        <w:rPr>
          <w:rFonts w:hint="eastAsia" w:ascii="仿宋" w:hAnsi="仿宋" w:eastAsia="仿宋" w:cs="仿宋"/>
          <w:b w:val="0"/>
          <w:bCs w:val="0"/>
          <w:color w:val="auto"/>
          <w:sz w:val="32"/>
          <w:szCs w:val="32"/>
          <w:highlight w:val="none"/>
          <w:lang w:val="zh-CN" w:eastAsia="zh-CN"/>
        </w:rPr>
        <w:t>名。其中：水政水资源站</w:t>
      </w:r>
      <w:r>
        <w:rPr>
          <w:rFonts w:hint="eastAsia" w:ascii="仿宋" w:hAnsi="仿宋" w:eastAsia="仿宋" w:cs="仿宋"/>
          <w:b w:val="0"/>
          <w:bCs w:val="0"/>
          <w:color w:val="auto"/>
          <w:sz w:val="32"/>
          <w:szCs w:val="32"/>
          <w:highlight w:val="none"/>
          <w:lang w:val="en-US" w:eastAsia="zh-CN"/>
        </w:rPr>
        <w:t>3名、</w:t>
      </w:r>
      <w:r>
        <w:rPr>
          <w:rFonts w:hint="eastAsia" w:ascii="仿宋" w:hAnsi="仿宋" w:eastAsia="仿宋" w:cs="仿宋"/>
          <w:b w:val="0"/>
          <w:bCs w:val="0"/>
          <w:color w:val="auto"/>
          <w:sz w:val="32"/>
          <w:szCs w:val="32"/>
          <w:highlight w:val="none"/>
          <w:lang w:val="zh-CN" w:eastAsia="zh-CN"/>
        </w:rPr>
        <w:t>水旱灾害防治站</w:t>
      </w:r>
      <w:r>
        <w:rPr>
          <w:rFonts w:hint="eastAsia" w:ascii="仿宋" w:hAnsi="仿宋" w:eastAsia="仿宋" w:cs="仿宋"/>
          <w:b w:val="0"/>
          <w:bCs w:val="0"/>
          <w:color w:val="auto"/>
          <w:sz w:val="32"/>
          <w:szCs w:val="32"/>
          <w:highlight w:val="none"/>
          <w:lang w:val="en-US" w:eastAsia="zh-CN"/>
        </w:rPr>
        <w:t>4名，</w:t>
      </w:r>
      <w:r>
        <w:rPr>
          <w:rFonts w:hint="eastAsia" w:ascii="仿宋" w:hAnsi="仿宋" w:eastAsia="仿宋" w:cs="仿宋"/>
          <w:b w:val="0"/>
          <w:bCs w:val="0"/>
          <w:color w:val="auto"/>
          <w:sz w:val="32"/>
          <w:szCs w:val="32"/>
          <w:highlight w:val="none"/>
          <w:lang w:val="zh-CN" w:eastAsia="zh-CN"/>
        </w:rPr>
        <w:t>水土保持站</w:t>
      </w:r>
      <w:r>
        <w:rPr>
          <w:rFonts w:hint="eastAsia" w:ascii="仿宋" w:hAnsi="仿宋" w:eastAsia="仿宋" w:cs="仿宋"/>
          <w:b w:val="0"/>
          <w:bCs w:val="0"/>
          <w:color w:val="auto"/>
          <w:sz w:val="32"/>
          <w:szCs w:val="32"/>
          <w:highlight w:val="none"/>
          <w:lang w:val="en-US" w:eastAsia="zh-CN"/>
        </w:rPr>
        <w:t>3名、</w:t>
      </w:r>
      <w:r>
        <w:rPr>
          <w:rFonts w:hint="eastAsia" w:ascii="仿宋" w:hAnsi="仿宋" w:eastAsia="仿宋" w:cs="仿宋"/>
          <w:b w:val="0"/>
          <w:bCs w:val="0"/>
          <w:color w:val="auto"/>
          <w:sz w:val="32"/>
          <w:szCs w:val="32"/>
          <w:highlight w:val="none"/>
          <w:lang w:val="zh-CN" w:eastAsia="zh-CN"/>
        </w:rPr>
        <w:t>农村水利建设站</w:t>
      </w:r>
      <w:r>
        <w:rPr>
          <w:rFonts w:hint="eastAsia" w:ascii="仿宋" w:hAnsi="仿宋" w:eastAsia="仿宋" w:cs="仿宋"/>
          <w:b w:val="0"/>
          <w:bCs w:val="0"/>
          <w:color w:val="auto"/>
          <w:sz w:val="32"/>
          <w:szCs w:val="32"/>
          <w:highlight w:val="none"/>
          <w:lang w:val="en-US" w:eastAsia="zh-CN"/>
        </w:rPr>
        <w:t>4名、</w:t>
      </w:r>
      <w:r>
        <w:rPr>
          <w:rFonts w:hint="eastAsia" w:ascii="仿宋" w:hAnsi="仿宋" w:eastAsia="仿宋" w:cs="仿宋"/>
          <w:b w:val="0"/>
          <w:bCs w:val="0"/>
          <w:color w:val="auto"/>
          <w:sz w:val="32"/>
          <w:szCs w:val="32"/>
          <w:highlight w:val="none"/>
          <w:lang w:val="zh-CN" w:eastAsia="zh-CN"/>
        </w:rPr>
        <w:t>九寨沟县河湖保护中心</w:t>
      </w:r>
      <w:r>
        <w:rPr>
          <w:rFonts w:hint="eastAsia" w:ascii="仿宋" w:hAnsi="仿宋" w:eastAsia="仿宋" w:cs="仿宋"/>
          <w:b w:val="0"/>
          <w:bCs w:val="0"/>
          <w:color w:val="auto"/>
          <w:sz w:val="32"/>
          <w:szCs w:val="32"/>
          <w:highlight w:val="none"/>
          <w:lang w:val="en-US" w:eastAsia="zh-CN"/>
        </w:rPr>
        <w:t>3名、</w:t>
      </w:r>
      <w:r>
        <w:rPr>
          <w:rFonts w:hint="eastAsia" w:ascii="仿宋" w:hAnsi="仿宋" w:eastAsia="仿宋" w:cs="仿宋"/>
          <w:b w:val="0"/>
          <w:bCs w:val="0"/>
          <w:color w:val="auto"/>
          <w:sz w:val="32"/>
          <w:szCs w:val="32"/>
          <w:highlight w:val="none"/>
          <w:lang w:val="zh-CN" w:eastAsia="zh-CN"/>
        </w:rPr>
        <w:t>九寨沟县防汛工作中心</w:t>
      </w:r>
      <w:r>
        <w:rPr>
          <w:rFonts w:hint="eastAsia" w:ascii="仿宋" w:hAnsi="仿宋" w:eastAsia="仿宋" w:cs="仿宋"/>
          <w:b w:val="0"/>
          <w:bCs w:val="0"/>
          <w:color w:val="auto"/>
          <w:sz w:val="32"/>
          <w:szCs w:val="32"/>
          <w:highlight w:val="none"/>
          <w:lang w:val="en-US" w:eastAsia="zh-CN"/>
        </w:rPr>
        <w:t>5名。</w:t>
      </w:r>
    </w:p>
    <w:p>
      <w:pPr>
        <w:widowControl/>
        <w:adjustRightInd w:val="0"/>
        <w:snapToGrid w:val="0"/>
        <w:spacing w:line="580" w:lineRule="exact"/>
        <w:ind w:firstLine="640" w:firstLineChars="200"/>
        <w:contextualSpacing/>
        <w:jc w:val="left"/>
        <w:outlineLvl w:val="9"/>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Style w:val="2"/>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Style w:val="2"/>
        <w:outlineLvl w:val="9"/>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2019年度实际收到的一般公共预算财政拨款收入</w:t>
      </w:r>
      <w:r>
        <w:rPr>
          <w:rFonts w:hint="eastAsia" w:ascii="仿宋" w:hAnsi="仿宋" w:eastAsia="仿宋" w:cs="仿宋"/>
          <w:b w:val="0"/>
          <w:bCs w:val="0"/>
          <w:color w:val="auto"/>
          <w:sz w:val="32"/>
          <w:szCs w:val="32"/>
          <w:highlight w:val="none"/>
          <w:lang w:val="en-US" w:eastAsia="zh-CN"/>
        </w:rPr>
        <w:t>8908.02万</w:t>
      </w:r>
      <w:r>
        <w:rPr>
          <w:rFonts w:hint="eastAsia" w:ascii="仿宋_GB2312" w:hAnsi="宋体" w:eastAsia="仿宋_GB2312" w:cs="宋体"/>
          <w:color w:val="000000"/>
          <w:kern w:val="0"/>
          <w:sz w:val="32"/>
          <w:szCs w:val="32"/>
          <w:shd w:val="clear" w:color="auto" w:fill="FFFFFF"/>
          <w:lang w:val="zh-CN" w:eastAsia="zh-CN"/>
        </w:rPr>
        <w:t>元</w:t>
      </w:r>
      <w:r>
        <w:rPr>
          <w:rFonts w:hint="eastAsia" w:ascii="仿宋_GB2312" w:hAnsi="宋体" w:eastAsia="仿宋_GB2312" w:cs="宋体"/>
          <w:color w:val="000000"/>
          <w:kern w:val="0"/>
          <w:sz w:val="32"/>
          <w:szCs w:val="32"/>
          <w:shd w:val="clear" w:color="auto" w:fill="FFFFFF"/>
          <w:lang w:val="zh-CN"/>
        </w:rPr>
        <w:t>，其中水务中心一般公共预算财政拨款收入</w:t>
      </w:r>
      <w:r>
        <w:rPr>
          <w:rFonts w:hint="eastAsia" w:ascii="仿宋_GB2312" w:hAnsi="宋体" w:eastAsia="仿宋_GB2312" w:cs="宋体"/>
          <w:color w:val="000000"/>
          <w:kern w:val="0"/>
          <w:sz w:val="32"/>
          <w:szCs w:val="32"/>
          <w:shd w:val="clear" w:color="auto" w:fill="FFFFFF"/>
          <w:lang w:val="en-US" w:eastAsia="zh-CN"/>
        </w:rPr>
        <w:t>137.21万元，</w:t>
      </w:r>
      <w:r>
        <w:rPr>
          <w:rFonts w:hint="eastAsia" w:ascii="仿宋_GB2312" w:hAnsi="宋体" w:eastAsia="仿宋_GB2312" w:cs="宋体"/>
          <w:color w:val="000000"/>
          <w:kern w:val="0"/>
          <w:sz w:val="32"/>
          <w:szCs w:val="32"/>
          <w:shd w:val="clear" w:color="auto" w:fill="FFFFFF"/>
          <w:lang w:val="zh-CN"/>
        </w:rPr>
        <w:t>财政部门拨款对账单</w:t>
      </w:r>
      <w:r>
        <w:rPr>
          <w:rFonts w:hint="eastAsia" w:ascii="仿宋_GB2312" w:hAnsi="宋体" w:eastAsia="仿宋_GB2312" w:cs="宋体"/>
          <w:color w:val="000000"/>
          <w:kern w:val="0"/>
          <w:sz w:val="32"/>
          <w:szCs w:val="32"/>
          <w:shd w:val="clear" w:color="auto" w:fill="FFFFFF"/>
          <w:lang w:val="en-US" w:eastAsia="zh-CN"/>
        </w:rPr>
        <w:t>8908.02</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w:t>
      </w:r>
    </w:p>
    <w:p>
      <w:pPr>
        <w:keepNext w:val="0"/>
        <w:keepLines w:val="0"/>
        <w:pageBreakBefore w:val="0"/>
        <w:widowControl/>
        <w:numPr>
          <w:ilvl w:val="0"/>
          <w:numId w:val="5"/>
        </w:numPr>
        <w:kinsoku/>
        <w:wordWrap/>
        <w:overflowPunct/>
        <w:topLinePunct w:val="0"/>
        <w:autoSpaceDE/>
        <w:autoSpaceDN/>
        <w:bidi w:val="0"/>
        <w:spacing w:line="500" w:lineRule="exact"/>
        <w:ind w:left="0" w:leftChars="0" w:firstLine="640" w:firstLineChars="200"/>
        <w:jc w:val="left"/>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keepNext w:val="0"/>
        <w:keepLines w:val="0"/>
        <w:pageBreakBefore w:val="0"/>
        <w:widowControl/>
        <w:numPr>
          <w:ilvl w:val="0"/>
          <w:numId w:val="0"/>
        </w:numPr>
        <w:kinsoku/>
        <w:wordWrap/>
        <w:overflowPunct/>
        <w:topLinePunct w:val="0"/>
        <w:autoSpaceDE/>
        <w:autoSpaceDN/>
        <w:bidi w:val="0"/>
        <w:spacing w:line="500" w:lineRule="exact"/>
        <w:ind w:firstLine="640" w:firstLineChars="200"/>
        <w:jc w:val="left"/>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color w:val="000000"/>
          <w:sz w:val="32"/>
          <w:szCs w:val="32"/>
          <w:lang w:val="en-US" w:eastAsia="zh-CN"/>
        </w:rPr>
        <w:t>2019年</w:t>
      </w:r>
      <w:r>
        <w:rPr>
          <w:rFonts w:hint="eastAsia" w:ascii="仿宋" w:hAnsi="仿宋" w:eastAsia="仿宋" w:cs="仿宋"/>
          <w:color w:val="000000"/>
          <w:sz w:val="32"/>
          <w:szCs w:val="32"/>
          <w:lang w:val="zh-CN" w:eastAsia="zh-CN"/>
        </w:rPr>
        <w:t>财政拨款支出</w:t>
      </w:r>
      <w:r>
        <w:rPr>
          <w:rFonts w:hint="eastAsia" w:ascii="仿宋" w:hAnsi="仿宋" w:eastAsia="仿宋" w:cs="仿宋"/>
          <w:color w:val="000000"/>
          <w:sz w:val="32"/>
          <w:szCs w:val="32"/>
          <w:lang w:val="en-US" w:eastAsia="zh-CN"/>
        </w:rPr>
        <w:t>9638.93万</w:t>
      </w:r>
      <w:r>
        <w:rPr>
          <w:rFonts w:hint="eastAsia" w:ascii="仿宋" w:hAnsi="仿宋" w:eastAsia="仿宋" w:cs="仿宋"/>
          <w:color w:val="000000"/>
          <w:sz w:val="32"/>
          <w:szCs w:val="32"/>
          <w:lang w:val="zh-CN" w:eastAsia="zh-CN"/>
        </w:rPr>
        <w:t>元，其中基本支出</w:t>
      </w:r>
      <w:r>
        <w:rPr>
          <w:rFonts w:hint="eastAsia" w:ascii="仿宋" w:hAnsi="仿宋" w:eastAsia="仿宋" w:cs="仿宋"/>
          <w:color w:val="000000"/>
          <w:sz w:val="32"/>
          <w:szCs w:val="32"/>
          <w:lang w:val="en-US" w:eastAsia="zh-CN"/>
        </w:rPr>
        <w:t>390.88万</w:t>
      </w:r>
      <w:r>
        <w:rPr>
          <w:rFonts w:hint="eastAsia" w:ascii="仿宋" w:hAnsi="仿宋" w:eastAsia="仿宋" w:cs="仿宋"/>
          <w:color w:val="000000"/>
          <w:sz w:val="32"/>
          <w:szCs w:val="32"/>
          <w:lang w:val="zh-CN" w:eastAsia="zh-CN"/>
        </w:rPr>
        <w:t>元，项目支出</w:t>
      </w:r>
      <w:r>
        <w:rPr>
          <w:rFonts w:hint="eastAsia" w:ascii="仿宋" w:hAnsi="仿宋" w:eastAsia="仿宋" w:cs="仿宋"/>
          <w:color w:val="000000"/>
          <w:sz w:val="32"/>
          <w:szCs w:val="32"/>
          <w:lang w:val="en-US" w:eastAsia="zh-CN"/>
        </w:rPr>
        <w:t>9248.05万</w:t>
      </w:r>
      <w:r>
        <w:rPr>
          <w:rFonts w:hint="eastAsia" w:ascii="仿宋" w:hAnsi="仿宋" w:eastAsia="仿宋" w:cs="仿宋"/>
          <w:color w:val="000000"/>
          <w:sz w:val="32"/>
          <w:szCs w:val="32"/>
          <w:lang w:val="zh-CN" w:eastAsia="zh-CN"/>
        </w:rPr>
        <w:t>元。</w:t>
      </w:r>
    </w:p>
    <w:p>
      <w:pPr>
        <w:widowControl/>
        <w:adjustRightInd w:val="0"/>
        <w:snapToGrid w:val="0"/>
        <w:spacing w:line="580" w:lineRule="exact"/>
        <w:ind w:firstLine="640" w:firstLineChars="200"/>
        <w:contextualSpacing/>
        <w:jc w:val="left"/>
        <w:outlineLvl w:val="9"/>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Style w:val="2"/>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pStyle w:val="2"/>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预算编制情况。</w:t>
      </w:r>
    </w:p>
    <w:p>
      <w:pPr>
        <w:pStyle w:val="2"/>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我局</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val="zh-CN" w:eastAsia="zh-CN"/>
        </w:rPr>
        <w:t>年预算编制严格按照《中华人民共和国预算法》的要求，按照相关填报口径做到科学合理的细化预算编制。</w:t>
      </w:r>
    </w:p>
    <w:p>
      <w:pPr>
        <w:pStyle w:val="2"/>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执行管理情况。</w:t>
      </w:r>
      <w:r>
        <w:rPr>
          <w:rFonts w:hint="eastAsia" w:ascii="仿宋_GB2312" w:hAnsi="仿宋_GB2312" w:eastAsia="仿宋_GB2312" w:cs="仿宋_GB2312"/>
          <w:sz w:val="32"/>
          <w:szCs w:val="32"/>
          <w:lang w:val="zh-CN" w:eastAsia="zh-CN"/>
        </w:rPr>
        <w:tab/>
      </w:r>
    </w:p>
    <w:p>
      <w:pPr>
        <w:pStyle w:val="2"/>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val="zh-CN" w:eastAsia="zh-CN"/>
        </w:rPr>
        <w:t>年我局所有预算内资金都严格纳入财政大平台系统管理，日常支出都严格履行了我局的报账程序。</w:t>
      </w:r>
    </w:p>
    <w:p>
      <w:pPr>
        <w:widowControl/>
        <w:adjustRightInd w:val="0"/>
        <w:snapToGrid w:val="0"/>
        <w:spacing w:line="580" w:lineRule="exact"/>
        <w:ind w:firstLine="640" w:firstLineChars="200"/>
        <w:contextualSpacing/>
        <w:jc w:val="left"/>
        <w:outlineLvl w:val="9"/>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keepNext w:val="0"/>
        <w:keepLines w:val="0"/>
        <w:pageBreakBefore w:val="0"/>
        <w:widowControl/>
        <w:kinsoku/>
        <w:wordWrap/>
        <w:overflowPunct/>
        <w:topLinePunct w:val="0"/>
        <w:autoSpaceDE/>
        <w:autoSpaceDN/>
        <w:bidi w:val="0"/>
        <w:adjustRightInd/>
        <w:snapToGrid/>
        <w:spacing w:line="480" w:lineRule="exact"/>
        <w:ind w:firstLine="640" w:firstLineChars="200"/>
        <w:jc w:val="left"/>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kern w:val="2"/>
          <w:sz w:val="32"/>
          <w:szCs w:val="32"/>
          <w:lang w:val="zh-CN" w:eastAsia="zh-CN" w:bidi="ar-SA"/>
        </w:rPr>
        <w:t>部门自评质量较好、绩效目标公开和自评公开、评价结果整改和应用结果反馈情况较好。</w:t>
      </w:r>
    </w:p>
    <w:p>
      <w:pPr>
        <w:widowControl/>
        <w:adjustRightInd w:val="0"/>
        <w:snapToGrid w:val="0"/>
        <w:spacing w:line="580" w:lineRule="exact"/>
        <w:ind w:firstLine="640" w:firstLineChars="200"/>
        <w:contextualSpacing/>
        <w:jc w:val="left"/>
        <w:outlineLvl w:val="9"/>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Style w:val="2"/>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2"/>
        <w:outlineLvl w:val="9"/>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zh-CN" w:eastAsia="zh-CN"/>
        </w:rPr>
        <w:t>从整体上看，</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val="zh-CN" w:eastAsia="zh-CN"/>
        </w:rPr>
        <w:t>年我局资金维护决策正确，资金管理规范，政策决策有力，有效发挥了财政资金使用效率。在人员经费支出上，严格执行县委、县</w:t>
      </w:r>
      <w:bookmarkStart w:id="148" w:name="_GoBack"/>
      <w:bookmarkEnd w:id="148"/>
      <w:r>
        <w:rPr>
          <w:rFonts w:hint="eastAsia" w:ascii="仿宋_GB2312" w:hAnsi="仿宋_GB2312" w:eastAsia="仿宋_GB2312" w:cs="仿宋_GB2312"/>
          <w:sz w:val="32"/>
          <w:szCs w:val="32"/>
          <w:lang w:val="zh-CN" w:eastAsia="zh-CN"/>
        </w:rPr>
        <w:t>政府的各项制度。在项目经费的使用上，严格按照项目资金实施方案执行。三公经费的使用严格按照预算执行。</w:t>
      </w:r>
    </w:p>
    <w:p>
      <w:pPr>
        <w:pStyle w:val="11"/>
        <w:keepNext w:val="0"/>
        <w:keepLines w:val="0"/>
        <w:pageBreakBefore w:val="0"/>
        <w:numPr>
          <w:ilvl w:val="0"/>
          <w:numId w:val="5"/>
        </w:numPr>
        <w:shd w:val="clear" w:color="auto" w:fill="FFFFFF"/>
        <w:kinsoku/>
        <w:wordWrap/>
        <w:overflowPunct/>
        <w:topLinePunct w:val="0"/>
        <w:autoSpaceDE/>
        <w:autoSpaceDN/>
        <w:bidi w:val="0"/>
        <w:spacing w:line="500" w:lineRule="exact"/>
        <w:ind w:left="0" w:leftChars="0" w:firstLine="640" w:firstLineChars="200"/>
        <w:jc w:val="both"/>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pStyle w:val="2"/>
        <w:outlineLvl w:val="9"/>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color w:val="000000"/>
          <w:kern w:val="2"/>
          <w:sz w:val="32"/>
          <w:szCs w:val="32"/>
          <w:lang w:val="en-US" w:eastAsia="zh-CN" w:bidi="ar-SA"/>
        </w:rPr>
        <w:t>我局项目多，任务重，资金量大，财务人员专业技术能力需进一步提高。</w:t>
      </w:r>
    </w:p>
    <w:p>
      <w:pPr>
        <w:widowControl/>
        <w:numPr>
          <w:ilvl w:val="0"/>
          <w:numId w:val="5"/>
        </w:numPr>
        <w:adjustRightInd w:val="0"/>
        <w:snapToGrid w:val="0"/>
        <w:spacing w:line="580" w:lineRule="exact"/>
        <w:ind w:left="0" w:leftChars="0" w:firstLine="640" w:firstLineChars="200"/>
        <w:contextualSpacing/>
        <w:jc w:val="left"/>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pStyle w:val="2"/>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严格按照财务规定程序，加大项目资金支付力度。</w:t>
      </w:r>
    </w:p>
    <w:p>
      <w:pPr>
        <w:pStyle w:val="2"/>
        <w:ind w:left="0" w:leftChars="0" w:firstLine="0" w:firstLineChars="0"/>
        <w:outlineLvl w:val="9"/>
        <w:rPr>
          <w:rFonts w:hint="eastAsia"/>
        </w:rPr>
      </w:pPr>
      <w:r>
        <w:rPr>
          <w:rFonts w:hint="eastAsia" w:ascii="仿宋_GB2312" w:hAnsi="仿宋_GB2312" w:eastAsia="仿宋_GB2312" w:cs="仿宋_GB2312"/>
          <w:sz w:val="32"/>
          <w:szCs w:val="32"/>
          <w:lang w:val="zh-CN" w:eastAsia="zh-CN"/>
        </w:rPr>
        <w:t>加强年初预算的编制工作，提高预算编制的准确性和细化性。</w:t>
      </w:r>
      <w:bookmarkStart w:id="106" w:name="_Toc15396618"/>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0"/>
        <w:rPr>
          <w:rFonts w:ascii="仿宋" w:hAnsi="仿宋" w:eastAsia="仿宋"/>
          <w:b/>
          <w:color w:val="000000"/>
          <w:sz w:val="44"/>
          <w:szCs w:val="44"/>
        </w:rPr>
      </w:pPr>
      <w:bookmarkStart w:id="107" w:name="_Toc30746"/>
      <w:bookmarkStart w:id="108" w:name="_Toc19237"/>
      <w:r>
        <w:rPr>
          <w:rFonts w:hint="eastAsia" w:ascii="黑体" w:hAnsi="黑体" w:eastAsia="黑体"/>
          <w:color w:val="000000"/>
          <w:sz w:val="44"/>
          <w:szCs w:val="44"/>
        </w:rPr>
        <w:t>第</w:t>
      </w:r>
      <w:r>
        <w:rPr>
          <w:rStyle w:val="16"/>
          <w:rFonts w:hint="eastAsia" w:ascii="黑体" w:hAnsi="黑体" w:eastAsia="黑体"/>
          <w:b w:val="0"/>
        </w:rPr>
        <w:t>五部分 附表</w:t>
      </w:r>
      <w:bookmarkEnd w:id="100"/>
      <w:bookmarkEnd w:id="106"/>
      <w:bookmarkEnd w:id="107"/>
      <w:bookmarkEnd w:id="108"/>
    </w:p>
    <w:p>
      <w:pPr>
        <w:pStyle w:val="5"/>
        <w:outlineLvl w:val="1"/>
        <w:rPr>
          <w:rFonts w:ascii="仿宋" w:hAnsi="仿宋" w:eastAsia="仿宋"/>
          <w:color w:val="000000"/>
        </w:rPr>
      </w:pPr>
      <w:bookmarkStart w:id="109" w:name="_Toc15396619"/>
      <w:bookmarkStart w:id="110" w:name="_Toc11047"/>
      <w:bookmarkStart w:id="111" w:name="_Toc27806"/>
      <w:r>
        <w:rPr>
          <w:rFonts w:hint="eastAsia" w:ascii="仿宋" w:hAnsi="仿宋" w:eastAsia="仿宋"/>
          <w:b w:val="0"/>
          <w:color w:val="000000"/>
        </w:rPr>
        <w:t>一、收</w:t>
      </w:r>
      <w:r>
        <w:rPr>
          <w:rStyle w:val="17"/>
          <w:rFonts w:hint="eastAsia" w:ascii="仿宋" w:hAnsi="仿宋" w:eastAsia="仿宋"/>
          <w:b w:val="0"/>
          <w:bCs w:val="0"/>
        </w:rPr>
        <w:t>入支出决算总表</w:t>
      </w:r>
      <w:bookmarkEnd w:id="109"/>
      <w:bookmarkEnd w:id="110"/>
      <w:bookmarkEnd w:id="111"/>
    </w:p>
    <w:p>
      <w:pPr>
        <w:pStyle w:val="5"/>
        <w:outlineLvl w:val="1"/>
        <w:rPr>
          <w:rFonts w:ascii="仿宋" w:hAnsi="仿宋" w:eastAsia="仿宋"/>
          <w:color w:val="000000"/>
        </w:rPr>
      </w:pPr>
      <w:bookmarkStart w:id="112" w:name="_Toc15396620"/>
      <w:bookmarkStart w:id="113" w:name="_Toc19742"/>
      <w:bookmarkStart w:id="114" w:name="_Toc1175"/>
      <w:r>
        <w:rPr>
          <w:rFonts w:hint="eastAsia" w:ascii="仿宋" w:hAnsi="仿宋" w:eastAsia="仿宋"/>
          <w:b w:val="0"/>
          <w:color w:val="000000"/>
        </w:rPr>
        <w:t>二、收</w:t>
      </w:r>
      <w:r>
        <w:rPr>
          <w:rStyle w:val="17"/>
          <w:rFonts w:hint="eastAsia" w:ascii="仿宋" w:hAnsi="仿宋" w:eastAsia="仿宋"/>
          <w:b w:val="0"/>
          <w:bCs w:val="0"/>
        </w:rPr>
        <w:t>入决算表</w:t>
      </w:r>
      <w:bookmarkEnd w:id="112"/>
      <w:bookmarkEnd w:id="113"/>
      <w:bookmarkEnd w:id="114"/>
    </w:p>
    <w:p>
      <w:pPr>
        <w:pStyle w:val="5"/>
        <w:outlineLvl w:val="1"/>
        <w:rPr>
          <w:rFonts w:ascii="仿宋" w:hAnsi="仿宋" w:eastAsia="仿宋"/>
          <w:color w:val="000000"/>
        </w:rPr>
      </w:pPr>
      <w:bookmarkStart w:id="115" w:name="_Toc15396621"/>
      <w:bookmarkStart w:id="116" w:name="_Toc14417"/>
      <w:bookmarkStart w:id="117" w:name="_Toc7022"/>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出决算表</w:t>
      </w:r>
      <w:bookmarkEnd w:id="115"/>
      <w:bookmarkEnd w:id="116"/>
      <w:bookmarkEnd w:id="117"/>
    </w:p>
    <w:p>
      <w:pPr>
        <w:pStyle w:val="5"/>
        <w:outlineLvl w:val="1"/>
        <w:rPr>
          <w:rFonts w:ascii="仿宋" w:hAnsi="仿宋" w:eastAsia="仿宋"/>
          <w:b w:val="0"/>
          <w:color w:val="000000"/>
        </w:rPr>
      </w:pPr>
      <w:bookmarkStart w:id="118" w:name="_Toc15396622"/>
      <w:bookmarkStart w:id="119" w:name="_Toc15398"/>
      <w:bookmarkStart w:id="120" w:name="_Toc32463"/>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118"/>
      <w:bookmarkEnd w:id="119"/>
      <w:bookmarkEnd w:id="120"/>
    </w:p>
    <w:p>
      <w:pPr>
        <w:pStyle w:val="5"/>
        <w:outlineLvl w:val="1"/>
        <w:rPr>
          <w:rStyle w:val="17"/>
          <w:rFonts w:ascii="仿宋" w:hAnsi="仿宋" w:eastAsia="仿宋"/>
          <w:b w:val="0"/>
          <w:bCs w:val="0"/>
        </w:rPr>
      </w:pPr>
      <w:bookmarkStart w:id="121" w:name="_Toc15396623"/>
      <w:bookmarkStart w:id="122" w:name="_Toc30289"/>
      <w:bookmarkStart w:id="123" w:name="_Toc20587"/>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w:t>
      </w:r>
      <w:bookmarkEnd w:id="121"/>
      <w:bookmarkEnd w:id="122"/>
      <w:bookmarkEnd w:id="123"/>
      <w:bookmarkStart w:id="124" w:name="_Toc15396624"/>
    </w:p>
    <w:p>
      <w:pPr>
        <w:pStyle w:val="5"/>
        <w:outlineLvl w:val="1"/>
        <w:rPr>
          <w:rFonts w:ascii="仿宋" w:hAnsi="仿宋" w:eastAsia="仿宋"/>
          <w:color w:val="000000"/>
        </w:rPr>
      </w:pPr>
      <w:bookmarkStart w:id="125" w:name="_Toc29954"/>
      <w:bookmarkStart w:id="126" w:name="_Toc19982"/>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124"/>
      <w:bookmarkEnd w:id="125"/>
      <w:bookmarkEnd w:id="126"/>
    </w:p>
    <w:p>
      <w:pPr>
        <w:pStyle w:val="5"/>
        <w:outlineLvl w:val="1"/>
        <w:rPr>
          <w:rFonts w:ascii="仿宋" w:hAnsi="仿宋" w:eastAsia="仿宋"/>
          <w:color w:val="000000"/>
        </w:rPr>
      </w:pPr>
      <w:bookmarkStart w:id="127" w:name="_Toc15396625"/>
      <w:bookmarkStart w:id="128" w:name="_Toc14022"/>
      <w:bookmarkStart w:id="129" w:name="_Toc3247"/>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127"/>
      <w:bookmarkEnd w:id="128"/>
      <w:bookmarkEnd w:id="129"/>
    </w:p>
    <w:p>
      <w:pPr>
        <w:pStyle w:val="5"/>
        <w:outlineLvl w:val="1"/>
        <w:rPr>
          <w:rFonts w:ascii="仿宋" w:hAnsi="仿宋" w:eastAsia="仿宋"/>
          <w:color w:val="000000"/>
        </w:rPr>
      </w:pPr>
      <w:bookmarkStart w:id="130" w:name="_Toc15396626"/>
      <w:bookmarkStart w:id="131" w:name="_Toc10145"/>
      <w:bookmarkStart w:id="132" w:name="_Toc15708"/>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130"/>
      <w:bookmarkEnd w:id="131"/>
      <w:bookmarkEnd w:id="132"/>
    </w:p>
    <w:p>
      <w:pPr>
        <w:pStyle w:val="5"/>
        <w:outlineLvl w:val="1"/>
        <w:rPr>
          <w:rFonts w:ascii="仿宋" w:hAnsi="仿宋" w:eastAsia="仿宋"/>
          <w:color w:val="000000"/>
        </w:rPr>
      </w:pPr>
      <w:bookmarkStart w:id="133" w:name="_Toc15396627"/>
      <w:bookmarkStart w:id="134" w:name="_Toc9097"/>
      <w:bookmarkStart w:id="135" w:name="_Toc27673"/>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133"/>
      <w:bookmarkEnd w:id="134"/>
      <w:bookmarkEnd w:id="135"/>
    </w:p>
    <w:p>
      <w:pPr>
        <w:pStyle w:val="5"/>
        <w:outlineLvl w:val="1"/>
        <w:rPr>
          <w:rFonts w:ascii="仿宋" w:hAnsi="仿宋" w:eastAsia="仿宋"/>
          <w:color w:val="000000"/>
        </w:rPr>
      </w:pPr>
      <w:bookmarkStart w:id="136" w:name="_Toc15396628"/>
      <w:bookmarkStart w:id="137" w:name="_Toc12694"/>
      <w:bookmarkStart w:id="138" w:name="_Toc19014"/>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136"/>
      <w:bookmarkEnd w:id="137"/>
      <w:bookmarkEnd w:id="138"/>
    </w:p>
    <w:p>
      <w:pPr>
        <w:pStyle w:val="5"/>
        <w:outlineLvl w:val="1"/>
        <w:rPr>
          <w:rFonts w:ascii="仿宋" w:hAnsi="仿宋" w:eastAsia="仿宋"/>
          <w:color w:val="000000"/>
        </w:rPr>
      </w:pPr>
      <w:bookmarkStart w:id="139" w:name="_Toc15396629"/>
      <w:bookmarkStart w:id="140" w:name="_Toc31381"/>
      <w:bookmarkStart w:id="141" w:name="_Toc10878"/>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139"/>
      <w:bookmarkEnd w:id="140"/>
      <w:bookmarkEnd w:id="141"/>
    </w:p>
    <w:p>
      <w:pPr>
        <w:pStyle w:val="5"/>
        <w:outlineLvl w:val="1"/>
        <w:rPr>
          <w:rFonts w:ascii="仿宋" w:hAnsi="仿宋" w:eastAsia="仿宋"/>
          <w:color w:val="000000"/>
        </w:rPr>
      </w:pPr>
      <w:bookmarkStart w:id="142" w:name="_Toc15396630"/>
      <w:bookmarkStart w:id="143" w:name="_Toc7381"/>
      <w:bookmarkStart w:id="144" w:name="_Toc11211"/>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142"/>
      <w:bookmarkEnd w:id="143"/>
      <w:bookmarkEnd w:id="144"/>
    </w:p>
    <w:p>
      <w:pPr>
        <w:pStyle w:val="5"/>
        <w:outlineLvl w:val="1"/>
        <w:rPr>
          <w:rFonts w:ascii="仿宋" w:hAnsi="仿宋" w:eastAsia="仿宋"/>
          <w:color w:val="000000" w:themeColor="text1"/>
          <w14:textFill>
            <w14:solidFill>
              <w14:schemeClr w14:val="tx1"/>
            </w14:solidFill>
          </w14:textFill>
        </w:rPr>
      </w:pPr>
      <w:bookmarkStart w:id="145" w:name="_Toc15396631"/>
      <w:bookmarkStart w:id="146" w:name="_Toc31306"/>
      <w:bookmarkStart w:id="147" w:name="_Toc19320"/>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有资本经营预算支出决算表</w:t>
      </w:r>
      <w:bookmarkEnd w:id="145"/>
      <w:bookmarkEnd w:id="146"/>
      <w:bookmarkEnd w:id="147"/>
    </w:p>
    <w:p/>
    <w:sectPr>
      <w:footerReference r:id="rId7" w:type="first"/>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Calibri Light">
    <w:altName w:val="Calibri"/>
    <w:panose1 w:val="020F0302020204030204"/>
    <w:charset w:val="00"/>
    <w:family w:val="auto"/>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4A2E14C"/>
    <w:multiLevelType w:val="singleLevel"/>
    <w:tmpl w:val="14A2E14C"/>
    <w:lvl w:ilvl="0" w:tentative="0">
      <w:start w:val="2"/>
      <w:numFmt w:val="chineseCounting"/>
      <w:suff w:val="nothing"/>
      <w:lvlText w:val="%1、"/>
      <w:lvlJc w:val="left"/>
      <w:rPr>
        <w:rFonts w:hint="eastAsia"/>
      </w:rPr>
    </w:lvl>
  </w:abstractNum>
  <w:abstractNum w:abstractNumId="4">
    <w:nsid w:val="7428C187"/>
    <w:multiLevelType w:val="singleLevel"/>
    <w:tmpl w:val="7428C187"/>
    <w:lvl w:ilvl="0" w:tentative="0">
      <w:start w:val="2"/>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YzU2ZTdmYTA1MmVmNjYwYjk5MWQxYmQ2YWZiOGQifQ=="/>
  </w:docVars>
  <w:rsids>
    <w:rsidRoot w:val="5ACE66FE"/>
    <w:rsid w:val="016A1163"/>
    <w:rsid w:val="054E457F"/>
    <w:rsid w:val="06B87F73"/>
    <w:rsid w:val="0C232803"/>
    <w:rsid w:val="1F3E1456"/>
    <w:rsid w:val="24127FA3"/>
    <w:rsid w:val="27127F2A"/>
    <w:rsid w:val="27DF3D05"/>
    <w:rsid w:val="2B9244F5"/>
    <w:rsid w:val="2E583940"/>
    <w:rsid w:val="302D1A1A"/>
    <w:rsid w:val="3507157C"/>
    <w:rsid w:val="3A3411E1"/>
    <w:rsid w:val="3A451FF4"/>
    <w:rsid w:val="3B072F5A"/>
    <w:rsid w:val="3F132CA1"/>
    <w:rsid w:val="48487E24"/>
    <w:rsid w:val="4ACA5F49"/>
    <w:rsid w:val="532068C0"/>
    <w:rsid w:val="591C3950"/>
    <w:rsid w:val="5AB100F0"/>
    <w:rsid w:val="5ACE66FE"/>
    <w:rsid w:val="5D4125E0"/>
    <w:rsid w:val="690479A0"/>
    <w:rsid w:val="707136D4"/>
    <w:rsid w:val="726B4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6">
    <w:name w:val="Body Text"/>
    <w:basedOn w:val="1"/>
    <w:qFormat/>
    <w:uiPriority w:val="99"/>
    <w:pPr>
      <w:spacing w:beforeLines="30"/>
    </w:pPr>
    <w:rPr>
      <w:rFonts w:ascii="仿宋_GB2312" w:eastAsia="仿宋_GB2312"/>
      <w:kern w:val="0"/>
      <w:sz w:val="30"/>
    </w:rPr>
  </w:style>
  <w:style w:type="paragraph" w:styleId="7">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8">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toc 2"/>
    <w:basedOn w:val="1"/>
    <w:next w:val="1"/>
    <w:unhideWhenUsed/>
    <w:qFormat/>
    <w:uiPriority w:val="39"/>
    <w:pPr>
      <w:tabs>
        <w:tab w:val="right" w:leader="dot" w:pos="8296"/>
      </w:tabs>
      <w:ind w:left="420" w:leftChars="200"/>
    </w:pPr>
  </w:style>
  <w:style w:type="paragraph" w:styleId="11">
    <w:name w:val="Normal (Web)"/>
    <w:basedOn w:val="1"/>
    <w:semiHidden/>
    <w:unhideWhenUsed/>
    <w:qFormat/>
    <w:uiPriority w:val="99"/>
    <w:pPr>
      <w:widowControl/>
      <w:jc w:val="left"/>
    </w:pPr>
    <w:rPr>
      <w:rFonts w:ascii="微软雅黑" w:hAnsi="微软雅黑" w:eastAsia="宋体" w:cs="宋体"/>
      <w:kern w:val="0"/>
      <w:sz w:val="24"/>
      <w:szCs w:val="24"/>
    </w:rPr>
  </w:style>
  <w:style w:type="character" w:styleId="14">
    <w:name w:val="Strong"/>
    <w:basedOn w:val="13"/>
    <w:qFormat/>
    <w:uiPriority w:val="99"/>
    <w:rPr>
      <w:b/>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customStyle="1" w:styleId="16">
    <w:name w:val="标题 1 字符"/>
    <w:basedOn w:val="13"/>
    <w:link w:val="4"/>
    <w:qFormat/>
    <w:uiPriority w:val="9"/>
    <w:rPr>
      <w:b/>
      <w:bCs/>
      <w:kern w:val="44"/>
      <w:sz w:val="44"/>
      <w:szCs w:val="44"/>
    </w:rPr>
  </w:style>
  <w:style w:type="character" w:customStyle="1" w:styleId="17">
    <w:name w:val="标题 2 字符"/>
    <w:basedOn w:val="13"/>
    <w:link w:val="5"/>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 w:type="paragraph" w:customStyle="1" w:styleId="1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 w:type="paragraph" w:customStyle="1" w:styleId="2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6">
                <a:lumMod val="40000"/>
                <a:lumOff val="60000"/>
              </a:schemeClr>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0</c:v>
                </c:pt>
                <c:pt idx="1">
                  <c:v>0</c:v>
                </c:pt>
              </c:numCache>
            </c:numRef>
          </c:val>
        </c:ser>
        <c:ser>
          <c:idx val="1"/>
          <c:order val="1"/>
          <c:tx>
            <c:strRef>
              <c:f>Sheet1!$C$1</c:f>
              <c:strCache>
                <c:ptCount val="1"/>
                <c:pt idx="0">
                  <c:v>2019年</c:v>
                </c:pt>
              </c:strCache>
            </c:strRef>
          </c:tx>
          <c:spPr>
            <a:solidFill>
              <a:schemeClr val="accent6">
                <a:lumMod val="75000"/>
              </a:schemeClr>
            </a:solidFill>
            <a:ln>
              <a:noFill/>
            </a:ln>
            <a:effectLst/>
          </c:spPr>
          <c:invertIfNegative val="0"/>
          <c:dPt>
            <c:idx val="1"/>
            <c:invertIfNegative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137.21</c:v>
                </c:pt>
                <c:pt idx="1">
                  <c:v>137.21</c:v>
                </c:pt>
              </c:numCache>
            </c:numRef>
          </c:val>
        </c:ser>
        <c:dLbls>
          <c:showLegendKey val="0"/>
          <c:showVal val="1"/>
          <c:showCatName val="0"/>
          <c:showSerName val="0"/>
          <c:showPercent val="0"/>
          <c:showBubbleSize val="0"/>
        </c:dLbls>
        <c:gapWidth val="219"/>
        <c:overlap val="-27"/>
        <c:axId val="664181426"/>
        <c:axId val="958763901"/>
      </c:barChart>
      <c:catAx>
        <c:axId val="6641814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763901"/>
        <c:crosses val="autoZero"/>
        <c:auto val="1"/>
        <c:lblAlgn val="ctr"/>
        <c:lblOffset val="100"/>
        <c:noMultiLvlLbl val="0"/>
      </c:catAx>
      <c:valAx>
        <c:axId val="9587639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4181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6">
                  <a:lumMod val="75000"/>
                </a:schemeClr>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100</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6">
                  <a:lumMod val="75000"/>
                </a:schemeClr>
              </a:solidFill>
              <a:ln w="19050">
                <a:solidFill>
                  <a:schemeClr val="lt1"/>
                </a:solidFill>
              </a:ln>
              <a:effectLst/>
            </c:spPr>
          </c:dPt>
          <c:dPt>
            <c:idx val="1"/>
            <c:bubble3D val="0"/>
            <c:spPr>
              <a:solidFill>
                <a:schemeClr val="accent6">
                  <a:lumMod val="40000"/>
                  <a:lumOff val="6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1</c:v>
                </c:pt>
                <c:pt idx="1">
                  <c:v>0</c:v>
                </c:pt>
                <c:pt idx="2" c:formatCode="General">
                  <c:v>0</c:v>
                </c:pt>
                <c:pt idx="3" c:formatCode="General">
                  <c:v>0</c:v>
                </c:pt>
                <c:pt idx="4"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557068491981"/>
          <c:y val="0.095703152508157"/>
          <c:w val="0.877557927623015"/>
          <c:h val="0.823527616722612"/>
        </c:manualLayout>
      </c:layout>
      <c:barChart>
        <c:barDir val="col"/>
        <c:grouping val="clustered"/>
        <c:varyColors val="0"/>
        <c:ser>
          <c:idx val="0"/>
          <c:order val="0"/>
          <c:tx>
            <c:strRef>
              <c:f>Sheet1!$B$1</c:f>
              <c:strCache>
                <c:ptCount val="1"/>
                <c:pt idx="0">
                  <c:v>2018年</c:v>
                </c:pt>
              </c:strCache>
            </c:strRef>
          </c:tx>
          <c:spPr>
            <a:solidFill>
              <a:schemeClr val="accent6">
                <a:lumMod val="40000"/>
                <a:lumOff val="6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0</c:v>
                </c:pt>
                <c:pt idx="1">
                  <c:v>0</c:v>
                </c:pt>
              </c:numCache>
            </c:numRef>
          </c:val>
        </c:ser>
        <c:ser>
          <c:idx val="1"/>
          <c:order val="1"/>
          <c:tx>
            <c:strRef>
              <c:f>Sheet1!$C$1</c:f>
              <c:strCache>
                <c:ptCount val="1"/>
                <c:pt idx="0">
                  <c:v>2019年</c:v>
                </c:pt>
              </c:strCache>
            </c:strRef>
          </c:tx>
          <c:spPr>
            <a:solidFill>
              <a:schemeClr val="accent6">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137.21</c:v>
                </c:pt>
                <c:pt idx="1">
                  <c:v>137.21</c:v>
                </c:pt>
              </c:numCache>
            </c:numRef>
          </c:val>
        </c:ser>
        <c:dLbls>
          <c:showLegendKey val="0"/>
          <c:showVal val="1"/>
          <c:showCatName val="0"/>
          <c:showSerName val="0"/>
          <c:showPercent val="0"/>
          <c:showBubbleSize val="0"/>
        </c:dLbls>
        <c:gapWidth val="219"/>
        <c:overlap val="-27"/>
        <c:axId val="432792099"/>
        <c:axId val="260797716"/>
      </c:barChart>
      <c:catAx>
        <c:axId val="4327920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797716"/>
        <c:crosses val="autoZero"/>
        <c:auto val="1"/>
        <c:lblAlgn val="ctr"/>
        <c:lblOffset val="100"/>
        <c:noMultiLvlLbl val="0"/>
      </c:catAx>
      <c:valAx>
        <c:axId val="2607977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27920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c:v>
                </c:pt>
              </c:strCache>
            </c:strRef>
          </c:tx>
          <c:spPr>
            <a:solidFill>
              <a:schemeClr val="accent6">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0</c:v>
                </c:pt>
                <c:pt idx="1">
                  <c:v>137.21</c:v>
                </c:pt>
              </c:numCache>
            </c:numRef>
          </c:val>
        </c:ser>
        <c:dLbls>
          <c:showLegendKey val="0"/>
          <c:showVal val="1"/>
          <c:showCatName val="0"/>
          <c:showSerName val="0"/>
          <c:showPercent val="0"/>
          <c:showBubbleSize val="0"/>
        </c:dLbls>
        <c:gapWidth val="219"/>
        <c:overlap val="-27"/>
        <c:axId val="375212140"/>
        <c:axId val="980762572"/>
      </c:barChart>
      <c:catAx>
        <c:axId val="3752121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0762572"/>
        <c:crosses val="autoZero"/>
        <c:auto val="1"/>
        <c:lblAlgn val="ctr"/>
        <c:lblOffset val="100"/>
        <c:noMultiLvlLbl val="0"/>
      </c:catAx>
      <c:valAx>
        <c:axId val="9807625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52121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6">
                  <a:lumMod val="75000"/>
                </a:schemeClr>
              </a:solidFill>
              <a:ln w="19050">
                <a:solidFill>
                  <a:schemeClr val="lt1"/>
                </a:solidFill>
              </a:ln>
              <a:effectLst/>
            </c:spPr>
          </c:dPt>
          <c:dPt>
            <c:idx val="1"/>
            <c:bubble3D val="0"/>
            <c:spPr>
              <a:solidFill>
                <a:schemeClr val="accent6">
                  <a:lumMod val="40000"/>
                  <a:lumOff val="6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208类</c:v>
                </c:pt>
                <c:pt idx="1">
                  <c:v>213类</c:v>
                </c:pt>
                <c:pt idx="2">
                  <c:v>221类</c:v>
                </c:pt>
              </c:strCache>
            </c:strRef>
          </c:cat>
          <c:val>
            <c:numRef>
              <c:f>Sheet1!$B$2:$B$5</c:f>
              <c:numCache>
                <c:formatCode>0.00%</c:formatCode>
                <c:ptCount val="4"/>
                <c:pt idx="0">
                  <c:v>0.1026</c:v>
                </c:pt>
                <c:pt idx="1">
                  <c:v>0.8246</c:v>
                </c:pt>
                <c:pt idx="2">
                  <c:v>0.0728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7202</Words>
  <Characters>7723</Characters>
  <Lines>0</Lines>
  <Paragraphs>0</Paragraphs>
  <TotalTime>2</TotalTime>
  <ScaleCrop>false</ScaleCrop>
  <LinksUpToDate>false</LinksUpToDate>
  <CharactersWithSpaces>7851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2020-09-19T15:19:00Z</dcterms:created>
  <dc:creator>哈宝monster</dc:creator>
  <cp:lastModifiedBy>Administrator</cp:lastModifiedBy>
  <dcterms:modified xsi:type="dcterms:W3CDTF">2023-07-14T02:30:42Z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B939536CC1D34C569B798C8736572511_12</vt:lpwstr>
  </property>
</Properties>
</file>