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425"/>
      <w:bookmarkStart w:id="3" w:name="_Toc15378441"/>
      <w:bookmarkStart w:id="4" w:name="_Toc15396475"/>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7194"/>
      <w:bookmarkStart w:id="8" w:name="_Toc15396476"/>
      <w:bookmarkStart w:id="9" w:name="_Toc15378442"/>
      <w:bookmarkStart w:id="10" w:name="_Toc1537742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九寨沟县水务局</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公开时间：2021年</w:t>
      </w:r>
      <w:r>
        <w:rPr>
          <w:rFonts w:hint="eastAsia" w:hAnsiTheme="minorHAnsi"/>
          <w:b w:val="0"/>
          <w:bCs w:val="0"/>
          <w:sz w:val="24"/>
          <w:szCs w:val="24"/>
          <w:lang w:val="en-US" w:eastAsia="zh-CN"/>
        </w:rPr>
        <w:t>9</w:t>
      </w:r>
      <w:r>
        <w:rPr>
          <w:rFonts w:hint="eastAsia" w:hAnsiTheme="minorHAnsi"/>
          <w:b w:val="0"/>
          <w:bCs w:val="0"/>
          <w:sz w:val="24"/>
          <w:szCs w:val="24"/>
        </w:rPr>
        <w:t xml:space="preserve"> 月</w:t>
      </w:r>
      <w:r>
        <w:rPr>
          <w:rFonts w:hint="eastAsia" w:hAnsiTheme="minorHAnsi"/>
          <w:b w:val="0"/>
          <w:bCs w:val="0"/>
          <w:sz w:val="24"/>
          <w:szCs w:val="24"/>
          <w:lang w:val="en-US" w:eastAsia="zh-CN"/>
        </w:rPr>
        <w:t>15</w:t>
      </w:r>
      <w:r>
        <w:rPr>
          <w:rFonts w:hint="eastAsia" w:hAnsiTheme="minorHAnsi"/>
          <w:b w:val="0"/>
          <w:bCs w:val="0"/>
          <w:sz w:val="24"/>
          <w:szCs w:val="24"/>
        </w:rPr>
        <w:t xml:space="preserve"> 日</w:t>
      </w:r>
    </w:p>
    <w:p>
      <w:pPr>
        <w:pStyle w:val="39"/>
        <w:tabs>
          <w:tab w:val="right" w:leader="dot" w:pos="8306"/>
        </w:tabs>
      </w:pPr>
      <w:bookmarkStart w:id="12" w:name="_Toc15396599"/>
      <w:bookmarkStart w:id="13" w:name="_Toc15377196"/>
      <w:r>
        <w:fldChar w:fldCharType="begin"/>
      </w:r>
      <w:r>
        <w:instrText xml:space="preserve">TOC \o "1-2" \h \u </w:instrText>
      </w:r>
      <w:r>
        <w:fldChar w:fldCharType="separate"/>
      </w:r>
      <w:r>
        <w:fldChar w:fldCharType="begin"/>
      </w:r>
      <w:r>
        <w:instrText xml:space="preserve"> HYPERLINK \l _Toc1030 </w:instrText>
      </w:r>
      <w:r>
        <w:fldChar w:fldCharType="separate"/>
      </w:r>
      <w:r>
        <w:rPr>
          <w:rFonts w:hint="eastAsia"/>
        </w:rPr>
        <w:t>第一部分</w:t>
      </w:r>
      <w:r>
        <w:t xml:space="preserve"> </w:t>
      </w:r>
      <w:r>
        <w:rPr>
          <w:rFonts w:hint="eastAsia"/>
        </w:rPr>
        <w:t>部门概况</w:t>
      </w:r>
      <w:r>
        <w:tab/>
      </w:r>
      <w:r>
        <w:fldChar w:fldCharType="begin"/>
      </w:r>
      <w:r>
        <w:instrText xml:space="preserve"> PAGEREF _Toc1030 </w:instrText>
      </w:r>
      <w:r>
        <w:fldChar w:fldCharType="separate"/>
      </w:r>
      <w:r>
        <w:t>4</w:t>
      </w:r>
      <w:r>
        <w:fldChar w:fldCharType="end"/>
      </w:r>
      <w:r>
        <w:fldChar w:fldCharType="end"/>
      </w:r>
    </w:p>
    <w:p>
      <w:pPr>
        <w:pStyle w:val="39"/>
        <w:tabs>
          <w:tab w:val="right" w:leader="dot" w:pos="8306"/>
        </w:tabs>
      </w:pPr>
      <w:r>
        <w:fldChar w:fldCharType="begin"/>
      </w:r>
      <w:r>
        <w:instrText xml:space="preserve"> HYPERLINK \l _Toc2755 </w:instrText>
      </w:r>
      <w:r>
        <w:fldChar w:fldCharType="separate"/>
      </w:r>
      <w:r>
        <w:rPr>
          <w:rFonts w:hint="eastAsia"/>
        </w:rPr>
        <w:t>一、基本职能及主要工作</w:t>
      </w:r>
      <w:r>
        <w:tab/>
      </w:r>
      <w:r>
        <w:fldChar w:fldCharType="begin"/>
      </w:r>
      <w:r>
        <w:instrText xml:space="preserve"> PAGEREF _Toc2755 </w:instrText>
      </w:r>
      <w:r>
        <w:fldChar w:fldCharType="separate"/>
      </w:r>
      <w:r>
        <w:t>4</w:t>
      </w:r>
      <w:r>
        <w:fldChar w:fldCharType="end"/>
      </w:r>
      <w:r>
        <w:fldChar w:fldCharType="end"/>
      </w:r>
    </w:p>
    <w:p>
      <w:pPr>
        <w:pStyle w:val="39"/>
        <w:tabs>
          <w:tab w:val="right" w:leader="dot" w:pos="8306"/>
        </w:tabs>
      </w:pPr>
      <w:r>
        <w:fldChar w:fldCharType="begin"/>
      </w:r>
      <w:r>
        <w:instrText xml:space="preserve"> HYPERLINK \l _Toc3242 </w:instrText>
      </w:r>
      <w:r>
        <w:fldChar w:fldCharType="separate"/>
      </w:r>
      <w:r>
        <w:rPr>
          <w:rFonts w:hint="eastAsia"/>
        </w:rPr>
        <w:t>二、机构设置</w:t>
      </w:r>
      <w:r>
        <w:tab/>
      </w:r>
      <w:r>
        <w:fldChar w:fldCharType="begin"/>
      </w:r>
      <w:r>
        <w:instrText xml:space="preserve"> PAGEREF _Toc3242 </w:instrText>
      </w:r>
      <w:r>
        <w:fldChar w:fldCharType="separate"/>
      </w:r>
      <w:r>
        <w:t>8</w:t>
      </w:r>
      <w:r>
        <w:fldChar w:fldCharType="end"/>
      </w:r>
      <w:r>
        <w:fldChar w:fldCharType="end"/>
      </w:r>
    </w:p>
    <w:p>
      <w:pPr>
        <w:pStyle w:val="39"/>
        <w:tabs>
          <w:tab w:val="right" w:leader="dot" w:pos="8306"/>
        </w:tabs>
      </w:pPr>
      <w:r>
        <w:fldChar w:fldCharType="begin"/>
      </w:r>
      <w:r>
        <w:instrText xml:space="preserve"> HYPERLINK \l _Toc9485 </w:instrText>
      </w:r>
      <w:r>
        <w:fldChar w:fldCharType="separate"/>
      </w:r>
      <w:r>
        <w:rPr>
          <w:rFonts w:hint="eastAsia"/>
        </w:rPr>
        <w:t>第二部分</w:t>
      </w:r>
      <w:r>
        <w:t xml:space="preserve"> 2020</w:t>
      </w:r>
      <w:r>
        <w:rPr>
          <w:rFonts w:hint="eastAsia"/>
        </w:rPr>
        <w:t>年度部门决算情况说明</w:t>
      </w:r>
      <w:r>
        <w:tab/>
      </w:r>
      <w:r>
        <w:fldChar w:fldCharType="begin"/>
      </w:r>
      <w:r>
        <w:instrText xml:space="preserve"> PAGEREF _Toc9485 </w:instrText>
      </w:r>
      <w:r>
        <w:fldChar w:fldCharType="separate"/>
      </w:r>
      <w:r>
        <w:t>9</w:t>
      </w:r>
      <w:r>
        <w:fldChar w:fldCharType="end"/>
      </w:r>
      <w:r>
        <w:fldChar w:fldCharType="end"/>
      </w:r>
    </w:p>
    <w:p>
      <w:pPr>
        <w:pStyle w:val="39"/>
        <w:tabs>
          <w:tab w:val="right" w:leader="dot" w:pos="8306"/>
        </w:tabs>
      </w:pPr>
      <w:r>
        <w:fldChar w:fldCharType="begin"/>
      </w:r>
      <w:r>
        <w:instrText xml:space="preserve"> HYPERLINK \l _Toc8268 </w:instrText>
      </w:r>
      <w:r>
        <w:fldChar w:fldCharType="separate"/>
      </w:r>
      <w:r>
        <w:rPr>
          <w:rFonts w:hint="default"/>
        </w:rPr>
        <w:t xml:space="preserve">一、 </w:t>
      </w:r>
      <w:r>
        <w:rPr>
          <w:rFonts w:hint="eastAsia"/>
        </w:rPr>
        <w:t>收入支出决算总体情况说明</w:t>
      </w:r>
      <w:r>
        <w:tab/>
      </w:r>
      <w:r>
        <w:fldChar w:fldCharType="begin"/>
      </w:r>
      <w:r>
        <w:instrText xml:space="preserve"> PAGEREF _Toc8268 </w:instrText>
      </w:r>
      <w:r>
        <w:fldChar w:fldCharType="separate"/>
      </w:r>
      <w:r>
        <w:t>9</w:t>
      </w:r>
      <w:r>
        <w:fldChar w:fldCharType="end"/>
      </w:r>
      <w:r>
        <w:fldChar w:fldCharType="end"/>
      </w:r>
    </w:p>
    <w:p>
      <w:pPr>
        <w:pStyle w:val="39"/>
        <w:tabs>
          <w:tab w:val="right" w:leader="dot" w:pos="8306"/>
        </w:tabs>
      </w:pPr>
      <w:r>
        <w:fldChar w:fldCharType="begin"/>
      </w:r>
      <w:r>
        <w:instrText xml:space="preserve"> HYPERLINK \l _Toc17735 </w:instrText>
      </w:r>
      <w:r>
        <w:fldChar w:fldCharType="separate"/>
      </w:r>
      <w:r>
        <w:rPr>
          <w:rFonts w:hint="default"/>
        </w:rPr>
        <w:t xml:space="preserve">二、 </w:t>
      </w:r>
      <w:r>
        <w:rPr>
          <w:rFonts w:hint="eastAsia"/>
        </w:rPr>
        <w:t>收入决算情况说明</w:t>
      </w:r>
      <w:r>
        <w:tab/>
      </w:r>
      <w:r>
        <w:fldChar w:fldCharType="begin"/>
      </w:r>
      <w:r>
        <w:instrText xml:space="preserve"> PAGEREF _Toc17735 </w:instrText>
      </w:r>
      <w:r>
        <w:fldChar w:fldCharType="separate"/>
      </w:r>
      <w:r>
        <w:t>9</w:t>
      </w:r>
      <w:r>
        <w:fldChar w:fldCharType="end"/>
      </w:r>
      <w:r>
        <w:fldChar w:fldCharType="end"/>
      </w:r>
    </w:p>
    <w:p>
      <w:pPr>
        <w:pStyle w:val="39"/>
        <w:tabs>
          <w:tab w:val="right" w:leader="dot" w:pos="8306"/>
        </w:tabs>
      </w:pPr>
      <w:r>
        <w:fldChar w:fldCharType="begin"/>
      </w:r>
      <w:r>
        <w:instrText xml:space="preserve"> HYPERLINK \l _Toc9824 </w:instrText>
      </w:r>
      <w:r>
        <w:fldChar w:fldCharType="separate"/>
      </w:r>
      <w:r>
        <w:rPr>
          <w:rFonts w:hint="default"/>
        </w:rPr>
        <w:t xml:space="preserve">三、 </w:t>
      </w:r>
      <w:r>
        <w:rPr>
          <w:rFonts w:hint="eastAsia"/>
        </w:rPr>
        <w:t>支出决算情况说明</w:t>
      </w:r>
      <w:r>
        <w:tab/>
      </w:r>
      <w:r>
        <w:fldChar w:fldCharType="begin"/>
      </w:r>
      <w:r>
        <w:instrText xml:space="preserve"> PAGEREF _Toc9824 </w:instrText>
      </w:r>
      <w:r>
        <w:fldChar w:fldCharType="separate"/>
      </w:r>
      <w:r>
        <w:t>10</w:t>
      </w:r>
      <w:r>
        <w:fldChar w:fldCharType="end"/>
      </w:r>
      <w:r>
        <w:fldChar w:fldCharType="end"/>
      </w:r>
    </w:p>
    <w:p>
      <w:pPr>
        <w:pStyle w:val="39"/>
        <w:tabs>
          <w:tab w:val="right" w:leader="dot" w:pos="8306"/>
        </w:tabs>
      </w:pPr>
      <w:r>
        <w:fldChar w:fldCharType="begin"/>
      </w:r>
      <w:r>
        <w:instrText xml:space="preserve"> HYPERLINK \l _Toc5734 </w:instrText>
      </w:r>
      <w:r>
        <w:fldChar w:fldCharType="separate"/>
      </w:r>
      <w:r>
        <w:rPr>
          <w:rFonts w:hint="eastAsia"/>
        </w:rPr>
        <w:t>四、财政拨款收入支出决算总体情况说明</w:t>
      </w:r>
      <w:r>
        <w:tab/>
      </w:r>
      <w:r>
        <w:fldChar w:fldCharType="begin"/>
      </w:r>
      <w:r>
        <w:instrText xml:space="preserve"> PAGEREF _Toc5734 </w:instrText>
      </w:r>
      <w:r>
        <w:fldChar w:fldCharType="separate"/>
      </w:r>
      <w:r>
        <w:t>11</w:t>
      </w:r>
      <w:r>
        <w:fldChar w:fldCharType="end"/>
      </w:r>
      <w:r>
        <w:fldChar w:fldCharType="end"/>
      </w:r>
    </w:p>
    <w:p>
      <w:pPr>
        <w:pStyle w:val="39"/>
        <w:tabs>
          <w:tab w:val="right" w:leader="dot" w:pos="8306"/>
        </w:tabs>
      </w:pPr>
      <w:r>
        <w:fldChar w:fldCharType="begin"/>
      </w:r>
      <w:r>
        <w:instrText xml:space="preserve"> HYPERLINK \l _Toc16913 </w:instrText>
      </w:r>
      <w:r>
        <w:fldChar w:fldCharType="separate"/>
      </w:r>
      <w:r>
        <w:rPr>
          <w:rFonts w:hint="eastAsia"/>
        </w:rPr>
        <w:t>五、一般公共预算财政拨款支出决算情况说明</w:t>
      </w:r>
      <w:r>
        <w:tab/>
      </w:r>
      <w:r>
        <w:fldChar w:fldCharType="begin"/>
      </w:r>
      <w:r>
        <w:instrText xml:space="preserve"> PAGEREF _Toc16913 </w:instrText>
      </w:r>
      <w:r>
        <w:fldChar w:fldCharType="separate"/>
      </w:r>
      <w:r>
        <w:t>12</w:t>
      </w:r>
      <w:r>
        <w:fldChar w:fldCharType="end"/>
      </w:r>
      <w:r>
        <w:fldChar w:fldCharType="end"/>
      </w:r>
    </w:p>
    <w:p>
      <w:pPr>
        <w:pStyle w:val="39"/>
        <w:tabs>
          <w:tab w:val="right" w:leader="dot" w:pos="8306"/>
        </w:tabs>
      </w:pPr>
      <w:r>
        <w:fldChar w:fldCharType="begin"/>
      </w:r>
      <w:r>
        <w:instrText xml:space="preserve"> HYPERLINK \l _Toc27343 </w:instrText>
      </w:r>
      <w:r>
        <w:fldChar w:fldCharType="separate"/>
      </w:r>
      <w:r>
        <w:rPr>
          <w:rFonts w:hint="eastAsia"/>
        </w:rPr>
        <w:t>六、一般公共预算财政拨款基本支出决算情况说明</w:t>
      </w:r>
      <w:r>
        <w:tab/>
      </w:r>
      <w:r>
        <w:fldChar w:fldCharType="begin"/>
      </w:r>
      <w:r>
        <w:instrText xml:space="preserve"> PAGEREF _Toc27343 </w:instrText>
      </w:r>
      <w:r>
        <w:fldChar w:fldCharType="separate"/>
      </w:r>
      <w:r>
        <w:t>15</w:t>
      </w:r>
      <w:r>
        <w:fldChar w:fldCharType="end"/>
      </w:r>
      <w:r>
        <w:fldChar w:fldCharType="end"/>
      </w:r>
    </w:p>
    <w:p>
      <w:pPr>
        <w:pStyle w:val="39"/>
        <w:tabs>
          <w:tab w:val="right" w:leader="dot" w:pos="8306"/>
        </w:tabs>
      </w:pPr>
      <w:r>
        <w:fldChar w:fldCharType="begin"/>
      </w:r>
      <w:r>
        <w:instrText xml:space="preserve"> HYPERLINK \l _Toc20615 </w:instrText>
      </w:r>
      <w:r>
        <w:fldChar w:fldCharType="separate"/>
      </w:r>
      <w:r>
        <w:rPr>
          <w:rFonts w:hint="eastAsia"/>
        </w:rPr>
        <w:t>七、“三公”经费财政拨款支出决算情况说明</w:t>
      </w:r>
      <w:r>
        <w:tab/>
      </w:r>
      <w:r>
        <w:fldChar w:fldCharType="begin"/>
      </w:r>
      <w:r>
        <w:instrText xml:space="preserve"> PAGEREF _Toc20615 </w:instrText>
      </w:r>
      <w:r>
        <w:fldChar w:fldCharType="separate"/>
      </w:r>
      <w:r>
        <w:t>15</w:t>
      </w:r>
      <w:r>
        <w:fldChar w:fldCharType="end"/>
      </w:r>
      <w:r>
        <w:fldChar w:fldCharType="end"/>
      </w:r>
      <w:bookmarkStart w:id="194" w:name="_GoBack"/>
      <w:bookmarkEnd w:id="194"/>
    </w:p>
    <w:p>
      <w:pPr>
        <w:pStyle w:val="39"/>
        <w:tabs>
          <w:tab w:val="right" w:leader="dot" w:pos="8306"/>
        </w:tabs>
      </w:pPr>
      <w:r>
        <w:fldChar w:fldCharType="begin"/>
      </w:r>
      <w:r>
        <w:instrText xml:space="preserve"> HYPERLINK \l _Toc5622 </w:instrText>
      </w:r>
      <w:r>
        <w:fldChar w:fldCharType="separate"/>
      </w:r>
      <w:r>
        <w:rPr>
          <w:rFonts w:hint="eastAsia"/>
        </w:rPr>
        <w:t>八、政府性基金预算支出决算情况说明</w:t>
      </w:r>
      <w:r>
        <w:tab/>
      </w:r>
      <w:r>
        <w:fldChar w:fldCharType="begin"/>
      </w:r>
      <w:r>
        <w:instrText xml:space="preserve"> PAGEREF _Toc5622 </w:instrText>
      </w:r>
      <w:r>
        <w:fldChar w:fldCharType="separate"/>
      </w:r>
      <w:r>
        <w:t>16</w:t>
      </w:r>
      <w:r>
        <w:fldChar w:fldCharType="end"/>
      </w:r>
      <w:r>
        <w:fldChar w:fldCharType="end"/>
      </w:r>
    </w:p>
    <w:p>
      <w:pPr>
        <w:pStyle w:val="39"/>
        <w:tabs>
          <w:tab w:val="right" w:leader="dot" w:pos="8306"/>
        </w:tabs>
      </w:pPr>
      <w:r>
        <w:fldChar w:fldCharType="begin"/>
      </w:r>
      <w:r>
        <w:instrText xml:space="preserve"> HYPERLINK \l _Toc24210 </w:instrText>
      </w:r>
      <w:r>
        <w:fldChar w:fldCharType="separate"/>
      </w:r>
      <w:r>
        <w:rPr>
          <w:rFonts w:hint="eastAsia"/>
        </w:rPr>
        <w:t>九、 国有资本经营预算支出决算情况说明</w:t>
      </w:r>
      <w:r>
        <w:tab/>
      </w:r>
      <w:r>
        <w:fldChar w:fldCharType="begin"/>
      </w:r>
      <w:r>
        <w:instrText xml:space="preserve"> PAGEREF _Toc24210 </w:instrText>
      </w:r>
      <w:r>
        <w:fldChar w:fldCharType="separate"/>
      </w:r>
      <w:r>
        <w:t>16</w:t>
      </w:r>
      <w:r>
        <w:fldChar w:fldCharType="end"/>
      </w:r>
      <w:r>
        <w:fldChar w:fldCharType="end"/>
      </w:r>
    </w:p>
    <w:p>
      <w:pPr>
        <w:pStyle w:val="39"/>
        <w:tabs>
          <w:tab w:val="right" w:leader="dot" w:pos="8306"/>
        </w:tabs>
      </w:pPr>
      <w:r>
        <w:fldChar w:fldCharType="begin"/>
      </w:r>
      <w:r>
        <w:instrText xml:space="preserve"> HYPERLINK \l _Toc1010 </w:instrText>
      </w:r>
      <w:r>
        <w:fldChar w:fldCharType="separate"/>
      </w:r>
      <w:r>
        <w:rPr>
          <w:rFonts w:hint="eastAsia"/>
        </w:rPr>
        <w:t>十、其他重要事项的情况说明</w:t>
      </w:r>
      <w:r>
        <w:tab/>
      </w:r>
      <w:r>
        <w:fldChar w:fldCharType="begin"/>
      </w:r>
      <w:r>
        <w:instrText xml:space="preserve"> PAGEREF _Toc1010 </w:instrText>
      </w:r>
      <w:r>
        <w:fldChar w:fldCharType="separate"/>
      </w:r>
      <w:r>
        <w:t>16</w:t>
      </w:r>
      <w:r>
        <w:fldChar w:fldCharType="end"/>
      </w:r>
      <w:r>
        <w:fldChar w:fldCharType="end"/>
      </w:r>
    </w:p>
    <w:p>
      <w:pPr>
        <w:pStyle w:val="39"/>
        <w:tabs>
          <w:tab w:val="right" w:leader="dot" w:pos="8306"/>
        </w:tabs>
      </w:pPr>
      <w:r>
        <w:fldChar w:fldCharType="begin"/>
      </w:r>
      <w:r>
        <w:instrText xml:space="preserve"> HYPERLINK \l _Toc30826 </w:instrText>
      </w:r>
      <w:r>
        <w:fldChar w:fldCharType="separate"/>
      </w:r>
      <w:r>
        <w:rPr>
          <w:rFonts w:hint="eastAsia"/>
        </w:rPr>
        <w:t>第三部分 名词解释</w:t>
      </w:r>
      <w:r>
        <w:tab/>
      </w:r>
      <w:r>
        <w:fldChar w:fldCharType="begin"/>
      </w:r>
      <w:r>
        <w:instrText xml:space="preserve"> PAGEREF _Toc30826 </w:instrText>
      </w:r>
      <w:r>
        <w:fldChar w:fldCharType="separate"/>
      </w:r>
      <w:r>
        <w:t>18</w:t>
      </w:r>
      <w:r>
        <w:fldChar w:fldCharType="end"/>
      </w:r>
      <w:r>
        <w:fldChar w:fldCharType="end"/>
      </w:r>
    </w:p>
    <w:p>
      <w:pPr>
        <w:pStyle w:val="39"/>
        <w:tabs>
          <w:tab w:val="right" w:leader="dot" w:pos="8306"/>
        </w:tabs>
      </w:pPr>
      <w:r>
        <w:fldChar w:fldCharType="begin"/>
      </w:r>
      <w:r>
        <w:instrText xml:space="preserve"> HYPERLINK \l _Toc1706 </w:instrText>
      </w:r>
      <w:r>
        <w:fldChar w:fldCharType="separate"/>
      </w:r>
      <w:r>
        <w:rPr>
          <w:rFonts w:hint="eastAsia"/>
        </w:rPr>
        <w:t>第四部分</w:t>
      </w:r>
      <w:r>
        <w:t xml:space="preserve"> </w:t>
      </w:r>
      <w:r>
        <w:rPr>
          <w:rFonts w:hint="eastAsia"/>
        </w:rPr>
        <w:t>附件</w:t>
      </w:r>
      <w:r>
        <w:tab/>
      </w:r>
      <w:r>
        <w:fldChar w:fldCharType="begin"/>
      </w:r>
      <w:r>
        <w:instrText xml:space="preserve"> PAGEREF _Toc1706 </w:instrText>
      </w:r>
      <w:r>
        <w:fldChar w:fldCharType="separate"/>
      </w:r>
      <w:r>
        <w:t>20</w:t>
      </w:r>
      <w:r>
        <w:fldChar w:fldCharType="end"/>
      </w:r>
      <w:r>
        <w:fldChar w:fldCharType="end"/>
      </w:r>
    </w:p>
    <w:p>
      <w:pPr>
        <w:pStyle w:val="39"/>
        <w:tabs>
          <w:tab w:val="right" w:leader="dot" w:pos="8306"/>
        </w:tabs>
      </w:pPr>
      <w:r>
        <w:fldChar w:fldCharType="begin"/>
      </w:r>
      <w:r>
        <w:instrText xml:space="preserve"> HYPERLINK \l _Toc3232 </w:instrText>
      </w:r>
      <w:r>
        <w:fldChar w:fldCharType="separate"/>
      </w:r>
      <w:r>
        <w:rPr>
          <w:rFonts w:hint="eastAsia"/>
        </w:rPr>
        <w:t>附件</w:t>
      </w:r>
      <w:r>
        <w:t>1</w:t>
      </w:r>
      <w:r>
        <w:tab/>
      </w:r>
      <w:r>
        <w:fldChar w:fldCharType="begin"/>
      </w:r>
      <w:r>
        <w:instrText xml:space="preserve"> PAGEREF _Toc3232 </w:instrText>
      </w:r>
      <w:r>
        <w:fldChar w:fldCharType="separate"/>
      </w:r>
      <w:r>
        <w:t>20</w:t>
      </w:r>
      <w:r>
        <w:fldChar w:fldCharType="end"/>
      </w:r>
      <w:r>
        <w:fldChar w:fldCharType="end"/>
      </w:r>
    </w:p>
    <w:p>
      <w:pPr>
        <w:pStyle w:val="39"/>
        <w:tabs>
          <w:tab w:val="right" w:leader="dot" w:pos="8306"/>
        </w:tabs>
      </w:pPr>
      <w:r>
        <w:fldChar w:fldCharType="begin"/>
      </w:r>
      <w:r>
        <w:instrText xml:space="preserve"> HYPERLINK \l _Toc19855 </w:instrText>
      </w:r>
      <w:r>
        <w:fldChar w:fldCharType="separate"/>
      </w:r>
      <w:r>
        <w:rPr>
          <w:rFonts w:hint="eastAsia"/>
          <w:lang w:eastAsia="zh-CN"/>
        </w:rPr>
        <w:t>水务局</w:t>
      </w:r>
      <w:r>
        <w:rPr>
          <w:rFonts w:hint="eastAsia"/>
        </w:rPr>
        <w:t>部门</w:t>
      </w:r>
      <w:r>
        <w:t>2020</w:t>
      </w:r>
      <w:r>
        <w:rPr>
          <w:rFonts w:hint="eastAsia"/>
        </w:rPr>
        <w:t>年部门整体支出绩效评价报告</w:t>
      </w:r>
      <w:r>
        <w:tab/>
      </w:r>
      <w:r>
        <w:fldChar w:fldCharType="begin"/>
      </w:r>
      <w:r>
        <w:instrText xml:space="preserve"> PAGEREF _Toc19855 </w:instrText>
      </w:r>
      <w:r>
        <w:fldChar w:fldCharType="separate"/>
      </w:r>
      <w:r>
        <w:t>20</w:t>
      </w:r>
      <w:r>
        <w:fldChar w:fldCharType="end"/>
      </w:r>
      <w:r>
        <w:fldChar w:fldCharType="end"/>
      </w:r>
    </w:p>
    <w:p>
      <w:pPr>
        <w:pStyle w:val="39"/>
        <w:tabs>
          <w:tab w:val="right" w:leader="dot" w:pos="8306"/>
        </w:tabs>
      </w:pPr>
      <w:r>
        <w:fldChar w:fldCharType="begin"/>
      </w:r>
      <w:r>
        <w:instrText xml:space="preserve"> HYPERLINK \l _Toc9083 </w:instrText>
      </w:r>
      <w:r>
        <w:fldChar w:fldCharType="separate"/>
      </w:r>
      <w:r>
        <w:rPr>
          <w:rFonts w:hint="eastAsia"/>
        </w:rPr>
        <w:t>第五部分</w:t>
      </w:r>
      <w:r>
        <w:t xml:space="preserve"> </w:t>
      </w:r>
      <w:r>
        <w:rPr>
          <w:rFonts w:hint="eastAsia"/>
        </w:rPr>
        <w:t>附表</w:t>
      </w:r>
      <w:r>
        <w:tab/>
      </w:r>
      <w:r>
        <w:fldChar w:fldCharType="begin"/>
      </w:r>
      <w:r>
        <w:instrText xml:space="preserve"> PAGEREF _Toc9083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_Toc25598 </w:instrText>
      </w:r>
      <w:r>
        <w:fldChar w:fldCharType="separate"/>
      </w:r>
      <w:r>
        <w:rPr>
          <w:rFonts w:hint="eastAsia"/>
        </w:rPr>
        <w:t>一、收入支出决算总表</w:t>
      </w:r>
      <w:r>
        <w:tab/>
      </w:r>
      <w:r>
        <w:fldChar w:fldCharType="begin"/>
      </w:r>
      <w:r>
        <w:instrText xml:space="preserve"> PAGEREF _Toc25598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_Toc30290 </w:instrText>
      </w:r>
      <w:r>
        <w:fldChar w:fldCharType="separate"/>
      </w:r>
      <w:r>
        <w:rPr>
          <w:rFonts w:hint="eastAsia"/>
        </w:rPr>
        <w:t>二、收入决算表</w:t>
      </w:r>
      <w:r>
        <w:tab/>
      </w:r>
      <w:r>
        <w:fldChar w:fldCharType="begin"/>
      </w:r>
      <w:r>
        <w:instrText xml:space="preserve"> PAGEREF _Toc30290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_Toc13236 </w:instrText>
      </w:r>
      <w:r>
        <w:fldChar w:fldCharType="separate"/>
      </w:r>
      <w:r>
        <w:rPr>
          <w:rFonts w:hint="eastAsia"/>
        </w:rPr>
        <w:t>三、支出决算表</w:t>
      </w:r>
      <w:r>
        <w:tab/>
      </w:r>
      <w:r>
        <w:fldChar w:fldCharType="begin"/>
      </w:r>
      <w:r>
        <w:instrText xml:space="preserve"> PAGEREF _Toc13236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_Toc3746 </w:instrText>
      </w:r>
      <w:r>
        <w:fldChar w:fldCharType="separate"/>
      </w:r>
      <w:r>
        <w:rPr>
          <w:rFonts w:hint="eastAsia"/>
        </w:rPr>
        <w:t>四、财政拨款收入支出决算总表</w:t>
      </w:r>
      <w:r>
        <w:tab/>
      </w:r>
      <w:r>
        <w:fldChar w:fldCharType="begin"/>
      </w:r>
      <w:r>
        <w:instrText xml:space="preserve"> PAGEREF _Toc3746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_Toc13319 </w:instrText>
      </w:r>
      <w:r>
        <w:fldChar w:fldCharType="separate"/>
      </w:r>
      <w:r>
        <w:rPr>
          <w:rFonts w:hint="eastAsia"/>
        </w:rPr>
        <w:t>五、财政拨款支出决算明细表</w:t>
      </w:r>
      <w:r>
        <w:tab/>
      </w:r>
      <w:r>
        <w:fldChar w:fldCharType="begin"/>
      </w:r>
      <w:r>
        <w:instrText xml:space="preserve"> PAGEREF _Toc13319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_Toc4855 </w:instrText>
      </w:r>
      <w:r>
        <w:fldChar w:fldCharType="separate"/>
      </w:r>
      <w:r>
        <w:rPr>
          <w:rFonts w:hint="eastAsia"/>
        </w:rPr>
        <w:t>六、一般公共预算财政拨款支出决算表</w:t>
      </w:r>
      <w:r>
        <w:tab/>
      </w:r>
      <w:r>
        <w:fldChar w:fldCharType="begin"/>
      </w:r>
      <w:r>
        <w:instrText xml:space="preserve"> PAGEREF _Toc4855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_Toc29630 </w:instrText>
      </w:r>
      <w:r>
        <w:fldChar w:fldCharType="separate"/>
      </w:r>
      <w:r>
        <w:rPr>
          <w:rFonts w:hint="eastAsia"/>
        </w:rPr>
        <w:t>七、一般公共预算财政拨款支出决算明细表</w:t>
      </w:r>
      <w:r>
        <w:tab/>
      </w:r>
      <w:r>
        <w:fldChar w:fldCharType="begin"/>
      </w:r>
      <w:r>
        <w:instrText xml:space="preserve"> PAGEREF _Toc29630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_Toc22485 </w:instrText>
      </w:r>
      <w:r>
        <w:fldChar w:fldCharType="separate"/>
      </w:r>
      <w:r>
        <w:rPr>
          <w:rFonts w:hint="eastAsia"/>
        </w:rPr>
        <w:t>八、一般公共预算财政拨款基本支出决算表</w:t>
      </w:r>
      <w:r>
        <w:tab/>
      </w:r>
      <w:r>
        <w:fldChar w:fldCharType="begin"/>
      </w:r>
      <w:r>
        <w:instrText xml:space="preserve"> PAGEREF _Toc22485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_Toc23223 </w:instrText>
      </w:r>
      <w:r>
        <w:fldChar w:fldCharType="separate"/>
      </w:r>
      <w:r>
        <w:rPr>
          <w:rFonts w:hint="eastAsia"/>
        </w:rPr>
        <w:t>九、一般公共预算财政拨款项目支出决算表</w:t>
      </w:r>
      <w:r>
        <w:tab/>
      </w:r>
      <w:r>
        <w:fldChar w:fldCharType="begin"/>
      </w:r>
      <w:r>
        <w:instrText xml:space="preserve"> PAGEREF _Toc23223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_Toc15694 </w:instrText>
      </w:r>
      <w:r>
        <w:fldChar w:fldCharType="separate"/>
      </w:r>
      <w:r>
        <w:rPr>
          <w:rFonts w:hint="eastAsia"/>
        </w:rPr>
        <w:t>十、一般公共预算财政拨款“三公”经费支出决算表</w:t>
      </w:r>
      <w:r>
        <w:tab/>
      </w:r>
      <w:r>
        <w:fldChar w:fldCharType="begin"/>
      </w:r>
      <w:r>
        <w:instrText xml:space="preserve"> PAGEREF _Toc15694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_Toc10690 </w:instrText>
      </w:r>
      <w:r>
        <w:fldChar w:fldCharType="separate"/>
      </w:r>
      <w:r>
        <w:rPr>
          <w:rFonts w:hint="eastAsia"/>
        </w:rPr>
        <w:t>十一、政府性基金预算财政拨款收入支出决算表</w:t>
      </w:r>
      <w:r>
        <w:tab/>
      </w:r>
      <w:r>
        <w:fldChar w:fldCharType="begin"/>
      </w:r>
      <w:r>
        <w:instrText xml:space="preserve"> PAGEREF _Toc10690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_Toc26089 </w:instrText>
      </w:r>
      <w:r>
        <w:fldChar w:fldCharType="separate"/>
      </w:r>
      <w:r>
        <w:rPr>
          <w:rFonts w:hint="eastAsia"/>
        </w:rPr>
        <w:t>十二、政府性基金预算财政拨款“三公”经费支出决算表</w:t>
      </w:r>
      <w:r>
        <w:tab/>
      </w:r>
      <w:r>
        <w:fldChar w:fldCharType="begin"/>
      </w:r>
      <w:r>
        <w:instrText xml:space="preserve"> PAGEREF _Toc26089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_Toc12893 </w:instrText>
      </w:r>
      <w:r>
        <w:fldChar w:fldCharType="separate"/>
      </w:r>
      <w:r>
        <w:rPr>
          <w:rFonts w:hint="eastAsia"/>
        </w:rPr>
        <w:t>十三、国有资本经营预算财政拨款支出决算表</w:t>
      </w:r>
      <w:r>
        <w:tab/>
      </w:r>
      <w:r>
        <w:fldChar w:fldCharType="begin"/>
      </w:r>
      <w:r>
        <w:instrText xml:space="preserve"> PAGEREF _Toc12893 </w:instrText>
      </w:r>
      <w:r>
        <w:fldChar w:fldCharType="separate"/>
      </w:r>
      <w:r>
        <w:t>24</w:t>
      </w:r>
      <w:r>
        <w:fldChar w:fldCharType="end"/>
      </w:r>
      <w:r>
        <w:fldChar w:fldCharType="end"/>
      </w:r>
    </w:p>
    <w:p>
      <w:pPr>
        <w:pStyle w:val="39"/>
        <w:tabs>
          <w:tab w:val="right" w:leader="dot" w:pos="8306"/>
        </w:tabs>
      </w:pPr>
      <w:r>
        <w:fldChar w:fldCharType="begin"/>
      </w:r>
      <w:r>
        <w:instrText xml:space="preserve"> HYPERLINK \l _Toc31226 </w:instrText>
      </w:r>
      <w:r>
        <w:fldChar w:fldCharType="separate"/>
      </w:r>
      <w:r>
        <w:rPr>
          <w:rFonts w:hint="eastAsia"/>
        </w:rPr>
        <w:t>十四、国有资本经营预算财政拨款支出决算表</w:t>
      </w:r>
      <w:r>
        <w:tab/>
      </w:r>
      <w:r>
        <w:fldChar w:fldCharType="begin"/>
      </w:r>
      <w:r>
        <w:instrText xml:space="preserve"> PAGEREF _Toc31226 </w:instrText>
      </w:r>
      <w:r>
        <w:fldChar w:fldCharType="separate"/>
      </w:r>
      <w:r>
        <w:t>24</w:t>
      </w:r>
      <w:r>
        <w:fldChar w:fldCharType="end"/>
      </w:r>
      <w:r>
        <w:fldChar w:fldCharType="end"/>
      </w:r>
    </w:p>
    <w:p>
      <w:pPr>
        <w:pStyle w:val="39"/>
        <w:tabs>
          <w:tab w:val="right" w:leader="dot" w:pos="8306"/>
        </w:tabs>
        <w:rPr>
          <w:rFonts w:ascii="仿宋" w:hAnsi="仿宋" w:eastAsia="仿宋"/>
          <w:bCs/>
          <w:kern w:val="44"/>
          <w:sz w:val="24"/>
        </w:rPr>
      </w:pPr>
      <w:r>
        <w:fldChar w:fldCharType="end"/>
      </w:r>
      <w:r>
        <w:rPr>
          <w:rFonts w:ascii="仿宋" w:hAnsi="仿宋" w:eastAsia="仿宋"/>
          <w:b/>
          <w:sz w:val="24"/>
        </w:rPr>
        <w:br w:type="page"/>
      </w:r>
    </w:p>
    <w:p>
      <w:pPr>
        <w:pStyle w:val="4"/>
        <w:jc w:val="center"/>
        <w:rPr>
          <w:rStyle w:val="24"/>
          <w:rFonts w:ascii="黑体" w:hAnsi="黑体" w:eastAsia="黑体"/>
          <w:b/>
          <w:bCs w:val="0"/>
        </w:rPr>
      </w:pPr>
      <w:bookmarkStart w:id="14" w:name="_Toc79163851"/>
      <w:bookmarkStart w:id="15" w:name="_Toc79163601"/>
      <w:bookmarkStart w:id="16" w:name="_Toc1030"/>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bookmarkEnd w:id="16"/>
    </w:p>
    <w:p>
      <w:pPr>
        <w:widowControl/>
        <w:jc w:val="left"/>
        <w:rPr>
          <w:rFonts w:ascii="黑体" w:eastAsia="黑体"/>
          <w:color w:val="000000"/>
          <w:sz w:val="32"/>
          <w:szCs w:val="32"/>
        </w:rPr>
      </w:pPr>
    </w:p>
    <w:p>
      <w:pPr>
        <w:pStyle w:val="5"/>
        <w:rPr>
          <w:rStyle w:val="25"/>
          <w:rFonts w:ascii="仿宋" w:hAnsi="仿宋" w:eastAsia="仿宋"/>
          <w:b w:val="0"/>
          <w:bCs w:val="0"/>
        </w:rPr>
      </w:pPr>
      <w:bookmarkStart w:id="17" w:name="_Toc15377197"/>
      <w:bookmarkStart w:id="18" w:name="_Toc15396600"/>
      <w:bookmarkStart w:id="19" w:name="_Toc79163602"/>
      <w:bookmarkStart w:id="20" w:name="_Toc79163852"/>
      <w:bookmarkStart w:id="21" w:name="_Toc2755"/>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7"/>
      <w:bookmarkEnd w:id="18"/>
      <w:bookmarkEnd w:id="19"/>
      <w:bookmarkEnd w:id="20"/>
      <w:bookmarkEnd w:id="21"/>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2" w:name="_Toc79163603"/>
      <w:bookmarkStart w:id="23" w:name="_Toc79163853"/>
      <w:bookmarkStart w:id="24" w:name="_Toc15378445"/>
      <w:bookmarkStart w:id="25" w:name="_Toc15377198"/>
      <w:r>
        <w:rPr>
          <w:rFonts w:hint="eastAsia" w:ascii="仿宋" w:hAnsi="仿宋" w:eastAsia="仿宋"/>
          <w:bCs/>
          <w:color w:val="000000"/>
          <w:sz w:val="32"/>
          <w:szCs w:val="32"/>
        </w:rPr>
        <w:t>（一）主要职能。</w:t>
      </w:r>
      <w:bookmarkEnd w:id="22"/>
      <w:bookmarkEnd w:id="23"/>
    </w:p>
    <w:bookmarkEnd w:id="24"/>
    <w:bookmarkEnd w:id="25"/>
    <w:p>
      <w:pPr>
        <w:spacing w:line="600" w:lineRule="exact"/>
        <w:ind w:firstLine="645"/>
        <w:rPr>
          <w:rFonts w:eastAsia="仿宋_GB2312"/>
          <w:sz w:val="32"/>
          <w:szCs w:val="32"/>
        </w:rPr>
      </w:pPr>
      <w:bookmarkStart w:id="26" w:name="_Toc15378446"/>
      <w:bookmarkStart w:id="27" w:name="_Toc15377199"/>
      <w:bookmarkStart w:id="28" w:name="_Toc79163604"/>
      <w:bookmarkStart w:id="29" w:name="_Toc79163854"/>
      <w:r>
        <w:rPr>
          <w:rFonts w:hint="eastAsia" w:eastAsia="仿宋_GB2312"/>
          <w:sz w:val="32"/>
          <w:szCs w:val="32"/>
        </w:rPr>
        <w:t>1、贯彻执行党和国家有关水利工作方针政策和法律法规，拟订全县水利战略规划和政策，起草有关地方性法规和规章草案，组织编制、审查、申报水利综合规划、专业规划、专项规划。负责保障水资源的合理开发利用。</w:t>
      </w:r>
    </w:p>
    <w:p>
      <w:pPr>
        <w:spacing w:line="600" w:lineRule="exact"/>
        <w:ind w:firstLine="645"/>
        <w:rPr>
          <w:rFonts w:eastAsia="仿宋_GB2312"/>
          <w:sz w:val="32"/>
          <w:szCs w:val="32"/>
        </w:rPr>
      </w:pPr>
      <w:r>
        <w:rPr>
          <w:rFonts w:hint="eastAsia" w:eastAsia="仿宋_GB2312"/>
          <w:sz w:val="32"/>
          <w:szCs w:val="32"/>
        </w:rPr>
        <w:t>2、负责生活、生产经营和生态环境用水的统筹和保障。实施最严格水资源管理制度，实施水资源的统一监督管理。</w:t>
      </w:r>
    </w:p>
    <w:p>
      <w:pPr>
        <w:spacing w:line="600" w:lineRule="exact"/>
        <w:ind w:firstLine="645"/>
        <w:rPr>
          <w:rFonts w:eastAsia="仿宋_GB2312"/>
          <w:sz w:val="32"/>
          <w:szCs w:val="32"/>
        </w:rPr>
      </w:pPr>
      <w:r>
        <w:rPr>
          <w:rFonts w:hint="eastAsia" w:eastAsia="仿宋_GB2312"/>
          <w:sz w:val="32"/>
          <w:szCs w:val="32"/>
        </w:rPr>
        <w:t>3、按规定制定水利工程建设有关制度并组织实施，负责提出水利固定资产投资规模、方向、具体安排建议并组织实施，提出水利资金安排建议并负责项目实施的监督管理，按权限指导和组织编制、审核、申报水利基本建设项目建议书、可行性研究报告和初步设计。</w:t>
      </w:r>
    </w:p>
    <w:p>
      <w:pPr>
        <w:spacing w:line="600" w:lineRule="exact"/>
        <w:ind w:firstLine="645"/>
        <w:rPr>
          <w:rFonts w:eastAsia="仿宋_GB2312"/>
          <w:sz w:val="32"/>
          <w:szCs w:val="32"/>
        </w:rPr>
      </w:pPr>
      <w:r>
        <w:rPr>
          <w:rFonts w:hint="eastAsia" w:eastAsia="仿宋_GB2312"/>
          <w:sz w:val="32"/>
          <w:szCs w:val="32"/>
        </w:rPr>
        <w:t>4、负责水资源管理和保护工作。</w:t>
      </w:r>
    </w:p>
    <w:p>
      <w:pPr>
        <w:spacing w:line="600" w:lineRule="exact"/>
        <w:ind w:firstLine="645"/>
        <w:rPr>
          <w:rFonts w:eastAsia="仿宋_GB2312"/>
          <w:sz w:val="32"/>
          <w:szCs w:val="32"/>
        </w:rPr>
      </w:pPr>
      <w:r>
        <w:rPr>
          <w:rFonts w:hint="eastAsia" w:eastAsia="仿宋_GB2312"/>
          <w:sz w:val="32"/>
          <w:szCs w:val="32"/>
        </w:rPr>
        <w:t>5、负责节约用水工作。</w:t>
      </w:r>
    </w:p>
    <w:p>
      <w:pPr>
        <w:spacing w:line="600" w:lineRule="exact"/>
        <w:ind w:firstLine="645"/>
        <w:rPr>
          <w:rFonts w:eastAsia="仿宋_GB2312"/>
          <w:sz w:val="32"/>
          <w:szCs w:val="32"/>
        </w:rPr>
      </w:pPr>
      <w:r>
        <w:rPr>
          <w:rFonts w:hint="eastAsia" w:eastAsia="仿宋_GB2312"/>
          <w:sz w:val="32"/>
          <w:szCs w:val="32"/>
        </w:rPr>
        <w:t>6、负责洪水干旱灾害防治。</w:t>
      </w:r>
    </w:p>
    <w:p>
      <w:pPr>
        <w:spacing w:line="600" w:lineRule="exact"/>
        <w:ind w:firstLine="645"/>
        <w:rPr>
          <w:rFonts w:eastAsia="仿宋_GB2312"/>
          <w:sz w:val="32"/>
          <w:szCs w:val="32"/>
        </w:rPr>
      </w:pPr>
      <w:r>
        <w:rPr>
          <w:rFonts w:hint="eastAsia" w:eastAsia="仿宋_GB2312"/>
          <w:sz w:val="32"/>
          <w:szCs w:val="32"/>
        </w:rPr>
        <w:t>7、指导水利设施、水域及其岸线的管理、保护与综合利用。</w:t>
      </w:r>
    </w:p>
    <w:p>
      <w:pPr>
        <w:spacing w:line="600" w:lineRule="exact"/>
        <w:ind w:firstLine="645"/>
        <w:rPr>
          <w:rFonts w:eastAsia="仿宋_GB2312"/>
          <w:sz w:val="32"/>
          <w:szCs w:val="32"/>
        </w:rPr>
      </w:pPr>
      <w:r>
        <w:rPr>
          <w:rFonts w:hint="eastAsia" w:eastAsia="仿宋_GB2312"/>
          <w:sz w:val="32"/>
          <w:szCs w:val="32"/>
        </w:rPr>
        <w:t>8、承担全面推行河长制湖长制工作。</w:t>
      </w:r>
    </w:p>
    <w:p>
      <w:pPr>
        <w:spacing w:line="600" w:lineRule="exact"/>
        <w:ind w:firstLine="645"/>
        <w:rPr>
          <w:rFonts w:eastAsia="仿宋_GB2312"/>
          <w:sz w:val="32"/>
          <w:szCs w:val="32"/>
        </w:rPr>
      </w:pPr>
      <w:r>
        <w:rPr>
          <w:rFonts w:hint="eastAsia" w:eastAsia="仿宋_GB2312"/>
          <w:sz w:val="32"/>
          <w:szCs w:val="32"/>
        </w:rPr>
        <w:t>9、负责水土保持工作。</w:t>
      </w:r>
    </w:p>
    <w:p>
      <w:pPr>
        <w:spacing w:line="600" w:lineRule="exact"/>
        <w:ind w:firstLine="645"/>
        <w:rPr>
          <w:rFonts w:eastAsia="仿宋_GB2312"/>
          <w:sz w:val="32"/>
          <w:szCs w:val="32"/>
        </w:rPr>
      </w:pPr>
      <w:r>
        <w:rPr>
          <w:rFonts w:hint="eastAsia" w:eastAsia="仿宋_GB2312"/>
          <w:sz w:val="32"/>
          <w:szCs w:val="32"/>
        </w:rPr>
        <w:t>10、负责农村水利建设工作。</w:t>
      </w:r>
    </w:p>
    <w:p>
      <w:pPr>
        <w:spacing w:line="600" w:lineRule="exact"/>
        <w:ind w:firstLine="645"/>
        <w:rPr>
          <w:rFonts w:eastAsia="仿宋_GB2312"/>
          <w:sz w:val="32"/>
          <w:szCs w:val="32"/>
        </w:rPr>
      </w:pPr>
      <w:r>
        <w:rPr>
          <w:rFonts w:hint="eastAsia" w:eastAsia="仿宋_GB2312"/>
          <w:sz w:val="32"/>
          <w:szCs w:val="32"/>
        </w:rPr>
        <w:t>11、负责落实综合防灾减灾工作。</w:t>
      </w:r>
    </w:p>
    <w:p>
      <w:pPr>
        <w:spacing w:line="600" w:lineRule="exact"/>
        <w:ind w:firstLine="645"/>
        <w:rPr>
          <w:rFonts w:eastAsia="仿宋_GB2312"/>
          <w:sz w:val="32"/>
          <w:szCs w:val="32"/>
        </w:rPr>
      </w:pPr>
      <w:r>
        <w:rPr>
          <w:rFonts w:hint="eastAsia" w:eastAsia="仿宋_GB2312"/>
          <w:sz w:val="32"/>
          <w:szCs w:val="32"/>
        </w:rPr>
        <w:t>12、开展水利科技和教育工作。组织开展水利行业质量监督工作。承担水利统计工作。</w:t>
      </w:r>
    </w:p>
    <w:p>
      <w:pPr>
        <w:spacing w:line="600" w:lineRule="exact"/>
        <w:ind w:firstLine="645"/>
        <w:rPr>
          <w:rFonts w:eastAsia="仿宋_GB2312"/>
          <w:sz w:val="32"/>
          <w:szCs w:val="32"/>
        </w:rPr>
      </w:pPr>
      <w:r>
        <w:rPr>
          <w:rFonts w:hint="eastAsia" w:eastAsia="仿宋_GB2312"/>
          <w:sz w:val="32"/>
          <w:szCs w:val="32"/>
        </w:rPr>
        <w:t>13、负责职责范围内的水利行业安全生产、职业健康、生态环境保护和审批服务便民化等工作。</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6"/>
      <w:bookmarkEnd w:id="27"/>
      <w:bookmarkEnd w:id="28"/>
      <w:bookmarkEnd w:id="29"/>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bookmarkStart w:id="30" w:name="_Toc15396601"/>
      <w:bookmarkStart w:id="31" w:name="_Toc15377200"/>
      <w:bookmarkStart w:id="32" w:name="_Toc79163605"/>
      <w:bookmarkStart w:id="33" w:name="_Toc79163855"/>
      <w:bookmarkStart w:id="34" w:name="_Toc3242"/>
      <w:r>
        <w:rPr>
          <w:rFonts w:hint="eastAsia" w:ascii="Times New Roman" w:hAnsi="Times New Roman" w:eastAsia="仿宋_GB2312" w:cs="Times New Roman"/>
          <w:bCs/>
          <w:sz w:val="32"/>
          <w:szCs w:val="32"/>
          <w:lang w:val="en-US" w:eastAsia="zh-CN" w:bidi="ar-SA"/>
        </w:rPr>
        <w:t>精细高效，水利基础设施进一步夯实。</w:t>
      </w:r>
      <w:r>
        <w:rPr>
          <w:rFonts w:hint="default" w:ascii="Times New Roman" w:hAnsi="Times New Roman" w:eastAsia="仿宋_GB2312" w:cs="Times New Roman"/>
          <w:bCs/>
          <w:sz w:val="32"/>
          <w:szCs w:val="32"/>
          <w:lang w:val="en-US" w:eastAsia="zh-CN" w:bidi="ar-SA"/>
        </w:rPr>
        <w:t>我县今年水利扶贫专项计划投资4184万元。到位资金4166万元，</w:t>
      </w:r>
      <w:r>
        <w:rPr>
          <w:rFonts w:hint="default" w:ascii="Times New Roman" w:hAnsi="Times New Roman" w:eastAsia="仿宋_GB2312" w:cs="Times New Roman"/>
          <w:color w:val="000000"/>
          <w:sz w:val="32"/>
          <w:szCs w:val="32"/>
          <w:lang w:val="en-US" w:eastAsia="zh-CN"/>
        </w:rPr>
        <w:t>截</w:t>
      </w:r>
      <w:r>
        <w:rPr>
          <w:rFonts w:hint="eastAsia" w:ascii="Times New Roman" w:hAnsi="Times New Roman" w:eastAsia="仿宋_GB2312" w:cs="Times New Roman"/>
          <w:color w:val="000000"/>
          <w:sz w:val="32"/>
          <w:szCs w:val="32"/>
          <w:lang w:val="en-US" w:eastAsia="zh-CN"/>
        </w:rPr>
        <w:t>至</w:t>
      </w:r>
      <w:r>
        <w:rPr>
          <w:rFonts w:hint="default" w:ascii="Times New Roman" w:hAnsi="Times New Roman" w:eastAsia="仿宋_GB2312" w:cs="Times New Roman"/>
          <w:color w:val="000000"/>
          <w:sz w:val="32"/>
          <w:szCs w:val="32"/>
          <w:lang w:val="en-US" w:eastAsia="zh-CN"/>
        </w:rPr>
        <w:t>目前，</w:t>
      </w:r>
      <w:r>
        <w:rPr>
          <w:rFonts w:hint="default" w:ascii="Times New Roman" w:hAnsi="Times New Roman" w:eastAsia="仿宋_GB2312" w:cs="Times New Roman"/>
          <w:bCs/>
          <w:sz w:val="32"/>
          <w:szCs w:val="32"/>
          <w:lang w:val="en-US" w:eastAsia="zh-CN" w:bidi="ar-SA"/>
        </w:rPr>
        <w:t>已全部竣工验收。完成农村饮水安全巩固提升工程、安全饮水维修养护项目，总投资1700万元，项目的建成有效</w:t>
      </w:r>
      <w:r>
        <w:rPr>
          <w:rFonts w:hint="eastAsia" w:ascii="Times New Roman" w:hAnsi="Times New Roman" w:eastAsia="仿宋_GB2312" w:cs="Times New Roman"/>
          <w:bCs/>
          <w:sz w:val="32"/>
          <w:szCs w:val="32"/>
          <w:lang w:val="en-US" w:eastAsia="zh-CN" w:bidi="ar-SA"/>
        </w:rPr>
        <w:t>地</w:t>
      </w:r>
      <w:r>
        <w:rPr>
          <w:rFonts w:hint="default" w:ascii="Times New Roman" w:hAnsi="Times New Roman" w:eastAsia="仿宋_GB2312" w:cs="Times New Roman"/>
          <w:bCs/>
          <w:sz w:val="32"/>
          <w:szCs w:val="32"/>
          <w:lang w:val="en-US" w:eastAsia="zh-CN" w:bidi="ar-SA"/>
        </w:rPr>
        <w:t>解决了8乡21村20703人（贫困人口2532人）的农村安全饮水问题；实施白水江永丰新区段防洪治理工程，总投资2200万元，项目的建成有效</w:t>
      </w:r>
      <w:r>
        <w:rPr>
          <w:rFonts w:hint="eastAsia" w:ascii="Times New Roman" w:hAnsi="Times New Roman" w:eastAsia="仿宋_GB2312" w:cs="Times New Roman"/>
          <w:bCs/>
          <w:sz w:val="32"/>
          <w:szCs w:val="32"/>
          <w:lang w:val="en-US" w:eastAsia="zh-CN" w:bidi="ar-SA"/>
        </w:rPr>
        <w:t>地</w:t>
      </w:r>
      <w:r>
        <w:rPr>
          <w:rFonts w:hint="default" w:ascii="Times New Roman" w:hAnsi="Times New Roman" w:eastAsia="仿宋_GB2312" w:cs="Times New Roman"/>
          <w:bCs/>
          <w:sz w:val="32"/>
          <w:szCs w:val="32"/>
          <w:lang w:val="en-US" w:eastAsia="zh-CN" w:bidi="ar-SA"/>
        </w:rPr>
        <w:t>保障县城周边群众的人民财产安全；完成白河乡太平沟综合治理项目，总投资1200万元，项目的建成，林草植被得到有效恢复，水土资源得到有效保护；实施重点山洪沟防洪治理、</w:t>
      </w:r>
      <w:r>
        <w:rPr>
          <w:rFonts w:hint="default" w:ascii="Times New Roman" w:hAnsi="Times New Roman" w:eastAsia="仿宋_GB2312" w:cs="Times New Roman"/>
          <w:bCs/>
          <w:color w:val="auto"/>
          <w:sz w:val="32"/>
          <w:szCs w:val="32"/>
          <w:lang w:val="en-US" w:eastAsia="zh-CN" w:bidi="ar-SA"/>
        </w:rPr>
        <w:t>群</w:t>
      </w:r>
      <w:r>
        <w:rPr>
          <w:rFonts w:hint="eastAsia" w:ascii="Times New Roman" w:hAnsi="Times New Roman" w:eastAsia="仿宋_GB2312" w:cs="Times New Roman"/>
          <w:bCs/>
          <w:color w:val="auto"/>
          <w:sz w:val="32"/>
          <w:szCs w:val="32"/>
          <w:lang w:val="en-US" w:eastAsia="zh-CN" w:bidi="ar-SA"/>
        </w:rPr>
        <w:t>策</w:t>
      </w:r>
      <w:r>
        <w:rPr>
          <w:rFonts w:hint="default" w:ascii="Times New Roman" w:hAnsi="Times New Roman" w:eastAsia="仿宋_GB2312" w:cs="Times New Roman"/>
          <w:bCs/>
          <w:color w:val="auto"/>
          <w:sz w:val="32"/>
          <w:szCs w:val="32"/>
          <w:lang w:val="en-US" w:eastAsia="zh-CN" w:bidi="ar-SA"/>
        </w:rPr>
        <w:t>群防体系</w:t>
      </w:r>
      <w:r>
        <w:rPr>
          <w:rFonts w:hint="default" w:ascii="Times New Roman" w:hAnsi="Times New Roman" w:eastAsia="仿宋_GB2312" w:cs="Times New Roman"/>
          <w:bCs/>
          <w:sz w:val="32"/>
          <w:szCs w:val="32"/>
          <w:lang w:val="en-US" w:eastAsia="zh-CN" w:bidi="ar-SA"/>
        </w:rPr>
        <w:t>建设及山洪灾害防治</w:t>
      </w:r>
      <w:r>
        <w:rPr>
          <w:rFonts w:hint="default" w:ascii="Times New Roman" w:hAnsi="Times New Roman" w:eastAsia="仿宋_GB2312" w:cs="Times New Roman"/>
          <w:bCs/>
          <w:color w:val="auto"/>
          <w:sz w:val="32"/>
          <w:szCs w:val="32"/>
          <w:lang w:val="en-US" w:eastAsia="zh-CN" w:bidi="ar-SA"/>
        </w:rPr>
        <w:t>运行维护项目，</w:t>
      </w:r>
      <w:r>
        <w:rPr>
          <w:rFonts w:hint="default" w:ascii="Times New Roman" w:hAnsi="Times New Roman" w:eastAsia="仿宋_GB2312" w:cs="Times New Roman"/>
          <w:bCs/>
          <w:sz w:val="32"/>
          <w:szCs w:val="32"/>
          <w:lang w:val="en-US" w:eastAsia="zh-CN" w:bidi="ar-SA"/>
        </w:rPr>
        <w:t>九寨沟县安乐沟防洪治理工程，总投资1041万元，项目的建成全力保障汛期各项硬件设备信息传送准确。</w:t>
      </w:r>
    </w:p>
    <w:p>
      <w:pPr>
        <w:pStyle w:val="5"/>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30"/>
      <w:bookmarkEnd w:id="31"/>
      <w:bookmarkEnd w:id="32"/>
      <w:bookmarkEnd w:id="33"/>
      <w:bookmarkEnd w:id="34"/>
    </w:p>
    <w:p>
      <w:pPr>
        <w:spacing w:line="600" w:lineRule="exact"/>
        <w:ind w:firstLine="645"/>
        <w:rPr>
          <w:rFonts w:hint="eastAsia" w:ascii="仿宋_GB2312" w:hAnsi="仿宋_GB2312" w:eastAsia="仿宋_GB2312" w:cs="仿宋_GB2312"/>
          <w:bCs/>
          <w:snapToGrid w:val="0"/>
          <w:spacing w:val="2"/>
          <w:kern w:val="0"/>
          <w:sz w:val="32"/>
          <w:szCs w:val="32"/>
        </w:rPr>
      </w:pPr>
      <w:r>
        <w:rPr>
          <w:rFonts w:hint="eastAsia" w:ascii="仿宋_GB2312" w:hAnsi="仿宋_GB2312" w:eastAsia="仿宋_GB2312" w:cs="仿宋_GB2312"/>
          <w:bCs/>
          <w:snapToGrid w:val="0"/>
          <w:spacing w:val="2"/>
          <w:kern w:val="0"/>
          <w:sz w:val="32"/>
          <w:szCs w:val="32"/>
        </w:rPr>
        <w:t>九寨沟县水务局（简称县水务局）是九寨沟县人民政府工作部门，为正科级。内设行政股室2个：综合股、规划建设股。事业场站6个。</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纳入20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年度部门决算编制范围的二级预算单位包括：</w:t>
      </w:r>
    </w:p>
    <w:p>
      <w:pPr>
        <w:widowControl/>
        <w:jc w:val="left"/>
        <w:rPr>
          <w:rFonts w:ascii="仿宋" w:hAnsi="仿宋" w:eastAsia="仿宋"/>
          <w:color w:val="000000"/>
          <w:sz w:val="32"/>
          <w:szCs w:val="32"/>
        </w:rPr>
      </w:pPr>
      <w:r>
        <w:rPr>
          <w:rFonts w:hint="eastAsia" w:ascii="仿宋" w:hAnsi="仿宋" w:eastAsia="仿宋"/>
          <w:color w:val="000000"/>
          <w:sz w:val="32"/>
          <w:szCs w:val="32"/>
        </w:rPr>
        <w:t>水务中心。</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4"/>
          <w:rFonts w:ascii="黑体" w:hAnsi="黑体" w:eastAsia="黑体"/>
          <w:b w:val="0"/>
          <w:bCs w:val="0"/>
        </w:rPr>
      </w:pPr>
      <w:bookmarkStart w:id="35" w:name="_Toc79163859"/>
      <w:bookmarkStart w:id="36" w:name="_Toc79163609"/>
      <w:bookmarkStart w:id="37" w:name="_Toc15377204"/>
      <w:bookmarkStart w:id="38" w:name="_Toc15396602"/>
      <w:bookmarkStart w:id="39" w:name="_Toc9485"/>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2020</w:t>
      </w:r>
      <w:r>
        <w:rPr>
          <w:rStyle w:val="24"/>
          <w:rFonts w:hint="eastAsia" w:ascii="黑体" w:hAnsi="黑体" w:eastAsia="黑体"/>
          <w:b w:val="0"/>
          <w:bCs w:val="0"/>
        </w:rPr>
        <w:t>年度部门决算情况说明</w:t>
      </w:r>
      <w:bookmarkEnd w:id="35"/>
      <w:bookmarkEnd w:id="36"/>
      <w:bookmarkEnd w:id="37"/>
      <w:bookmarkEnd w:id="38"/>
      <w:bookmarkEnd w:id="39"/>
    </w:p>
    <w:p/>
    <w:p>
      <w:pPr>
        <w:pStyle w:val="35"/>
        <w:numPr>
          <w:ilvl w:val="0"/>
          <w:numId w:val="1"/>
        </w:numPr>
        <w:spacing w:line="600" w:lineRule="exact"/>
        <w:ind w:firstLineChars="0"/>
        <w:outlineLvl w:val="1"/>
        <w:rPr>
          <w:rStyle w:val="25"/>
          <w:rFonts w:ascii="黑体" w:hAnsi="黑体" w:eastAsia="黑体"/>
          <w:b w:val="0"/>
        </w:rPr>
      </w:pPr>
      <w:bookmarkStart w:id="40" w:name="_Toc79163860"/>
      <w:bookmarkStart w:id="41" w:name="_Toc15377205"/>
      <w:bookmarkStart w:id="42" w:name="_Toc79163610"/>
      <w:bookmarkStart w:id="43" w:name="_Toc15396603"/>
      <w:bookmarkStart w:id="44" w:name="_Toc8268"/>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40"/>
      <w:bookmarkEnd w:id="41"/>
      <w:bookmarkEnd w:id="42"/>
      <w:bookmarkEnd w:id="43"/>
      <w:bookmarkEnd w:id="44"/>
    </w:p>
    <w:p>
      <w:pPr>
        <w:spacing w:line="600" w:lineRule="exact"/>
        <w:ind w:firstLine="640" w:firstLineChars="200"/>
        <w:outlineLvl w:val="9"/>
        <w:rPr>
          <w:rFonts w:hint="eastAsia" w:ascii="仿宋" w:hAnsi="仿宋" w:eastAsia="仿宋"/>
          <w:color w:val="000000"/>
          <w:sz w:val="32"/>
          <w:szCs w:val="32"/>
          <w:lang w:val="en-US" w:eastAsia="zh-CN"/>
        </w:rPr>
      </w:pPr>
      <w:r>
        <w:rPr>
          <w:rFonts w:hint="eastAsia" w:ascii="仿宋" w:hAnsi="仿宋" w:eastAsia="仿宋" w:cs="仿宋"/>
          <w:b w:val="0"/>
          <w:bCs w:val="0"/>
          <w:color w:val="auto"/>
          <w:sz w:val="32"/>
          <w:szCs w:val="32"/>
          <w:highlight w:val="none"/>
          <w:lang w:val="en-US" w:eastAsia="zh-CN"/>
        </w:rPr>
        <w:t>2020</w:t>
      </w:r>
      <w:r>
        <w:rPr>
          <w:rFonts w:hint="eastAsia" w:ascii="仿宋" w:hAnsi="仿宋" w:eastAsia="仿宋" w:cs="仿宋"/>
          <w:b w:val="0"/>
          <w:bCs w:val="0"/>
          <w:color w:val="auto"/>
          <w:sz w:val="32"/>
          <w:szCs w:val="32"/>
          <w:highlight w:val="none"/>
          <w:lang w:val="zh-CN" w:eastAsia="zh-CN"/>
        </w:rPr>
        <w:t>年财政拨款收入</w:t>
      </w:r>
      <w:r>
        <w:rPr>
          <w:rFonts w:hint="eastAsia" w:ascii="仿宋" w:hAnsi="仿宋" w:eastAsia="仿宋" w:cs="仿宋"/>
          <w:b w:val="0"/>
          <w:bCs w:val="0"/>
          <w:color w:val="auto"/>
          <w:sz w:val="32"/>
          <w:szCs w:val="32"/>
          <w:highlight w:val="none"/>
          <w:lang w:val="en-US" w:eastAsia="zh-CN"/>
        </w:rPr>
        <w:t>275.37万</w:t>
      </w:r>
      <w:r>
        <w:rPr>
          <w:rFonts w:hint="eastAsia" w:ascii="仿宋" w:hAnsi="仿宋" w:eastAsia="仿宋" w:cs="仿宋"/>
          <w:b w:val="0"/>
          <w:bCs w:val="0"/>
          <w:color w:val="auto"/>
          <w:sz w:val="32"/>
          <w:szCs w:val="32"/>
          <w:highlight w:val="none"/>
          <w:lang w:val="zh-CN" w:eastAsia="zh-CN"/>
        </w:rPr>
        <w:t>元</w:t>
      </w:r>
      <w:r>
        <w:rPr>
          <w:rFonts w:hint="eastAsia" w:ascii="仿宋_GB2312" w:hAnsi="仿宋_GB2312" w:eastAsia="仿宋_GB2312" w:cs="仿宋_GB2312"/>
          <w:bCs/>
          <w:color w:val="auto"/>
          <w:sz w:val="28"/>
          <w:szCs w:val="28"/>
          <w:highlight w:val="none"/>
          <w:lang w:val="en-US" w:eastAsia="zh-CN"/>
        </w:rPr>
        <w:t>，</w:t>
      </w:r>
      <w:r>
        <w:rPr>
          <w:rFonts w:hint="eastAsia" w:ascii="仿宋" w:hAnsi="仿宋" w:eastAsia="仿宋" w:cs="仿宋"/>
          <w:color w:val="000000"/>
          <w:sz w:val="32"/>
          <w:szCs w:val="32"/>
          <w:lang w:val="en-US" w:eastAsia="zh-CN"/>
        </w:rPr>
        <w:t>2019年</w:t>
      </w:r>
      <w:r>
        <w:rPr>
          <w:rFonts w:hint="eastAsia" w:ascii="仿宋" w:hAnsi="仿宋" w:eastAsia="仿宋" w:cs="仿宋"/>
          <w:color w:val="000000"/>
          <w:sz w:val="32"/>
          <w:szCs w:val="32"/>
          <w:lang w:val="zh-CN" w:eastAsia="zh-CN"/>
        </w:rPr>
        <w:t>财政拨款支出</w:t>
      </w:r>
      <w:r>
        <w:rPr>
          <w:rFonts w:hint="eastAsia" w:ascii="仿宋" w:hAnsi="仿宋" w:eastAsia="仿宋" w:cs="仿宋"/>
          <w:color w:val="000000"/>
          <w:sz w:val="32"/>
          <w:szCs w:val="32"/>
          <w:lang w:val="en-US" w:eastAsia="zh-CN"/>
        </w:rPr>
        <w:t>275.37万</w:t>
      </w:r>
      <w:r>
        <w:rPr>
          <w:rFonts w:hint="eastAsia" w:ascii="仿宋" w:hAnsi="仿宋" w:eastAsia="仿宋" w:cs="仿宋"/>
          <w:color w:val="000000"/>
          <w:sz w:val="32"/>
          <w:szCs w:val="32"/>
          <w:lang w:val="zh-CN" w:eastAsia="zh-CN"/>
        </w:rPr>
        <w:t>元，</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138.16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项目增加。</w:t>
      </w:r>
      <w:r>
        <w:rPr>
          <w:rFonts w:hint="eastAsia" w:ascii="仿宋" w:hAnsi="仿宋" w:eastAsia="仿宋" w:cs="仿宋"/>
          <w:color w:val="000000"/>
          <w:sz w:val="32"/>
          <w:szCs w:val="32"/>
          <w:lang w:val="en-US" w:eastAsia="zh-CN"/>
        </w:rPr>
        <w:t>2020年</w:t>
      </w:r>
      <w:r>
        <w:rPr>
          <w:rFonts w:hint="eastAsia" w:ascii="仿宋" w:hAnsi="仿宋" w:eastAsia="仿宋" w:cs="仿宋"/>
          <w:color w:val="000000"/>
          <w:sz w:val="32"/>
          <w:szCs w:val="32"/>
          <w:lang w:val="zh-CN" w:eastAsia="zh-CN"/>
        </w:rPr>
        <w:t>财政拨款支出</w:t>
      </w:r>
      <w:r>
        <w:rPr>
          <w:rFonts w:hint="eastAsia" w:ascii="仿宋" w:hAnsi="仿宋" w:eastAsia="仿宋" w:cs="仿宋"/>
          <w:color w:val="000000"/>
          <w:sz w:val="32"/>
          <w:szCs w:val="32"/>
          <w:lang w:val="en-US" w:eastAsia="zh-CN"/>
        </w:rPr>
        <w:t>275.37万</w:t>
      </w:r>
      <w:r>
        <w:rPr>
          <w:rFonts w:hint="eastAsia" w:ascii="仿宋" w:hAnsi="仿宋" w:eastAsia="仿宋" w:cs="仿宋"/>
          <w:color w:val="000000"/>
          <w:sz w:val="32"/>
          <w:szCs w:val="32"/>
          <w:lang w:val="zh-CN" w:eastAsia="zh-CN"/>
        </w:rPr>
        <w:t>元，</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138.16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上升</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项目增加。</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w:t>
      </w:r>
    </w:p>
    <w:p>
      <w:pPr>
        <w:pStyle w:val="2"/>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drawing>
          <wp:anchor distT="0" distB="0" distL="114300" distR="114300" simplePos="0" relativeHeight="251659264" behindDoc="0" locked="0" layoutInCell="1" allowOverlap="1">
            <wp:simplePos x="0" y="0"/>
            <wp:positionH relativeFrom="column">
              <wp:posOffset>261620</wp:posOffset>
            </wp:positionH>
            <wp:positionV relativeFrom="paragraph">
              <wp:posOffset>84455</wp:posOffset>
            </wp:positionV>
            <wp:extent cx="4629785" cy="2883535"/>
            <wp:effectExtent l="4445" t="4445" r="13970" b="762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35"/>
        <w:numPr>
          <w:ilvl w:val="0"/>
          <w:numId w:val="1"/>
        </w:numPr>
        <w:spacing w:line="600" w:lineRule="exact"/>
        <w:ind w:firstLineChars="0"/>
        <w:outlineLvl w:val="1"/>
        <w:rPr>
          <w:rStyle w:val="25"/>
          <w:rFonts w:ascii="黑体" w:hAnsi="黑体" w:eastAsia="黑体"/>
          <w:b w:val="0"/>
        </w:rPr>
      </w:pPr>
      <w:bookmarkStart w:id="45" w:name="_Toc15396604"/>
      <w:bookmarkStart w:id="46" w:name="_Toc15377206"/>
      <w:bookmarkStart w:id="47" w:name="_Toc79163611"/>
      <w:bookmarkStart w:id="48" w:name="_Toc79163861"/>
      <w:bookmarkStart w:id="49" w:name="_Toc17735"/>
      <w:r>
        <w:rPr>
          <w:rFonts w:hint="eastAsia" w:ascii="黑体" w:hAnsi="黑体" w:eastAsia="黑体"/>
          <w:color w:val="000000"/>
          <w:sz w:val="32"/>
          <w:szCs w:val="32"/>
        </w:rPr>
        <w:t>收</w:t>
      </w:r>
      <w:r>
        <w:rPr>
          <w:rStyle w:val="25"/>
          <w:rFonts w:hint="eastAsia" w:ascii="黑体" w:hAnsi="黑体" w:eastAsia="黑体"/>
          <w:b w:val="0"/>
        </w:rPr>
        <w:t>入决算情况说明</w:t>
      </w:r>
      <w:bookmarkEnd w:id="45"/>
      <w:bookmarkEnd w:id="46"/>
      <w:bookmarkEnd w:id="47"/>
      <w:bookmarkEnd w:id="48"/>
      <w:bookmarkEnd w:id="49"/>
    </w:p>
    <w:p>
      <w:pPr>
        <w:spacing w:line="600"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275.37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275.37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2"/>
        <w:ind w:left="0" w:leftChars="0" w:firstLine="0" w:firstLineChars="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404495</wp:posOffset>
            </wp:positionH>
            <wp:positionV relativeFrom="paragraph">
              <wp:posOffset>309245</wp:posOffset>
            </wp:positionV>
            <wp:extent cx="4361815" cy="3238500"/>
            <wp:effectExtent l="4445" t="4445" r="15240"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ascii="仿宋_GB2312" w:eastAsia="仿宋_GB2312"/>
          <w:color w:val="FF0000"/>
          <w:sz w:val="32"/>
          <w:szCs w:val="32"/>
        </w:rPr>
      </w:pPr>
    </w:p>
    <w:p>
      <w:pPr>
        <w:pStyle w:val="35"/>
        <w:numPr>
          <w:ilvl w:val="0"/>
          <w:numId w:val="1"/>
        </w:numPr>
        <w:spacing w:line="600" w:lineRule="exact"/>
        <w:ind w:firstLineChars="0"/>
        <w:outlineLvl w:val="1"/>
        <w:rPr>
          <w:rStyle w:val="25"/>
          <w:rFonts w:ascii="黑体" w:hAnsi="黑体" w:eastAsia="黑体"/>
          <w:b w:val="0"/>
        </w:rPr>
      </w:pPr>
      <w:bookmarkStart w:id="50" w:name="_Toc15396605"/>
      <w:bookmarkStart w:id="51" w:name="_Toc15377207"/>
      <w:bookmarkStart w:id="52" w:name="_Toc79163612"/>
      <w:bookmarkStart w:id="53" w:name="_Toc79163862"/>
      <w:bookmarkStart w:id="54" w:name="_Toc9824"/>
      <w:r>
        <w:rPr>
          <w:rFonts w:hint="eastAsia" w:ascii="黑体" w:hAnsi="黑体" w:eastAsia="黑体"/>
          <w:color w:val="000000"/>
          <w:sz w:val="32"/>
          <w:szCs w:val="32"/>
        </w:rPr>
        <w:t>支</w:t>
      </w:r>
      <w:r>
        <w:rPr>
          <w:rStyle w:val="25"/>
          <w:rFonts w:hint="eastAsia" w:ascii="黑体" w:hAnsi="黑体" w:eastAsia="黑体"/>
          <w:b w:val="0"/>
        </w:rPr>
        <w:t>出决算情况说明</w:t>
      </w:r>
      <w:bookmarkEnd w:id="50"/>
      <w:bookmarkEnd w:id="51"/>
      <w:bookmarkEnd w:id="52"/>
      <w:bookmarkEnd w:id="53"/>
      <w:bookmarkEnd w:id="54"/>
    </w:p>
    <w:p>
      <w:pPr>
        <w:spacing w:line="60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275.37</w:t>
      </w:r>
      <w:r>
        <w:rPr>
          <w:rFonts w:hint="eastAsia" w:ascii="仿宋_GB2312" w:eastAsia="仿宋_GB2312"/>
          <w:sz w:val="32"/>
          <w:szCs w:val="32"/>
        </w:rPr>
        <w:t>万元，其中：基本支出</w:t>
      </w:r>
      <w:r>
        <w:rPr>
          <w:rFonts w:hint="eastAsia" w:ascii="仿宋_GB2312" w:eastAsia="仿宋_GB2312"/>
          <w:sz w:val="32"/>
          <w:szCs w:val="32"/>
          <w:lang w:val="en-US" w:eastAsia="zh-CN"/>
        </w:rPr>
        <w:t>275.37</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（注：数据来源于财决</w:t>
      </w:r>
      <w:r>
        <w:rPr>
          <w:rFonts w:ascii="仿宋_GB2312" w:eastAsia="仿宋_GB2312"/>
          <w:sz w:val="32"/>
          <w:szCs w:val="32"/>
        </w:rPr>
        <w:t>04</w:t>
      </w:r>
      <w:r>
        <w:rPr>
          <w:rFonts w:hint="eastAsia" w:ascii="仿宋_GB2312" w:eastAsia="仿宋_GB2312"/>
          <w:sz w:val="32"/>
          <w:szCs w:val="32"/>
        </w:rPr>
        <w:t>表）</w:t>
      </w:r>
    </w:p>
    <w:p>
      <w:pPr>
        <w:spacing w:line="600" w:lineRule="exact"/>
        <w:ind w:firstLine="640" w:firstLineChars="200"/>
        <w:rPr>
          <w:rFonts w:hint="eastAsia" w:ascii="仿宋" w:hAnsi="仿宋" w:eastAsia="仿宋"/>
          <w:color w:val="000000"/>
          <w:sz w:val="32"/>
          <w:szCs w:val="32"/>
        </w:rPr>
      </w:pPr>
    </w:p>
    <w:p>
      <w:pPr>
        <w:pStyle w:val="2"/>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97152" behindDoc="0" locked="0" layoutInCell="1" allowOverlap="1">
            <wp:simplePos x="0" y="0"/>
            <wp:positionH relativeFrom="column">
              <wp:posOffset>461645</wp:posOffset>
            </wp:positionH>
            <wp:positionV relativeFrom="paragraph">
              <wp:posOffset>4445</wp:posOffset>
            </wp:positionV>
            <wp:extent cx="4538980" cy="2663190"/>
            <wp:effectExtent l="4445" t="4445" r="9525" b="1841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1600" w:firstLineChars="5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5"/>
          <w:rFonts w:ascii="黑体" w:hAnsi="黑体" w:eastAsia="黑体"/>
          <w:b w:val="0"/>
        </w:rPr>
      </w:pPr>
      <w:bookmarkStart w:id="55" w:name="_Toc15377208"/>
      <w:bookmarkStart w:id="56" w:name="_Toc79163863"/>
      <w:bookmarkStart w:id="57" w:name="_Toc79163613"/>
      <w:bookmarkStart w:id="58" w:name="_Toc15396606"/>
      <w:bookmarkStart w:id="59" w:name="_Toc5734"/>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55"/>
      <w:bookmarkEnd w:id="56"/>
      <w:bookmarkEnd w:id="57"/>
      <w:bookmarkEnd w:id="58"/>
      <w:bookmarkEnd w:id="59"/>
    </w:p>
    <w:p>
      <w:pPr>
        <w:spacing w:line="600" w:lineRule="exact"/>
        <w:ind w:firstLine="640"/>
        <w:rPr>
          <w:rFonts w:hint="eastAsia" w:ascii="仿宋" w:hAnsi="仿宋" w:eastAsia="仿宋"/>
          <w:color w:val="000000"/>
          <w:sz w:val="32"/>
          <w:szCs w:val="32"/>
          <w:lang w:val="en-US" w:eastAsia="zh-CN"/>
        </w:rPr>
      </w:pPr>
      <w:r>
        <w:rPr>
          <w:rFonts w:ascii="仿宋" w:hAnsi="仿宋" w:eastAsia="仿宋"/>
          <w:color w:val="000000"/>
          <w:sz w:val="32"/>
          <w:szCs w:val="32"/>
        </w:rPr>
        <w:t>2020</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入合计</w:t>
      </w:r>
      <w:r>
        <w:rPr>
          <w:rFonts w:hint="eastAsia" w:ascii="仿宋" w:hAnsi="仿宋" w:eastAsia="仿宋"/>
          <w:color w:val="000000"/>
          <w:sz w:val="32"/>
          <w:szCs w:val="32"/>
          <w:lang w:val="en-US" w:eastAsia="zh-CN"/>
        </w:rPr>
        <w:t>275.37</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出合计</w:t>
      </w:r>
      <w:r>
        <w:rPr>
          <w:rFonts w:hint="eastAsia" w:ascii="仿宋" w:hAnsi="仿宋" w:eastAsia="仿宋"/>
          <w:color w:val="000000"/>
          <w:sz w:val="32"/>
          <w:szCs w:val="32"/>
          <w:lang w:val="en-US" w:eastAsia="zh-CN"/>
        </w:rPr>
        <w:t>275.37，</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550.74</w:t>
      </w:r>
      <w:r>
        <w:rPr>
          <w:rFonts w:hint="eastAsia" w:ascii="仿宋" w:hAnsi="仿宋" w:eastAsia="仿宋"/>
          <w:color w:val="000000"/>
          <w:sz w:val="32"/>
          <w:szCs w:val="32"/>
        </w:rPr>
        <w:t>万元。与</w:t>
      </w:r>
      <w:r>
        <w:rPr>
          <w:rFonts w:ascii="仿宋" w:hAnsi="仿宋" w:eastAsia="仿宋"/>
          <w:color w:val="000000"/>
          <w:sz w:val="32"/>
          <w:szCs w:val="32"/>
        </w:rPr>
        <w:t>2019</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138.16万元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138.16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总计</w:t>
      </w:r>
      <w:r>
        <w:rPr>
          <w:rFonts w:hint="eastAsia" w:ascii="仿宋" w:hAnsi="仿宋" w:eastAsia="仿宋"/>
          <w:color w:val="000000"/>
          <w:sz w:val="32"/>
          <w:szCs w:val="32"/>
          <w:lang w:val="en-US" w:eastAsia="zh-CN"/>
        </w:rPr>
        <w:t>276.32，</w:t>
      </w:r>
      <w:r>
        <w:rPr>
          <w:rFonts w:hint="eastAsia" w:ascii="仿宋" w:hAnsi="仿宋" w:eastAsia="仿宋"/>
          <w:color w:val="000000"/>
          <w:sz w:val="32"/>
          <w:szCs w:val="32"/>
        </w:rPr>
        <w:t>增</w:t>
      </w:r>
      <w:r>
        <w:rPr>
          <w:rFonts w:hint="eastAsia" w:ascii="仿宋" w:hAnsi="仿宋" w:eastAsia="仿宋"/>
          <w:color w:val="000000"/>
          <w:sz w:val="32"/>
          <w:szCs w:val="32"/>
          <w:lang w:eastAsia="zh-CN"/>
        </w:rPr>
        <w:t>长</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r>
        <w:rPr>
          <w:rFonts w:hint="eastAsia" w:ascii="仿宋" w:hAnsi="仿宋" w:eastAsia="仿宋"/>
          <w:color w:val="000000"/>
          <w:sz w:val="32"/>
          <w:szCs w:val="32"/>
          <w:lang w:val="en-US" w:eastAsia="zh-CN"/>
        </w:rPr>
        <w:t xml:space="preserve"> </w:t>
      </w:r>
    </w:p>
    <w:p>
      <w:pPr>
        <w:pStyle w:val="2"/>
        <w:rPr>
          <w:rFonts w:hint="eastAsia" w:ascii="仿宋" w:hAnsi="仿宋" w:eastAsia="仿宋"/>
          <w:color w:val="000000"/>
          <w:sz w:val="32"/>
          <w:szCs w:val="32"/>
          <w:lang w:val="en-US" w:eastAsia="zh-CN"/>
        </w:rPr>
      </w:pPr>
    </w:p>
    <w:p>
      <w:pPr>
        <w:pStyle w:val="2"/>
        <w:rPr>
          <w:rFonts w:hint="eastAsia" w:ascii="仿宋" w:hAnsi="仿宋" w:eastAsia="仿宋"/>
          <w:color w:val="000000"/>
          <w:sz w:val="32"/>
          <w:szCs w:val="32"/>
          <w:lang w:val="en-US" w:eastAsia="zh-CN"/>
        </w:rPr>
      </w:pPr>
    </w:p>
    <w:p>
      <w:pPr>
        <w:pStyle w:val="2"/>
        <w:rPr>
          <w:rFonts w:hint="eastAsia" w:ascii="仿宋" w:hAnsi="仿宋" w:eastAsia="仿宋"/>
          <w:color w:val="000000"/>
          <w:sz w:val="32"/>
          <w:szCs w:val="32"/>
          <w:lang w:val="en-US" w:eastAsia="zh-CN"/>
        </w:rPr>
      </w:pPr>
    </w:p>
    <w:p>
      <w:pPr>
        <w:pStyle w:val="2"/>
        <w:rPr>
          <w:rFonts w:hint="eastAsia" w:ascii="仿宋" w:hAnsi="仿宋" w:eastAsia="仿宋"/>
          <w:color w:val="000000"/>
          <w:sz w:val="32"/>
          <w:szCs w:val="32"/>
          <w:lang w:val="en-US" w:eastAsia="zh-CN"/>
        </w:rPr>
      </w:pPr>
    </w:p>
    <w:p>
      <w:pPr>
        <w:pStyle w:val="2"/>
        <w:rPr>
          <w:rFonts w:hint="eastAsia" w:ascii="仿宋" w:hAnsi="仿宋" w:eastAsia="仿宋"/>
          <w:color w:val="000000"/>
          <w:sz w:val="32"/>
          <w:szCs w:val="32"/>
          <w:lang w:val="en-US" w:eastAsia="zh-CN"/>
        </w:rPr>
      </w:pPr>
    </w:p>
    <w:p>
      <w:pPr>
        <w:pStyle w:val="2"/>
        <w:rPr>
          <w:rFonts w:hint="eastAsia" w:ascii="仿宋" w:hAnsi="仿宋" w:eastAsia="仿宋"/>
          <w:color w:val="000000"/>
          <w:sz w:val="32"/>
          <w:szCs w:val="32"/>
          <w:lang w:val="en-US" w:eastAsia="zh-CN"/>
        </w:rPr>
      </w:pPr>
    </w:p>
    <w:p>
      <w:pPr>
        <w:pStyle w:val="2"/>
        <w:rPr>
          <w:rFonts w:hint="eastAsia" w:ascii="仿宋" w:hAnsi="仿宋" w:eastAsia="仿宋"/>
          <w:color w:val="000000"/>
          <w:sz w:val="32"/>
          <w:szCs w:val="32"/>
          <w:lang w:val="en-US" w:eastAsia="zh-CN"/>
        </w:rPr>
      </w:pPr>
    </w:p>
    <w:p>
      <w:pPr>
        <w:pStyle w:val="2"/>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drawing>
          <wp:anchor distT="0" distB="0" distL="114300" distR="114300" simplePos="0" relativeHeight="251674624" behindDoc="0" locked="0" layoutInCell="1" allowOverlap="1">
            <wp:simplePos x="0" y="0"/>
            <wp:positionH relativeFrom="column">
              <wp:posOffset>176530</wp:posOffset>
            </wp:positionH>
            <wp:positionV relativeFrom="paragraph">
              <wp:posOffset>156845</wp:posOffset>
            </wp:positionV>
            <wp:extent cx="4903470" cy="3235960"/>
            <wp:effectExtent l="5080" t="4445" r="635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320" w:firstLineChars="1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5"/>
          <w:rFonts w:ascii="黑体" w:hAnsi="黑体" w:eastAsia="黑体"/>
          <w:b w:val="0"/>
        </w:rPr>
      </w:pPr>
      <w:bookmarkStart w:id="60" w:name="_Toc15396607"/>
      <w:bookmarkStart w:id="61" w:name="_Toc15377209"/>
      <w:bookmarkStart w:id="62" w:name="_Toc79163614"/>
      <w:bookmarkStart w:id="63" w:name="_Toc79163864"/>
      <w:bookmarkStart w:id="64" w:name="_Toc16913"/>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60"/>
      <w:bookmarkEnd w:id="61"/>
      <w:bookmarkEnd w:id="62"/>
      <w:bookmarkEnd w:id="63"/>
      <w:bookmarkEnd w:id="64"/>
    </w:p>
    <w:p>
      <w:pPr>
        <w:spacing w:line="600" w:lineRule="exact"/>
        <w:ind w:firstLine="643" w:firstLineChars="200"/>
        <w:outlineLvl w:val="2"/>
        <w:rPr>
          <w:rFonts w:ascii="仿宋" w:hAnsi="仿宋" w:eastAsia="仿宋"/>
          <w:b/>
          <w:color w:val="000000"/>
          <w:sz w:val="32"/>
          <w:szCs w:val="32"/>
        </w:rPr>
      </w:pPr>
      <w:bookmarkStart w:id="65" w:name="_Toc79163865"/>
      <w:bookmarkStart w:id="66" w:name="_Toc79163615"/>
      <w:bookmarkStart w:id="67" w:name="_Toc15377210"/>
      <w:r>
        <w:rPr>
          <w:rFonts w:hint="eastAsia" w:ascii="仿宋" w:hAnsi="仿宋" w:eastAsia="仿宋"/>
          <w:b/>
          <w:color w:val="000000"/>
          <w:sz w:val="32"/>
          <w:szCs w:val="32"/>
        </w:rPr>
        <w:t>（一）一般公共预算财政拨款支出决算总体情况</w:t>
      </w:r>
      <w:bookmarkEnd w:id="65"/>
      <w:bookmarkEnd w:id="66"/>
      <w:bookmarkEnd w:id="67"/>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275.37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138.16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项目增加。</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w:t>
      </w:r>
    </w:p>
    <w:p>
      <w:pPr>
        <w:pStyle w:val="2"/>
        <w:rPr>
          <w:rFonts w:hint="eastAsia" w:ascii="仿宋" w:hAnsi="仿宋" w:eastAsia="仿宋"/>
          <w:color w:val="000000"/>
          <w:sz w:val="32"/>
          <w:szCs w:val="32"/>
          <w:lang w:val="en-US" w:eastAsia="zh-CN"/>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82816" behindDoc="0" locked="0" layoutInCell="1" allowOverlap="1">
            <wp:simplePos x="0" y="0"/>
            <wp:positionH relativeFrom="column">
              <wp:posOffset>252095</wp:posOffset>
            </wp:positionH>
            <wp:positionV relativeFrom="paragraph">
              <wp:posOffset>290195</wp:posOffset>
            </wp:positionV>
            <wp:extent cx="4585335" cy="2724785"/>
            <wp:effectExtent l="4445" t="4445" r="20320" b="1397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8" w:name="_Toc15377211"/>
      <w:bookmarkStart w:id="69" w:name="_Toc79163616"/>
      <w:bookmarkStart w:id="70" w:name="_Toc79163866"/>
      <w:r>
        <w:rPr>
          <w:rFonts w:hint="eastAsia" w:ascii="仿宋" w:hAnsi="仿宋" w:eastAsia="仿宋"/>
          <w:b/>
          <w:color w:val="000000"/>
          <w:sz w:val="32"/>
          <w:szCs w:val="32"/>
        </w:rPr>
        <w:t>（二）一般公共预算财政拨款支出决算结构情况</w:t>
      </w:r>
      <w:bookmarkEnd w:id="68"/>
      <w:bookmarkEnd w:id="69"/>
      <w:bookmarkEnd w:id="70"/>
    </w:p>
    <w:p>
      <w:pPr>
        <w:spacing w:line="600" w:lineRule="exact"/>
        <w:ind w:firstLine="640"/>
        <w:outlineLvl w:val="9"/>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275.37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37.73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13.7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卫生健康支出</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210</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s="Times New Roman"/>
          <w:color w:val="000000" w:themeColor="text1"/>
          <w:sz w:val="32"/>
          <w:szCs w:val="32"/>
          <w:lang w:val="en-US" w:eastAsia="zh-CN"/>
          <w14:textFill>
            <w14:solidFill>
              <w14:schemeClr w14:val="tx1"/>
            </w14:solidFill>
          </w14:textFill>
        </w:rPr>
        <w:t>支</w:t>
      </w:r>
      <w:r>
        <w:rPr>
          <w:rFonts w:hint="eastAsia" w:ascii="仿宋" w:hAnsi="仿宋" w:eastAsia="仿宋" w:cs="Times New Roman"/>
          <w:color w:val="000000" w:themeColor="text1"/>
          <w:sz w:val="32"/>
          <w:szCs w:val="32"/>
          <w14:textFill>
            <w14:solidFill>
              <w14:schemeClr w14:val="tx1"/>
            </w14:solidFill>
          </w14:textFill>
        </w:rPr>
        <w:t>出</w:t>
      </w:r>
      <w:r>
        <w:rPr>
          <w:rFonts w:hint="eastAsia" w:ascii="仿宋" w:hAnsi="仿宋" w:eastAsia="仿宋" w:cs="Times New Roman"/>
          <w:color w:val="000000" w:themeColor="text1"/>
          <w:sz w:val="32"/>
          <w:szCs w:val="32"/>
          <w:lang w:val="en-US" w:eastAsia="zh-CN"/>
          <w14:textFill>
            <w14:solidFill>
              <w14:schemeClr w14:val="tx1"/>
            </w14:solidFill>
          </w14:textFill>
        </w:rPr>
        <w:t>23.56</w:t>
      </w:r>
      <w:r>
        <w:rPr>
          <w:rFonts w:hint="eastAsia" w:ascii="仿宋" w:hAnsi="仿宋" w:eastAsia="仿宋"/>
          <w:b/>
          <w:bCs/>
          <w:color w:val="000000" w:themeColor="text1"/>
          <w:sz w:val="32"/>
          <w:szCs w:val="32"/>
          <w14:textFill>
            <w14:solidFill>
              <w14:schemeClr w14:val="tx1"/>
            </w14:solidFill>
          </w14:textFill>
        </w:rPr>
        <w:t>万元，占</w:t>
      </w:r>
      <w:r>
        <w:rPr>
          <w:rFonts w:hint="eastAsia" w:ascii="仿宋" w:hAnsi="仿宋" w:eastAsia="仿宋"/>
          <w:b/>
          <w:bCs/>
          <w:color w:val="000000" w:themeColor="text1"/>
          <w:sz w:val="32"/>
          <w:szCs w:val="32"/>
          <w:lang w:val="en-US" w:eastAsia="zh-CN"/>
          <w14:textFill>
            <w14:solidFill>
              <w14:schemeClr w14:val="tx1"/>
            </w14:solidFill>
          </w14:textFill>
        </w:rPr>
        <w:t>8.6</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s="Times New Roman"/>
          <w:b/>
          <w:bCs/>
          <w:color w:val="000000" w:themeColor="text1"/>
          <w:sz w:val="32"/>
          <w:szCs w:val="32"/>
          <w:lang w:val="en-US" w:eastAsia="zh-CN"/>
          <w14:textFill>
            <w14:solidFill>
              <w14:schemeClr w14:val="tx1"/>
            </w14:solidFill>
          </w14:textFill>
        </w:rPr>
        <w:t>农林水支出（213）</w:t>
      </w:r>
      <w:r>
        <w:rPr>
          <w:rFonts w:hint="eastAsia" w:ascii="仿宋" w:hAnsi="仿宋" w:eastAsia="仿宋"/>
          <w:color w:val="000000" w:themeColor="text1"/>
          <w:sz w:val="32"/>
          <w:szCs w:val="32"/>
          <w:lang w:val="en-US" w:eastAsia="zh-CN"/>
          <w14:textFill>
            <w14:solidFill>
              <w14:schemeClr w14:val="tx1"/>
            </w14:solidFill>
          </w14:textFill>
        </w:rPr>
        <w:t>182.58万元，占66.3%，</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221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31.51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11.44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pStyle w:val="2"/>
        <w:rPr>
          <w:rFonts w:hint="eastAsia" w:ascii="仿宋" w:hAnsi="仿宋" w:eastAsia="仿宋"/>
          <w:b/>
          <w:color w:val="000000"/>
          <w:sz w:val="32"/>
          <w:szCs w:val="32"/>
        </w:rPr>
      </w:pPr>
    </w:p>
    <w:p>
      <w:pPr>
        <w:pStyle w:val="2"/>
        <w:rPr>
          <w:rFonts w:hint="eastAsia" w:ascii="仿宋" w:hAnsi="仿宋" w:eastAsia="仿宋"/>
          <w:b/>
          <w:color w:val="000000"/>
          <w:sz w:val="32"/>
          <w:szCs w:val="32"/>
        </w:rPr>
      </w:pPr>
    </w:p>
    <w:p>
      <w:pPr>
        <w:pStyle w:val="2"/>
        <w:rPr>
          <w:rFonts w:hint="eastAsia" w:ascii="仿宋" w:hAnsi="仿宋" w:eastAsia="仿宋"/>
          <w:b/>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92032" behindDoc="0" locked="0" layoutInCell="1" allowOverlap="1">
            <wp:simplePos x="0" y="0"/>
            <wp:positionH relativeFrom="column">
              <wp:posOffset>395605</wp:posOffset>
            </wp:positionH>
            <wp:positionV relativeFrom="paragraph">
              <wp:posOffset>338455</wp:posOffset>
            </wp:positionV>
            <wp:extent cx="4276090" cy="2301240"/>
            <wp:effectExtent l="5080" t="5080" r="5080" b="1778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71" w:name="_Toc79163867"/>
      <w:bookmarkStart w:id="72" w:name="_Toc79163617"/>
      <w:bookmarkStart w:id="73" w:name="_Toc15377212"/>
      <w:r>
        <w:rPr>
          <w:rFonts w:hint="eastAsia" w:ascii="仿宋" w:hAnsi="仿宋" w:eastAsia="仿宋"/>
          <w:b/>
          <w:color w:val="000000"/>
          <w:sz w:val="32"/>
          <w:szCs w:val="32"/>
        </w:rPr>
        <w:t>（三）一般公共预算财政拨款支出决算具体情况</w:t>
      </w:r>
      <w:bookmarkEnd w:id="71"/>
      <w:bookmarkEnd w:id="72"/>
      <w:bookmarkEnd w:id="73"/>
    </w:p>
    <w:p>
      <w:pPr>
        <w:spacing w:line="600" w:lineRule="exact"/>
        <w:ind w:firstLine="643" w:firstLineChars="200"/>
        <w:rPr>
          <w:rFonts w:ascii="仿宋_GB2312" w:eastAsia="仿宋_GB2312"/>
          <w:b/>
          <w:bCs/>
          <w:sz w:val="32"/>
          <w:szCs w:val="32"/>
        </w:rPr>
      </w:pPr>
      <w:bookmarkStart w:id="74" w:name="_Toc15377213"/>
      <w:bookmarkStart w:id="75" w:name="_Toc15378460"/>
      <w:bookmarkStart w:id="76"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275.37</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74"/>
      <w:bookmarkEnd w:id="75"/>
      <w:bookmarkEnd w:id="76"/>
    </w:p>
    <w:p>
      <w:pPr>
        <w:spacing w:line="600" w:lineRule="exact"/>
        <w:ind w:firstLine="640"/>
        <w:outlineLvl w:val="9"/>
        <w:rPr>
          <w:rFonts w:hint="eastAsia" w:ascii="仿宋" w:hAnsi="仿宋" w:eastAsia="仿宋"/>
          <w:b/>
          <w:color w:val="000000"/>
          <w:sz w:val="32"/>
          <w:szCs w:val="32"/>
          <w:lang w:eastAsia="zh-CN"/>
        </w:rPr>
      </w:pPr>
      <w:r>
        <w:rPr>
          <w:rStyle w:val="22"/>
          <w:rFonts w:ascii="仿宋" w:hAnsi="仿宋" w:eastAsia="仿宋"/>
          <w:bCs/>
          <w:color w:val="000000"/>
          <w:sz w:val="32"/>
          <w:szCs w:val="32"/>
        </w:rPr>
        <w:t>1.</w:t>
      </w:r>
      <w:r>
        <w:rPr>
          <w:rStyle w:val="22"/>
          <w:rFonts w:hint="eastAsia" w:ascii="仿宋" w:hAnsi="仿宋" w:eastAsia="仿宋"/>
          <w:bCs/>
          <w:color w:val="000000"/>
          <w:sz w:val="32"/>
          <w:szCs w:val="32"/>
        </w:rPr>
        <w:t>社会保障和就业（</w:t>
      </w:r>
      <w:r>
        <w:rPr>
          <w:rStyle w:val="22"/>
          <w:rFonts w:hint="eastAsia" w:ascii="仿宋" w:hAnsi="仿宋" w:eastAsia="仿宋"/>
          <w:bCs/>
          <w:color w:val="000000"/>
          <w:sz w:val="32"/>
          <w:szCs w:val="32"/>
          <w:lang w:val="en-US" w:eastAsia="zh-CN"/>
        </w:rPr>
        <w:t>208</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37.73</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spacing w:line="600" w:lineRule="exact"/>
        <w:ind w:firstLine="643" w:firstLineChars="200"/>
        <w:outlineLvl w:val="9"/>
        <w:rPr>
          <w:rStyle w:val="22"/>
          <w:rFonts w:hint="eastAsia" w:ascii="仿宋" w:hAnsi="仿宋" w:eastAsia="仿宋"/>
          <w:b w:val="0"/>
          <w:bCs/>
          <w:color w:val="000000"/>
          <w:sz w:val="32"/>
          <w:szCs w:val="32"/>
          <w:lang w:eastAsia="zh-CN"/>
        </w:rPr>
      </w:pPr>
      <w:r>
        <w:rPr>
          <w:rStyle w:val="22"/>
          <w:rFonts w:hint="eastAsia" w:ascii="仿宋" w:hAnsi="仿宋" w:eastAsia="仿宋"/>
          <w:bCs/>
          <w:color w:val="000000"/>
          <w:sz w:val="32"/>
          <w:szCs w:val="32"/>
          <w:lang w:val="en-US" w:eastAsia="zh-CN"/>
        </w:rPr>
        <w:t>2</w:t>
      </w:r>
      <w:r>
        <w:rPr>
          <w:rStyle w:val="22"/>
          <w:rFonts w:ascii="仿宋" w:hAnsi="仿宋" w:eastAsia="仿宋"/>
          <w:bCs/>
          <w:color w:val="000000"/>
          <w:sz w:val="32"/>
          <w:szCs w:val="32"/>
        </w:rPr>
        <w:t>.</w:t>
      </w:r>
      <w:r>
        <w:rPr>
          <w:rFonts w:hint="eastAsia" w:ascii="仿宋" w:hAnsi="仿宋" w:eastAsia="仿宋"/>
          <w:b/>
          <w:bCs/>
          <w:color w:val="000000" w:themeColor="text1"/>
          <w:sz w:val="32"/>
          <w:szCs w:val="32"/>
          <w:lang w:val="en-US" w:eastAsia="zh-CN"/>
          <w14:textFill>
            <w14:solidFill>
              <w14:schemeClr w14:val="tx1"/>
            </w14:solidFill>
          </w14:textFill>
        </w:rPr>
        <w:t>农林水支出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213</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eastAsia="zh-CN"/>
        </w:rPr>
        <w:t>水利</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182.58</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spacing w:line="600" w:lineRule="exact"/>
        <w:ind w:firstLine="643" w:firstLineChars="200"/>
        <w:outlineLvl w:val="9"/>
        <w:rPr>
          <w:rStyle w:val="22"/>
          <w:rFonts w:hint="eastAsia" w:ascii="仿宋" w:hAnsi="仿宋" w:eastAsia="仿宋"/>
          <w:b w:val="0"/>
          <w:bCs/>
          <w:color w:val="000000"/>
          <w:sz w:val="32"/>
          <w:szCs w:val="32"/>
          <w:lang w:eastAsia="zh-CN"/>
        </w:rPr>
      </w:pPr>
      <w:r>
        <w:rPr>
          <w:rStyle w:val="22"/>
          <w:rFonts w:hint="eastAsia" w:ascii="仿宋" w:hAnsi="仿宋" w:eastAsia="仿宋"/>
          <w:bCs/>
          <w:color w:val="000000"/>
          <w:sz w:val="32"/>
          <w:szCs w:val="32"/>
          <w:lang w:val="en-US" w:eastAsia="zh-CN"/>
        </w:rPr>
        <w:t>3</w:t>
      </w:r>
      <w:r>
        <w:rPr>
          <w:rStyle w:val="22"/>
          <w:rFonts w:ascii="仿宋" w:hAnsi="仿宋" w:eastAsia="仿宋"/>
          <w:bCs/>
          <w:color w:val="000000"/>
          <w:sz w:val="32"/>
          <w:szCs w:val="32"/>
        </w:rPr>
        <w:t>.</w:t>
      </w:r>
      <w:r>
        <w:rPr>
          <w:rFonts w:hint="eastAsia" w:ascii="仿宋" w:hAnsi="仿宋" w:eastAsia="仿宋"/>
          <w:b/>
          <w:bCs/>
          <w:color w:val="000000" w:themeColor="text1"/>
          <w:sz w:val="32"/>
          <w:szCs w:val="32"/>
          <w:lang w:val="en-US" w:eastAsia="zh-CN"/>
          <w14:textFill>
            <w14:solidFill>
              <w14:schemeClr w14:val="tx1"/>
            </w14:solidFill>
          </w14:textFill>
        </w:rPr>
        <w:t>住房保障支出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221</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31.51</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spacing w:line="600" w:lineRule="exact"/>
        <w:ind w:firstLine="643" w:firstLineChars="200"/>
        <w:outlineLvl w:val="9"/>
        <w:rPr>
          <w:rStyle w:val="22"/>
          <w:rFonts w:hint="eastAsia" w:ascii="仿宋" w:hAnsi="仿宋" w:eastAsia="仿宋"/>
          <w:b w:val="0"/>
          <w:bCs/>
          <w:color w:val="000000"/>
          <w:sz w:val="32"/>
          <w:szCs w:val="32"/>
          <w:lang w:eastAsia="zh-CN"/>
        </w:rPr>
      </w:pPr>
      <w:r>
        <w:rPr>
          <w:rStyle w:val="22"/>
          <w:rFonts w:hint="eastAsia" w:ascii="仿宋" w:hAnsi="仿宋" w:eastAsia="仿宋"/>
          <w:bCs/>
          <w:color w:val="000000"/>
          <w:sz w:val="32"/>
          <w:szCs w:val="32"/>
          <w:lang w:val="en-US" w:eastAsia="zh-CN"/>
        </w:rPr>
        <w:t>4</w:t>
      </w:r>
      <w:r>
        <w:rPr>
          <w:rStyle w:val="22"/>
          <w:rFonts w:ascii="仿宋" w:hAnsi="仿宋" w:eastAsia="仿宋"/>
          <w:bCs/>
          <w:color w:val="000000"/>
          <w:sz w:val="32"/>
          <w:szCs w:val="32"/>
        </w:rPr>
        <w:t>.</w:t>
      </w:r>
      <w:r>
        <w:rPr>
          <w:rFonts w:hint="eastAsia" w:ascii="仿宋" w:hAnsi="仿宋" w:eastAsia="仿宋"/>
          <w:b/>
          <w:bCs/>
          <w:color w:val="000000" w:themeColor="text1"/>
          <w:sz w:val="32"/>
          <w:szCs w:val="32"/>
          <w:lang w:val="en-US" w:eastAsia="zh-CN"/>
          <w14:textFill>
            <w14:solidFill>
              <w14:schemeClr w14:val="tx1"/>
            </w14:solidFill>
          </w14:textFill>
        </w:rPr>
        <w:t>卫生健康支出</w:t>
      </w:r>
      <w:r>
        <w:rPr>
          <w:rStyle w:val="22"/>
          <w:rFonts w:hint="eastAsia" w:ascii="仿宋" w:hAnsi="仿宋" w:eastAsia="仿宋"/>
          <w:bCs/>
          <w:color w:val="000000"/>
          <w:sz w:val="32"/>
          <w:szCs w:val="32"/>
        </w:rPr>
        <w:t>（</w:t>
      </w:r>
      <w:r>
        <w:rPr>
          <w:rStyle w:val="22"/>
          <w:rFonts w:hint="eastAsia" w:ascii="仿宋" w:hAnsi="仿宋" w:eastAsia="仿宋"/>
          <w:bCs/>
          <w:color w:val="000000"/>
          <w:sz w:val="32"/>
          <w:szCs w:val="32"/>
          <w:lang w:val="en-US" w:eastAsia="zh-CN"/>
        </w:rPr>
        <w:t>210</w:t>
      </w:r>
      <w:r>
        <w:rPr>
          <w:rStyle w:val="22"/>
          <w:rFonts w:hint="eastAsia" w:ascii="仿宋" w:hAnsi="仿宋" w:eastAsia="仿宋"/>
          <w:bCs/>
          <w:color w:val="000000"/>
          <w:sz w:val="32"/>
          <w:szCs w:val="32"/>
        </w:rPr>
        <w:t>）</w:t>
      </w:r>
      <w:r>
        <w:rPr>
          <w:rStyle w:val="22"/>
          <w:rFonts w:ascii="仿宋" w:hAnsi="仿宋" w:eastAsia="仿宋"/>
          <w:bCs/>
          <w:color w:val="000000"/>
          <w:sz w:val="32"/>
          <w:szCs w:val="32"/>
        </w:rPr>
        <w:t>:</w:t>
      </w:r>
      <w:r>
        <w:rPr>
          <w:rStyle w:val="22"/>
          <w:rFonts w:ascii="仿宋" w:hAnsi="仿宋" w:eastAsia="仿宋"/>
          <w:b w:val="0"/>
          <w:bCs/>
          <w:color w:val="000000"/>
          <w:sz w:val="32"/>
          <w:szCs w:val="32"/>
        </w:rPr>
        <w:t xml:space="preserve"> </w:t>
      </w:r>
      <w:r>
        <w:rPr>
          <w:rStyle w:val="22"/>
          <w:rFonts w:hint="eastAsia" w:ascii="仿宋" w:hAnsi="仿宋" w:eastAsia="仿宋"/>
          <w:b w:val="0"/>
          <w:bCs/>
          <w:color w:val="000000"/>
          <w:sz w:val="32"/>
          <w:szCs w:val="32"/>
        </w:rPr>
        <w:t>支出决算为</w:t>
      </w:r>
      <w:r>
        <w:rPr>
          <w:rStyle w:val="22"/>
          <w:rFonts w:hint="eastAsia" w:ascii="仿宋" w:hAnsi="仿宋" w:eastAsia="仿宋"/>
          <w:b w:val="0"/>
          <w:bCs/>
          <w:color w:val="000000"/>
          <w:sz w:val="32"/>
          <w:szCs w:val="32"/>
          <w:lang w:val="en-US" w:eastAsia="zh-CN"/>
        </w:rPr>
        <w:t>23.56</w:t>
      </w:r>
      <w:r>
        <w:rPr>
          <w:rStyle w:val="22"/>
          <w:rFonts w:hint="eastAsia" w:ascii="仿宋" w:hAnsi="仿宋" w:eastAsia="仿宋"/>
          <w:b w:val="0"/>
          <w:bCs/>
          <w:color w:val="000000"/>
          <w:sz w:val="32"/>
          <w:szCs w:val="32"/>
        </w:rPr>
        <w:t>万元，完成预算</w:t>
      </w:r>
      <w:r>
        <w:rPr>
          <w:rStyle w:val="22"/>
          <w:rFonts w:hint="eastAsia" w:ascii="仿宋" w:hAnsi="仿宋" w:eastAsia="仿宋"/>
          <w:b w:val="0"/>
          <w:bCs/>
          <w:color w:val="000000"/>
          <w:sz w:val="32"/>
          <w:szCs w:val="32"/>
          <w:lang w:val="en-US" w:eastAsia="zh-CN"/>
        </w:rPr>
        <w:t>100</w:t>
      </w:r>
      <w:r>
        <w:rPr>
          <w:rStyle w:val="22"/>
          <w:rFonts w:ascii="仿宋" w:hAnsi="仿宋" w:eastAsia="仿宋"/>
          <w:b w:val="0"/>
          <w:bCs/>
          <w:color w:val="000000"/>
          <w:sz w:val="32"/>
          <w:szCs w:val="32"/>
        </w:rPr>
        <w:t>%</w:t>
      </w:r>
      <w:r>
        <w:rPr>
          <w:rStyle w:val="22"/>
          <w:rFonts w:hint="eastAsia" w:ascii="仿宋" w:hAnsi="仿宋" w:eastAsia="仿宋"/>
          <w:b w:val="0"/>
          <w:bCs/>
          <w:color w:val="000000"/>
          <w:sz w:val="32"/>
          <w:szCs w:val="32"/>
          <w:lang w:eastAsia="zh-CN"/>
        </w:rPr>
        <w:t>。</w:t>
      </w:r>
    </w:p>
    <w:p>
      <w:pPr>
        <w:pStyle w:val="2"/>
      </w:pP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5"/>
        </w:rPr>
      </w:pPr>
      <w:bookmarkStart w:id="77" w:name="_Toc15396608"/>
      <w:bookmarkStart w:id="78" w:name="_Toc15377214"/>
      <w:bookmarkStart w:id="79" w:name="_Toc79163618"/>
      <w:bookmarkStart w:id="80" w:name="_Toc79163868"/>
      <w:bookmarkStart w:id="81" w:name="_Toc27343"/>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77"/>
      <w:bookmarkEnd w:id="78"/>
      <w:bookmarkEnd w:id="79"/>
      <w:bookmarkEnd w:id="80"/>
      <w:bookmarkEnd w:id="81"/>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275.37</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275.37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ascii="仿宋" w:hAnsi="仿宋" w:eastAsia="仿宋"/>
          <w:b/>
          <w:color w:val="FF0000"/>
          <w:sz w:val="32"/>
          <w:szCs w:val="32"/>
        </w:rPr>
      </w:pPr>
    </w:p>
    <w:p>
      <w:pPr>
        <w:spacing w:line="600" w:lineRule="exact"/>
        <w:ind w:firstLine="640"/>
        <w:outlineLvl w:val="1"/>
        <w:rPr>
          <w:rStyle w:val="25"/>
          <w:rFonts w:ascii="黑体" w:hAnsi="黑体" w:eastAsia="黑体"/>
          <w:b w:val="0"/>
        </w:rPr>
      </w:pPr>
      <w:bookmarkStart w:id="82" w:name="_Toc15396609"/>
      <w:bookmarkStart w:id="83" w:name="_Toc15377215"/>
      <w:bookmarkStart w:id="84" w:name="_Toc79163619"/>
      <w:bookmarkStart w:id="85" w:name="_Toc79163869"/>
      <w:bookmarkStart w:id="86" w:name="_Toc206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82"/>
      <w:bookmarkEnd w:id="83"/>
      <w:bookmarkEnd w:id="84"/>
      <w:bookmarkEnd w:id="85"/>
      <w:bookmarkEnd w:id="86"/>
    </w:p>
    <w:p>
      <w:pPr>
        <w:spacing w:line="600" w:lineRule="exact"/>
        <w:ind w:firstLine="640"/>
        <w:outlineLvl w:val="2"/>
        <w:rPr>
          <w:rFonts w:ascii="仿宋" w:hAnsi="仿宋" w:eastAsia="仿宋"/>
          <w:b/>
          <w:color w:val="000000"/>
          <w:sz w:val="32"/>
          <w:szCs w:val="32"/>
        </w:rPr>
      </w:pPr>
      <w:bookmarkStart w:id="87" w:name="_Toc79163870"/>
      <w:bookmarkStart w:id="88" w:name="_Toc79163620"/>
      <w:bookmarkStart w:id="89" w:name="_Toc15377216"/>
      <w:r>
        <w:rPr>
          <w:rFonts w:hint="eastAsia" w:ascii="仿宋" w:hAnsi="仿宋" w:eastAsia="仿宋"/>
          <w:b/>
          <w:color w:val="000000"/>
          <w:sz w:val="32"/>
          <w:szCs w:val="32"/>
        </w:rPr>
        <w:t>（一）“三公”经费财政拨款支出决算总体情况说明</w:t>
      </w:r>
      <w:bookmarkEnd w:id="87"/>
      <w:bookmarkEnd w:id="88"/>
      <w:bookmarkEnd w:id="89"/>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90" w:name="_Toc79163621"/>
      <w:bookmarkStart w:id="91" w:name="_Toc15377217"/>
      <w:bookmarkStart w:id="92" w:name="_Toc79163871"/>
      <w:r>
        <w:rPr>
          <w:rFonts w:hint="eastAsia" w:ascii="仿宋" w:hAnsi="仿宋" w:eastAsia="仿宋"/>
          <w:b/>
          <w:color w:val="000000"/>
          <w:sz w:val="32"/>
          <w:szCs w:val="32"/>
        </w:rPr>
        <w:t>（二）“三公”经费财政拨款支出决算具体情况说明</w:t>
      </w:r>
      <w:bookmarkEnd w:id="90"/>
      <w:bookmarkEnd w:id="91"/>
      <w:bookmarkEnd w:id="9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5"/>
          <w:rFonts w:ascii="黑体" w:hAnsi="黑体" w:eastAsia="黑体"/>
        </w:rPr>
      </w:pPr>
      <w:bookmarkStart w:id="93" w:name="_Toc15396610"/>
      <w:bookmarkStart w:id="94" w:name="_Toc15377218"/>
      <w:bookmarkStart w:id="95" w:name="_Toc79163622"/>
      <w:bookmarkStart w:id="96" w:name="_Toc79163872"/>
      <w:bookmarkStart w:id="97" w:name="_Toc5622"/>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93"/>
      <w:bookmarkEnd w:id="94"/>
      <w:bookmarkEnd w:id="95"/>
      <w:bookmarkEnd w:id="96"/>
      <w:bookmarkEnd w:id="9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5"/>
          <w:rFonts w:ascii="黑体" w:hAnsi="黑体" w:eastAsia="黑体"/>
          <w:b w:val="0"/>
        </w:rPr>
      </w:pPr>
      <w:bookmarkStart w:id="98" w:name="_Toc15377219"/>
      <w:bookmarkStart w:id="99" w:name="_Toc15396611"/>
      <w:bookmarkStart w:id="100" w:name="_Toc79163623"/>
      <w:bookmarkStart w:id="101" w:name="_Toc79163873"/>
      <w:bookmarkStart w:id="102" w:name="_Toc24210"/>
      <w:r>
        <w:rPr>
          <w:rStyle w:val="25"/>
          <w:rFonts w:hint="eastAsia" w:ascii="黑体" w:hAnsi="黑体" w:eastAsia="黑体"/>
          <w:b w:val="0"/>
        </w:rPr>
        <w:t>国有资本经营预算支出决算情况说明</w:t>
      </w:r>
      <w:bookmarkEnd w:id="98"/>
      <w:bookmarkEnd w:id="99"/>
      <w:bookmarkEnd w:id="100"/>
      <w:bookmarkEnd w:id="101"/>
      <w:bookmarkEnd w:id="10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103" w:name="_Toc15396612"/>
      <w:bookmarkStart w:id="104" w:name="_Toc15377221"/>
      <w:bookmarkStart w:id="105" w:name="_Toc79163624"/>
      <w:bookmarkStart w:id="106" w:name="_Toc79163874"/>
      <w:bookmarkStart w:id="107" w:name="_Toc1010"/>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103"/>
      <w:bookmarkEnd w:id="104"/>
      <w:bookmarkEnd w:id="105"/>
      <w:bookmarkEnd w:id="106"/>
      <w:bookmarkEnd w:id="107"/>
    </w:p>
    <w:p>
      <w:pPr>
        <w:spacing w:line="600" w:lineRule="exact"/>
        <w:ind w:firstLine="643" w:firstLineChars="200"/>
        <w:outlineLvl w:val="2"/>
        <w:rPr>
          <w:rFonts w:ascii="仿宋" w:hAnsi="仿宋" w:eastAsia="仿宋"/>
          <w:color w:val="000000"/>
          <w:sz w:val="32"/>
          <w:szCs w:val="32"/>
        </w:rPr>
      </w:pPr>
      <w:bookmarkStart w:id="108" w:name="_Toc15377222"/>
      <w:bookmarkStart w:id="109" w:name="_Toc79163625"/>
      <w:bookmarkStart w:id="110" w:name="_Toc79163875"/>
      <w:r>
        <w:rPr>
          <w:rFonts w:hint="eastAsia" w:ascii="仿宋" w:hAnsi="仿宋" w:eastAsia="仿宋"/>
          <w:b/>
          <w:color w:val="000000"/>
          <w:sz w:val="32"/>
          <w:szCs w:val="32"/>
        </w:rPr>
        <w:t>（一）机关运行经费支出情况</w:t>
      </w:r>
      <w:bookmarkEnd w:id="108"/>
      <w:bookmarkEnd w:id="109"/>
      <w:bookmarkEnd w:id="110"/>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水务局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ascii="仿宋_GB2312" w:eastAsia="仿宋_GB2312"/>
          <w:color w:val="000000"/>
          <w:sz w:val="32"/>
          <w:szCs w:val="32"/>
        </w:rPr>
        <w:t>2019</w:t>
      </w:r>
      <w:r>
        <w:rPr>
          <w:rFonts w:hint="eastAsia" w:ascii="仿宋_GB2312" w:eastAsia="仿宋_GB2312"/>
          <w:color w:val="000000"/>
          <w:sz w:val="32"/>
          <w:szCs w:val="32"/>
        </w:rPr>
        <w:t>年决算数持平</w:t>
      </w:r>
      <w:r>
        <w:rPr>
          <w:rFonts w:hint="eastAsia" w:ascii="仿宋_GB2312" w:eastAsia="仿宋_GB2312"/>
          <w:color w:val="000000"/>
          <w:sz w:val="32"/>
          <w:szCs w:val="32"/>
          <w:lang w:val="en-US"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1" w:name="_Toc15377223"/>
      <w:bookmarkStart w:id="112" w:name="_Toc79163626"/>
      <w:bookmarkStart w:id="113" w:name="_Toc79163876"/>
      <w:r>
        <w:rPr>
          <w:rFonts w:hint="eastAsia" w:ascii="仿宋" w:hAnsi="仿宋" w:eastAsia="仿宋"/>
          <w:b/>
          <w:color w:val="000000"/>
          <w:sz w:val="32"/>
          <w:szCs w:val="32"/>
        </w:rPr>
        <w:t>（二）政府采购支出情况</w:t>
      </w:r>
      <w:bookmarkEnd w:id="111"/>
      <w:bookmarkEnd w:id="112"/>
      <w:bookmarkEnd w:id="11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水务局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4" w:name="_Toc15377224"/>
      <w:bookmarkStart w:id="115" w:name="_Toc79163627"/>
      <w:bookmarkStart w:id="116" w:name="_Toc79163877"/>
      <w:r>
        <w:rPr>
          <w:rFonts w:hint="eastAsia" w:ascii="仿宋" w:hAnsi="仿宋" w:eastAsia="仿宋"/>
          <w:b/>
          <w:color w:val="000000"/>
          <w:sz w:val="32"/>
          <w:szCs w:val="32"/>
        </w:rPr>
        <w:t>（三）国有资产占有使用情况</w:t>
      </w:r>
      <w:bookmarkEnd w:id="114"/>
      <w:bookmarkEnd w:id="115"/>
      <w:bookmarkEnd w:id="116"/>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水务局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辆……其他用车主要是用于</w:t>
      </w:r>
      <w:r>
        <w:rPr>
          <w:rFonts w:hint="eastAsia" w:ascii="仿宋_GB2312" w:eastAsia="仿宋_GB2312"/>
          <w:color w:val="000000"/>
          <w:sz w:val="32"/>
          <w:szCs w:val="32"/>
          <w:lang w:eastAsia="zh-CN"/>
        </w:rPr>
        <w:t>公务用车，</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17" w:name="_Toc79163628"/>
      <w:bookmarkStart w:id="118" w:name="_Toc79163878"/>
      <w:r>
        <w:rPr>
          <w:rFonts w:hint="eastAsia" w:ascii="仿宋" w:hAnsi="仿宋" w:eastAsia="仿宋"/>
          <w:b/>
          <w:color w:val="000000"/>
          <w:sz w:val="32"/>
          <w:szCs w:val="32"/>
        </w:rPr>
        <w:t>（四）预算绩效管理情况。</w:t>
      </w:r>
      <w:bookmarkEnd w:id="117"/>
      <w:bookmarkEnd w:id="118"/>
    </w:p>
    <w:p>
      <w:pPr>
        <w:spacing w:line="580" w:lineRule="exact"/>
        <w:ind w:firstLine="640" w:firstLineChars="200"/>
        <w:outlineLvl w:val="9"/>
        <w:rPr>
          <w:rFonts w:hint="eastAsia" w:ascii="仿宋" w:hAnsi="仿宋" w:eastAsia="仿宋" w:cs="仿宋"/>
          <w:color w:val="000000"/>
          <w:kern w:val="2"/>
          <w:sz w:val="32"/>
          <w:szCs w:val="32"/>
          <w:lang w:val="en-US" w:eastAsia="zh-CN" w:bidi="ar-SA"/>
        </w:rPr>
      </w:pPr>
      <w:r>
        <w:rPr>
          <w:rFonts w:hint="eastAsia" w:ascii="仿宋_GB2312" w:hAnsi="仿宋_GB2312" w:eastAsia="仿宋_GB2312" w:cs="仿宋_GB2312"/>
          <w:sz w:val="32"/>
          <w:szCs w:val="32"/>
        </w:rPr>
        <w:t>根据预算绩效管理要求，本部门（单位）在年初预算编制阶段，本部门按要求对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年部门整体支出开展绩效自评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从评价情况来看</w:t>
      </w:r>
      <w:r>
        <w:rPr>
          <w:rFonts w:hint="eastAsia" w:ascii="仿宋" w:hAnsi="仿宋" w:eastAsia="仿宋" w:cs="仿宋"/>
          <w:color w:val="000000"/>
          <w:sz w:val="32"/>
          <w:szCs w:val="32"/>
          <w:lang w:val="en-US" w:eastAsia="zh-CN"/>
        </w:rPr>
        <w:t>2020</w:t>
      </w:r>
      <w:r>
        <w:rPr>
          <w:rFonts w:hint="eastAsia" w:ascii="仿宋" w:hAnsi="仿宋" w:eastAsia="仿宋" w:cs="仿宋"/>
          <w:color w:val="000000"/>
          <w:sz w:val="32"/>
          <w:szCs w:val="32"/>
          <w:lang w:val="zh-CN" w:eastAsia="zh-CN"/>
        </w:rPr>
        <w:t>年我局所有预算内资金都严格纳入财政大平台系统管理，日常支出都严格履行了我局的报账程序，</w:t>
      </w:r>
      <w:r>
        <w:rPr>
          <w:rFonts w:hint="eastAsia" w:ascii="仿宋_GB2312" w:hAnsi="仿宋_GB2312" w:eastAsia="仿宋_GB2312" w:cs="仿宋_GB2312"/>
          <w:sz w:val="32"/>
          <w:szCs w:val="32"/>
        </w:rPr>
        <w:t>从评价情况来看</w:t>
      </w:r>
      <w:r>
        <w:rPr>
          <w:rFonts w:hint="eastAsia" w:ascii="仿宋" w:hAnsi="仿宋" w:eastAsia="仿宋" w:cs="仿宋"/>
          <w:color w:val="000000"/>
          <w:kern w:val="2"/>
          <w:sz w:val="32"/>
          <w:szCs w:val="32"/>
          <w:lang w:val="en-US" w:eastAsia="zh-CN" w:bidi="ar-SA"/>
        </w:rPr>
        <w:t>对各项资金的管理、经费收支审批等均做了明确规定，正确组织资金的筹集、调度和使用，债权债务及时结算、结清。各项目经费支出严格按照合同及单位“三重一大”制度执行。</w:t>
      </w:r>
    </w:p>
    <w:p>
      <w:pPr>
        <w:spacing w:line="580" w:lineRule="exact"/>
        <w:ind w:firstLine="640" w:firstLineChars="200"/>
        <w:outlineLvl w:val="9"/>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从评价情况来看</w:t>
      </w:r>
      <w:r>
        <w:rPr>
          <w:rFonts w:hint="eastAsia" w:ascii="仿宋" w:hAnsi="仿宋" w:eastAsia="仿宋" w:cs="仿宋"/>
          <w:color w:val="000000"/>
          <w:sz w:val="32"/>
          <w:szCs w:val="32"/>
          <w:lang w:val="en-US" w:eastAsia="zh-CN"/>
        </w:rPr>
        <w:t>2020</w:t>
      </w:r>
      <w:r>
        <w:rPr>
          <w:rFonts w:hint="eastAsia" w:ascii="仿宋" w:hAnsi="仿宋" w:eastAsia="仿宋" w:cs="仿宋"/>
          <w:color w:val="000000"/>
          <w:sz w:val="32"/>
          <w:szCs w:val="32"/>
          <w:lang w:val="zh-CN" w:eastAsia="zh-CN"/>
        </w:rPr>
        <w:t>年我局所有预算内资金都严格纳入财政大平台系统管理，日常支出都严格履行了我局的报账程序，</w:t>
      </w:r>
      <w:r>
        <w:rPr>
          <w:rFonts w:hint="eastAsia" w:ascii="仿宋_GB2312" w:hAnsi="仿宋_GB2312" w:eastAsia="仿宋_GB2312" w:cs="仿宋_GB2312"/>
          <w:sz w:val="32"/>
          <w:szCs w:val="32"/>
        </w:rPr>
        <w:t>从评价情况来看</w:t>
      </w:r>
      <w:r>
        <w:rPr>
          <w:rFonts w:hint="eastAsia" w:ascii="仿宋" w:hAnsi="仿宋" w:eastAsia="仿宋" w:cs="仿宋"/>
          <w:color w:val="000000"/>
          <w:kern w:val="2"/>
          <w:sz w:val="32"/>
          <w:szCs w:val="32"/>
          <w:lang w:val="en-US" w:eastAsia="zh-CN" w:bidi="ar-SA"/>
        </w:rPr>
        <w:t>对各项资金的管理、经费收支审批等均做了明确规定，正确组织资金的筹集、调度和使用，债权债务及时结算、结清。各项目经费支出严格按照合同及单位“三重一大”制度执行，整体运行良好。</w:t>
      </w:r>
    </w:p>
    <w:p>
      <w:pPr>
        <w:spacing w:line="580" w:lineRule="exact"/>
        <w:ind w:firstLine="640" w:firstLineChars="200"/>
        <w:outlineLvl w:val="9"/>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九寨沟县水务局</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年部门整体支出绩效评价报告》见附件（附件1）。</w:t>
      </w: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numPr>
          <w:ilvl w:val="0"/>
          <w:numId w:val="3"/>
        </w:numPr>
        <w:spacing w:line="600" w:lineRule="exact"/>
        <w:ind w:firstLine="660" w:firstLineChars="150"/>
        <w:jc w:val="center"/>
        <w:outlineLvl w:val="0"/>
        <w:rPr>
          <w:rStyle w:val="24"/>
          <w:rFonts w:ascii="黑体" w:hAnsi="黑体" w:eastAsia="黑体"/>
          <w:b w:val="0"/>
        </w:rPr>
      </w:pPr>
      <w:bookmarkStart w:id="119" w:name="_Toc79163879"/>
      <w:bookmarkStart w:id="120" w:name="_Toc79163629"/>
      <w:bookmarkStart w:id="121" w:name="_Toc15377225"/>
      <w:bookmarkStart w:id="122" w:name="_Toc15396613"/>
      <w:bookmarkStart w:id="123" w:name="_Toc30826"/>
      <w:r>
        <w:rPr>
          <w:rFonts w:hint="eastAsia" w:ascii="黑体" w:hAnsi="黑体" w:eastAsia="黑体"/>
          <w:color w:val="000000"/>
          <w:sz w:val="44"/>
          <w:szCs w:val="44"/>
        </w:rPr>
        <w:t>名</w:t>
      </w:r>
      <w:r>
        <w:rPr>
          <w:rStyle w:val="24"/>
          <w:rFonts w:hint="eastAsia" w:ascii="黑体" w:hAnsi="黑体" w:eastAsia="黑体"/>
          <w:b w:val="0"/>
        </w:rPr>
        <w:t>词解释</w:t>
      </w:r>
      <w:bookmarkEnd w:id="119"/>
      <w:bookmarkEnd w:id="120"/>
      <w:bookmarkEnd w:id="121"/>
      <w:bookmarkEnd w:id="122"/>
      <w:bookmarkEnd w:id="123"/>
    </w:p>
    <w:p>
      <w:pPr>
        <w:spacing w:line="600" w:lineRule="exact"/>
        <w:jc w:val="left"/>
        <w:rPr>
          <w:rFonts w:ascii="宋体"/>
          <w:b/>
          <w:color w:val="000000"/>
          <w:sz w:val="44"/>
          <w:szCs w:val="44"/>
        </w:rPr>
      </w:pPr>
    </w:p>
    <w:p>
      <w:pPr>
        <w:pStyle w:val="3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8.社会保障和就业（208）：指部门实施养老保险制度由单位缴纳的养老保险费的支出。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9.农林水支出（213）：指反映除上述项目以外其他用于水利方面的支出。</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10.住房保障（221）：反映行政事业单位按人力资源和社会保障部、财政部规定的基本工资和津贴补贴以及规定比例为职工缴纳的住房公积金。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bookmarkStart w:id="124" w:name="_Toc15377226"/>
      <w:r>
        <w:rPr>
          <w:rFonts w:ascii="宋体"/>
          <w:b/>
          <w:color w:val="000000"/>
          <w:sz w:val="44"/>
          <w:szCs w:val="44"/>
        </w:rPr>
        <w:br w:type="page"/>
      </w:r>
      <w:bookmarkStart w:id="125" w:name="_Toc15396614"/>
      <w:bookmarkStart w:id="126" w:name="_Toc79163630"/>
      <w:bookmarkStart w:id="127" w:name="_Toc79163880"/>
      <w:bookmarkStart w:id="128" w:name="_Toc1706"/>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25"/>
      <w:bookmarkEnd w:id="126"/>
      <w:bookmarkEnd w:id="127"/>
      <w:bookmarkEnd w:id="128"/>
    </w:p>
    <w:p>
      <w:pPr>
        <w:spacing w:line="600" w:lineRule="exact"/>
        <w:jc w:val="left"/>
        <w:outlineLvl w:val="0"/>
        <w:rPr>
          <w:rFonts w:ascii="方正小标宋简体" w:hAnsi="方正小标宋简体" w:eastAsia="方正小标宋简体" w:cs="方正小标宋简体"/>
          <w:sz w:val="32"/>
          <w:szCs w:val="32"/>
        </w:rPr>
      </w:pPr>
      <w:bookmarkStart w:id="129" w:name="_Toc79163631"/>
      <w:bookmarkStart w:id="130" w:name="_Toc79163881"/>
      <w:bookmarkStart w:id="131" w:name="_Toc3232"/>
      <w:r>
        <w:rPr>
          <w:rFonts w:hint="eastAsia" w:ascii="黑体" w:hAnsi="黑体" w:eastAsia="黑体" w:cs="黑体"/>
          <w:sz w:val="32"/>
          <w:szCs w:val="32"/>
        </w:rPr>
        <w:t>附件</w:t>
      </w:r>
      <w:r>
        <w:rPr>
          <w:rFonts w:ascii="黑体" w:hAnsi="黑体" w:eastAsia="黑体" w:cs="黑体"/>
          <w:sz w:val="32"/>
          <w:szCs w:val="32"/>
        </w:rPr>
        <w:t>1</w:t>
      </w:r>
      <w:bookmarkEnd w:id="129"/>
      <w:bookmarkEnd w:id="130"/>
      <w:bookmarkEnd w:id="131"/>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32" w:name="_Toc79163632"/>
      <w:bookmarkStart w:id="133" w:name="_Toc79163882"/>
      <w:bookmarkStart w:id="134" w:name="_Toc19855"/>
      <w:r>
        <w:rPr>
          <w:rFonts w:hint="eastAsia" w:ascii="方正小标宋简体" w:hAnsi="黑体" w:eastAsia="方正小标宋简体" w:cs="黑体"/>
          <w:sz w:val="44"/>
          <w:szCs w:val="44"/>
          <w:lang w:eastAsia="zh-CN"/>
        </w:rPr>
        <w:t>水务局</w:t>
      </w:r>
      <w:r>
        <w:rPr>
          <w:rFonts w:hint="eastAsia" w:ascii="方正小标宋简体" w:hAnsi="黑体" w:eastAsia="方正小标宋简体" w:cs="黑体"/>
          <w:sz w:val="44"/>
          <w:szCs w:val="44"/>
        </w:rPr>
        <w:t>部门</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32"/>
      <w:bookmarkEnd w:id="133"/>
      <w:bookmarkEnd w:id="134"/>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pStyle w:val="8"/>
        <w:keepNext w:val="0"/>
        <w:keepLines w:val="0"/>
        <w:pageBreakBefore w:val="0"/>
        <w:kinsoku/>
        <w:wordWrap/>
        <w:overflowPunct/>
        <w:topLinePunct w:val="0"/>
        <w:autoSpaceDE/>
        <w:autoSpaceDN/>
        <w:bidi w:val="0"/>
        <w:spacing w:line="500" w:lineRule="exact"/>
        <w:ind w:firstLine="640" w:firstLineChars="200"/>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Style w:val="8"/>
        <w:keepNext w:val="0"/>
        <w:keepLines w:val="0"/>
        <w:pageBreakBefore w:val="0"/>
        <w:kinsoku/>
        <w:wordWrap/>
        <w:overflowPunct/>
        <w:topLinePunct w:val="0"/>
        <w:autoSpaceDE/>
        <w:autoSpaceDN/>
        <w:bidi w:val="0"/>
        <w:spacing w:line="500" w:lineRule="exact"/>
        <w:ind w:firstLine="640" w:firstLineChars="200"/>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b w:val="0"/>
          <w:bCs w:val="0"/>
          <w:color w:val="auto"/>
          <w:kern w:val="2"/>
          <w:sz w:val="32"/>
          <w:szCs w:val="32"/>
          <w:lang w:val="en-US" w:eastAsia="zh-CN" w:bidi="ar-SA"/>
        </w:rPr>
        <w:t>九寨沟县水务局（简称县水务局）是九寨沟县人民政府工作部门，为正科级。内设行政股室2个：综合股、规划建设股。事业场站6个。</w:t>
      </w:r>
    </w:p>
    <w:p>
      <w:pPr>
        <w:keepNext w:val="0"/>
        <w:keepLines w:val="0"/>
        <w:pageBreakBefore w:val="0"/>
        <w:widowControl w:val="0"/>
        <w:numPr>
          <w:ilvl w:val="0"/>
          <w:numId w:val="4"/>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sz w:val="32"/>
          <w:szCs w:val="32"/>
        </w:rPr>
        <w:t>贯彻执行党和国家有关水利工作方针政策和法律法规，拟订全县水利战略规划和政策，起草有关地方性法规和规章草案，组织编制、审查、申报水利综合规划、专业规划、专项规划。负责保障水资源的合理开发利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2、</w:t>
      </w:r>
      <w:r>
        <w:rPr>
          <w:rFonts w:hint="eastAsia" w:ascii="仿宋" w:hAnsi="仿宋" w:eastAsia="仿宋" w:cs="仿宋"/>
          <w:b w:val="0"/>
          <w:bCs w:val="0"/>
          <w:color w:val="auto"/>
          <w:sz w:val="32"/>
          <w:szCs w:val="32"/>
          <w:highlight w:val="none"/>
          <w:lang w:eastAsia="zh-CN"/>
        </w:rPr>
        <w:t>负责</w:t>
      </w:r>
      <w:r>
        <w:rPr>
          <w:rFonts w:hint="eastAsia" w:ascii="仿宋" w:hAnsi="仿宋" w:eastAsia="仿宋" w:cs="仿宋"/>
          <w:b w:val="0"/>
          <w:bCs w:val="0"/>
          <w:color w:val="auto"/>
          <w:sz w:val="32"/>
          <w:szCs w:val="32"/>
          <w:highlight w:val="none"/>
        </w:rPr>
        <w:t>生活、生产经营和生态环境用水的统筹和保障。实施最严格水资源管理制度</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highlight w:val="none"/>
        </w:rPr>
        <w:t>实施水资源的统一监督管理</w:t>
      </w:r>
      <w:r>
        <w:rPr>
          <w:rFonts w:hint="eastAsia" w:ascii="仿宋" w:hAnsi="仿宋" w:eastAsia="仿宋" w:cs="仿宋"/>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3、</w:t>
      </w:r>
      <w:r>
        <w:rPr>
          <w:rFonts w:hint="eastAsia" w:ascii="仿宋" w:hAnsi="仿宋" w:eastAsia="仿宋" w:cs="仿宋"/>
          <w:b w:val="0"/>
          <w:bCs w:val="0"/>
          <w:color w:val="auto"/>
          <w:sz w:val="32"/>
          <w:szCs w:val="32"/>
          <w:highlight w:val="none"/>
        </w:rPr>
        <w:t>按规定制定水利工程建设有关制度并组织实施，负责提出水利固定资产投资规模、方向、具体安排建议并组织实施，提出水利资金安排建议并负责项目实施的监督管理，按权限指导和组织编制、审核、申报水利基本建设项目建议书、可行性研究报告和初步设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yellow"/>
          <w:lang w:eastAsia="zh-CN"/>
        </w:rPr>
      </w:pPr>
      <w:r>
        <w:rPr>
          <w:rFonts w:hint="eastAsia" w:ascii="仿宋" w:hAnsi="仿宋" w:eastAsia="仿宋" w:cs="仿宋"/>
          <w:b w:val="0"/>
          <w:bCs w:val="0"/>
          <w:color w:val="auto"/>
          <w:sz w:val="32"/>
          <w:szCs w:val="32"/>
          <w:highlight w:val="none"/>
          <w:lang w:val="en-US" w:eastAsia="zh-CN"/>
        </w:rPr>
        <w:t>4、</w:t>
      </w:r>
      <w:r>
        <w:rPr>
          <w:rFonts w:hint="eastAsia" w:ascii="仿宋" w:hAnsi="仿宋" w:eastAsia="仿宋" w:cs="仿宋"/>
          <w:b w:val="0"/>
          <w:bCs w:val="0"/>
          <w:color w:val="auto"/>
          <w:sz w:val="32"/>
          <w:szCs w:val="32"/>
          <w:highlight w:val="none"/>
        </w:rPr>
        <w:t>负责水资源</w:t>
      </w:r>
      <w:r>
        <w:rPr>
          <w:rFonts w:hint="eastAsia" w:ascii="仿宋" w:hAnsi="仿宋" w:eastAsia="仿宋" w:cs="仿宋"/>
          <w:b w:val="0"/>
          <w:bCs w:val="0"/>
          <w:color w:val="auto"/>
          <w:sz w:val="32"/>
          <w:szCs w:val="32"/>
          <w:highlight w:val="none"/>
          <w:lang w:eastAsia="zh-CN"/>
        </w:rPr>
        <w:t>管理和</w:t>
      </w:r>
      <w:r>
        <w:rPr>
          <w:rFonts w:hint="eastAsia" w:ascii="仿宋" w:hAnsi="仿宋" w:eastAsia="仿宋" w:cs="仿宋"/>
          <w:b w:val="0"/>
          <w:bCs w:val="0"/>
          <w:color w:val="auto"/>
          <w:sz w:val="32"/>
          <w:szCs w:val="32"/>
          <w:highlight w:val="none"/>
        </w:rPr>
        <w:t>保护工作。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5、</w:t>
      </w:r>
      <w:r>
        <w:rPr>
          <w:rFonts w:hint="eastAsia" w:ascii="仿宋" w:hAnsi="仿宋" w:eastAsia="仿宋" w:cs="仿宋"/>
          <w:b w:val="0"/>
          <w:bCs w:val="0"/>
          <w:color w:val="auto"/>
          <w:sz w:val="32"/>
          <w:szCs w:val="32"/>
          <w:highlight w:val="none"/>
        </w:rPr>
        <w:t>负责节约用水工作。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6、</w:t>
      </w:r>
      <w:r>
        <w:rPr>
          <w:rFonts w:hint="eastAsia" w:ascii="仿宋" w:hAnsi="仿宋" w:eastAsia="仿宋" w:cs="仿宋"/>
          <w:b w:val="0"/>
          <w:bCs w:val="0"/>
          <w:color w:val="auto"/>
          <w:sz w:val="32"/>
          <w:szCs w:val="32"/>
          <w:highlight w:val="none"/>
          <w:lang w:eastAsia="zh-CN"/>
        </w:rPr>
        <w:t>负责洪水干旱灾害防治。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7、</w:t>
      </w:r>
      <w:r>
        <w:rPr>
          <w:rFonts w:hint="eastAsia" w:ascii="仿宋" w:hAnsi="仿宋" w:eastAsia="仿宋" w:cs="仿宋"/>
          <w:b w:val="0"/>
          <w:bCs w:val="0"/>
          <w:color w:val="auto"/>
          <w:sz w:val="32"/>
          <w:szCs w:val="32"/>
          <w:highlight w:val="none"/>
        </w:rPr>
        <w:t>指导水利设施、水域及其岸线的管理、保护与综合利用。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yellow"/>
          <w:lang w:eastAsia="zh-CN"/>
        </w:rPr>
      </w:pPr>
      <w:r>
        <w:rPr>
          <w:rFonts w:hint="eastAsia" w:ascii="仿宋" w:hAnsi="仿宋" w:eastAsia="仿宋" w:cs="仿宋"/>
          <w:b w:val="0"/>
          <w:bCs w:val="0"/>
          <w:color w:val="auto"/>
          <w:sz w:val="32"/>
          <w:szCs w:val="32"/>
          <w:highlight w:val="none"/>
          <w:lang w:val="en-US" w:eastAsia="zh-CN"/>
        </w:rPr>
        <w:t>8、</w:t>
      </w:r>
      <w:r>
        <w:rPr>
          <w:rFonts w:hint="eastAsia" w:ascii="仿宋" w:hAnsi="仿宋" w:eastAsia="仿宋" w:cs="仿宋"/>
          <w:b w:val="0"/>
          <w:bCs w:val="0"/>
          <w:color w:val="auto"/>
          <w:sz w:val="32"/>
          <w:szCs w:val="32"/>
          <w:highlight w:val="none"/>
        </w:rPr>
        <w:t>承担全面推行河长制湖长制工作。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9、</w:t>
      </w:r>
      <w:r>
        <w:rPr>
          <w:rFonts w:hint="eastAsia" w:ascii="仿宋" w:hAnsi="仿宋" w:eastAsia="仿宋" w:cs="仿宋"/>
          <w:b w:val="0"/>
          <w:bCs w:val="0"/>
          <w:color w:val="auto"/>
          <w:sz w:val="32"/>
          <w:szCs w:val="32"/>
          <w:highlight w:val="none"/>
        </w:rPr>
        <w:t>负责水土保持工作。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10、</w:t>
      </w:r>
      <w:r>
        <w:rPr>
          <w:rFonts w:hint="eastAsia" w:ascii="仿宋" w:hAnsi="仿宋" w:eastAsia="仿宋" w:cs="仿宋"/>
          <w:b w:val="0"/>
          <w:bCs w:val="0"/>
          <w:color w:val="auto"/>
          <w:sz w:val="32"/>
          <w:szCs w:val="32"/>
          <w:highlight w:val="none"/>
          <w:lang w:eastAsia="zh-CN"/>
        </w:rPr>
        <w:t>负责</w:t>
      </w:r>
      <w:r>
        <w:rPr>
          <w:rFonts w:hint="eastAsia" w:ascii="仿宋" w:hAnsi="仿宋" w:eastAsia="仿宋" w:cs="仿宋"/>
          <w:b w:val="0"/>
          <w:bCs w:val="0"/>
          <w:color w:val="auto"/>
          <w:sz w:val="32"/>
          <w:szCs w:val="32"/>
          <w:highlight w:val="none"/>
        </w:rPr>
        <w:t>农村水利</w:t>
      </w:r>
      <w:r>
        <w:rPr>
          <w:rFonts w:hint="eastAsia" w:ascii="仿宋" w:hAnsi="仿宋" w:eastAsia="仿宋" w:cs="仿宋"/>
          <w:b w:val="0"/>
          <w:bCs w:val="0"/>
          <w:color w:val="auto"/>
          <w:sz w:val="32"/>
          <w:szCs w:val="32"/>
          <w:highlight w:val="none"/>
          <w:lang w:eastAsia="zh-CN"/>
        </w:rPr>
        <w:t>建设</w:t>
      </w:r>
      <w:r>
        <w:rPr>
          <w:rFonts w:hint="eastAsia" w:ascii="仿宋" w:hAnsi="仿宋" w:eastAsia="仿宋" w:cs="仿宋"/>
          <w:b w:val="0"/>
          <w:bCs w:val="0"/>
          <w:color w:val="auto"/>
          <w:sz w:val="32"/>
          <w:szCs w:val="32"/>
          <w:highlight w:val="none"/>
        </w:rPr>
        <w:t>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lang w:eastAsia="zh-CN"/>
        </w:rPr>
      </w:pPr>
      <w:r>
        <w:rPr>
          <w:rFonts w:hint="eastAsia" w:ascii="仿宋" w:hAnsi="仿宋" w:eastAsia="仿宋" w:cs="仿宋"/>
          <w:b w:val="0"/>
          <w:bCs w:val="0"/>
          <w:color w:val="auto"/>
          <w:sz w:val="32"/>
          <w:szCs w:val="32"/>
          <w:highlight w:val="none"/>
          <w:lang w:val="en-US" w:eastAsia="zh-CN"/>
        </w:rPr>
        <w:t>11、</w:t>
      </w:r>
      <w:r>
        <w:rPr>
          <w:rFonts w:hint="eastAsia" w:ascii="仿宋" w:hAnsi="仿宋" w:eastAsia="仿宋" w:cs="仿宋"/>
          <w:b w:val="0"/>
          <w:bCs w:val="0"/>
          <w:color w:val="auto"/>
          <w:sz w:val="32"/>
          <w:szCs w:val="32"/>
          <w:highlight w:val="none"/>
        </w:rPr>
        <w:t>负责落实综合防灾减灾</w:t>
      </w:r>
      <w:r>
        <w:rPr>
          <w:rFonts w:hint="eastAsia" w:ascii="仿宋" w:hAnsi="仿宋" w:eastAsia="仿宋" w:cs="仿宋"/>
          <w:b w:val="0"/>
          <w:bCs w:val="0"/>
          <w:color w:val="auto"/>
          <w:sz w:val="32"/>
          <w:szCs w:val="32"/>
          <w:highlight w:val="none"/>
          <w:lang w:eastAsia="zh-CN"/>
        </w:rPr>
        <w:t>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 w:hAnsi="仿宋" w:eastAsia="仿宋" w:cs="仿宋"/>
          <w:b w:val="0"/>
          <w:bCs w:val="0"/>
          <w:color w:val="auto"/>
          <w:sz w:val="32"/>
          <w:szCs w:val="32"/>
          <w:highlight w:val="none"/>
        </w:rPr>
      </w:pPr>
      <w:r>
        <w:rPr>
          <w:rFonts w:hint="eastAsia" w:ascii="仿宋" w:hAnsi="仿宋" w:eastAsia="仿宋" w:cs="仿宋"/>
          <w:b w:val="0"/>
          <w:bCs w:val="0"/>
          <w:color w:val="auto"/>
          <w:sz w:val="32"/>
          <w:szCs w:val="32"/>
          <w:highlight w:val="none"/>
          <w:lang w:val="en-US" w:eastAsia="zh-CN"/>
        </w:rPr>
        <w:t>12、</w:t>
      </w:r>
      <w:r>
        <w:rPr>
          <w:rFonts w:hint="eastAsia" w:ascii="仿宋" w:hAnsi="仿宋" w:eastAsia="仿宋" w:cs="仿宋"/>
          <w:b w:val="0"/>
          <w:bCs w:val="0"/>
          <w:color w:val="auto"/>
          <w:sz w:val="32"/>
          <w:szCs w:val="32"/>
          <w:highlight w:val="none"/>
        </w:rPr>
        <w:t>开展水利科技和教育工作。组织开展水利行业质量监督工作。承担水利统计工作。</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b w:val="0"/>
          <w:bCs w:val="0"/>
          <w:color w:val="auto"/>
          <w:sz w:val="32"/>
          <w:szCs w:val="32"/>
          <w:lang w:val="en-US" w:eastAsia="zh-CN"/>
        </w:rPr>
        <w:t>13、</w:t>
      </w:r>
      <w:r>
        <w:rPr>
          <w:rFonts w:hint="eastAsia" w:ascii="仿宋" w:hAnsi="仿宋" w:eastAsia="仿宋" w:cs="仿宋"/>
          <w:b w:val="0"/>
          <w:bCs w:val="0"/>
          <w:color w:val="auto"/>
          <w:sz w:val="32"/>
          <w:szCs w:val="32"/>
        </w:rPr>
        <w:t>负责职责范围内的</w:t>
      </w:r>
      <w:r>
        <w:rPr>
          <w:rFonts w:hint="eastAsia" w:ascii="仿宋" w:hAnsi="仿宋" w:eastAsia="仿宋" w:cs="仿宋"/>
          <w:b w:val="0"/>
          <w:bCs w:val="0"/>
          <w:color w:val="auto"/>
          <w:sz w:val="32"/>
          <w:szCs w:val="32"/>
          <w:lang w:eastAsia="zh-CN"/>
        </w:rPr>
        <w:t>水利行业</w:t>
      </w:r>
      <w:r>
        <w:rPr>
          <w:rFonts w:hint="eastAsia" w:ascii="仿宋" w:hAnsi="仿宋" w:eastAsia="仿宋" w:cs="仿宋"/>
          <w:b w:val="0"/>
          <w:bCs w:val="0"/>
          <w:color w:val="auto"/>
          <w:sz w:val="32"/>
          <w:szCs w:val="32"/>
        </w:rPr>
        <w:t>安全生产、职业健康、生态环境保护和审批服务便民化等工作</w:t>
      </w:r>
      <w:r>
        <w:rPr>
          <w:rFonts w:hint="eastAsia" w:ascii="仿宋" w:hAnsi="仿宋" w:eastAsia="仿宋" w:cs="仿宋"/>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b w:val="0"/>
          <w:bCs w:val="0"/>
          <w:color w:val="auto"/>
          <w:sz w:val="32"/>
          <w:szCs w:val="32"/>
          <w:highlight w:val="none"/>
          <w:lang w:val="zh-CN" w:eastAsia="zh-CN"/>
        </w:rPr>
        <w:t>县水务局行政编制5名。其中，局长1名，副局长2名；股级领导职数2名。县水务局事业编制编制</w:t>
      </w:r>
      <w:r>
        <w:rPr>
          <w:rFonts w:hint="eastAsia" w:ascii="仿宋" w:hAnsi="仿宋" w:eastAsia="仿宋" w:cs="仿宋"/>
          <w:b w:val="0"/>
          <w:bCs w:val="0"/>
          <w:color w:val="auto"/>
          <w:sz w:val="32"/>
          <w:szCs w:val="32"/>
          <w:highlight w:val="none"/>
          <w:lang w:val="en-US" w:eastAsia="zh-CN"/>
        </w:rPr>
        <w:t>22</w:t>
      </w:r>
      <w:r>
        <w:rPr>
          <w:rFonts w:hint="eastAsia" w:ascii="仿宋" w:hAnsi="仿宋" w:eastAsia="仿宋" w:cs="仿宋"/>
          <w:b w:val="0"/>
          <w:bCs w:val="0"/>
          <w:color w:val="auto"/>
          <w:sz w:val="32"/>
          <w:szCs w:val="32"/>
          <w:highlight w:val="none"/>
          <w:lang w:val="zh-CN" w:eastAsia="zh-CN"/>
        </w:rPr>
        <w:t>名。其中：水政水资源站</w:t>
      </w:r>
      <w:r>
        <w:rPr>
          <w:rFonts w:hint="eastAsia" w:ascii="仿宋" w:hAnsi="仿宋" w:eastAsia="仿宋" w:cs="仿宋"/>
          <w:b w:val="0"/>
          <w:bCs w:val="0"/>
          <w:color w:val="auto"/>
          <w:sz w:val="32"/>
          <w:szCs w:val="32"/>
          <w:highlight w:val="none"/>
          <w:lang w:val="en-US" w:eastAsia="zh-CN"/>
        </w:rPr>
        <w:t>3名、</w:t>
      </w:r>
      <w:r>
        <w:rPr>
          <w:rFonts w:hint="eastAsia" w:ascii="仿宋" w:hAnsi="仿宋" w:eastAsia="仿宋" w:cs="仿宋"/>
          <w:b w:val="0"/>
          <w:bCs w:val="0"/>
          <w:color w:val="auto"/>
          <w:sz w:val="32"/>
          <w:szCs w:val="32"/>
          <w:highlight w:val="none"/>
          <w:lang w:val="zh-CN" w:eastAsia="zh-CN"/>
        </w:rPr>
        <w:t>水旱灾害防治站</w:t>
      </w:r>
      <w:r>
        <w:rPr>
          <w:rFonts w:hint="eastAsia" w:ascii="仿宋" w:hAnsi="仿宋" w:eastAsia="仿宋" w:cs="仿宋"/>
          <w:b w:val="0"/>
          <w:bCs w:val="0"/>
          <w:color w:val="auto"/>
          <w:sz w:val="32"/>
          <w:szCs w:val="32"/>
          <w:highlight w:val="none"/>
          <w:lang w:val="en-US" w:eastAsia="zh-CN"/>
        </w:rPr>
        <w:t>4名，</w:t>
      </w:r>
      <w:r>
        <w:rPr>
          <w:rFonts w:hint="eastAsia" w:ascii="仿宋" w:hAnsi="仿宋" w:eastAsia="仿宋" w:cs="仿宋"/>
          <w:b w:val="0"/>
          <w:bCs w:val="0"/>
          <w:color w:val="auto"/>
          <w:sz w:val="32"/>
          <w:szCs w:val="32"/>
          <w:highlight w:val="none"/>
          <w:lang w:val="zh-CN" w:eastAsia="zh-CN"/>
        </w:rPr>
        <w:t>水土保持站</w:t>
      </w:r>
      <w:r>
        <w:rPr>
          <w:rFonts w:hint="eastAsia" w:ascii="仿宋" w:hAnsi="仿宋" w:eastAsia="仿宋" w:cs="仿宋"/>
          <w:b w:val="0"/>
          <w:bCs w:val="0"/>
          <w:color w:val="auto"/>
          <w:sz w:val="32"/>
          <w:szCs w:val="32"/>
          <w:highlight w:val="none"/>
          <w:lang w:val="en-US" w:eastAsia="zh-CN"/>
        </w:rPr>
        <w:t>3名、</w:t>
      </w:r>
      <w:r>
        <w:rPr>
          <w:rFonts w:hint="eastAsia" w:ascii="仿宋" w:hAnsi="仿宋" w:eastAsia="仿宋" w:cs="仿宋"/>
          <w:b w:val="0"/>
          <w:bCs w:val="0"/>
          <w:color w:val="auto"/>
          <w:sz w:val="32"/>
          <w:szCs w:val="32"/>
          <w:highlight w:val="none"/>
          <w:lang w:val="zh-CN" w:eastAsia="zh-CN"/>
        </w:rPr>
        <w:t>农村水利建设站</w:t>
      </w:r>
      <w:r>
        <w:rPr>
          <w:rFonts w:hint="eastAsia" w:ascii="仿宋" w:hAnsi="仿宋" w:eastAsia="仿宋" w:cs="仿宋"/>
          <w:b w:val="0"/>
          <w:bCs w:val="0"/>
          <w:color w:val="auto"/>
          <w:sz w:val="32"/>
          <w:szCs w:val="32"/>
          <w:highlight w:val="none"/>
          <w:lang w:val="en-US" w:eastAsia="zh-CN"/>
        </w:rPr>
        <w:t>4名、</w:t>
      </w:r>
      <w:r>
        <w:rPr>
          <w:rFonts w:hint="eastAsia" w:ascii="仿宋" w:hAnsi="仿宋" w:eastAsia="仿宋" w:cs="仿宋"/>
          <w:b w:val="0"/>
          <w:bCs w:val="0"/>
          <w:color w:val="auto"/>
          <w:sz w:val="32"/>
          <w:szCs w:val="32"/>
          <w:highlight w:val="none"/>
          <w:lang w:val="zh-CN" w:eastAsia="zh-CN"/>
        </w:rPr>
        <w:t>九寨沟县河湖保护中心</w:t>
      </w:r>
      <w:r>
        <w:rPr>
          <w:rFonts w:hint="eastAsia" w:ascii="仿宋" w:hAnsi="仿宋" w:eastAsia="仿宋" w:cs="仿宋"/>
          <w:b w:val="0"/>
          <w:bCs w:val="0"/>
          <w:color w:val="auto"/>
          <w:sz w:val="32"/>
          <w:szCs w:val="32"/>
          <w:highlight w:val="none"/>
          <w:lang w:val="en-US" w:eastAsia="zh-CN"/>
        </w:rPr>
        <w:t>3名、</w:t>
      </w:r>
      <w:r>
        <w:rPr>
          <w:rFonts w:hint="eastAsia" w:ascii="仿宋" w:hAnsi="仿宋" w:eastAsia="仿宋" w:cs="仿宋"/>
          <w:b w:val="0"/>
          <w:bCs w:val="0"/>
          <w:color w:val="auto"/>
          <w:sz w:val="32"/>
          <w:szCs w:val="32"/>
          <w:highlight w:val="none"/>
          <w:lang w:val="zh-CN" w:eastAsia="zh-CN"/>
        </w:rPr>
        <w:t>九寨沟县防汛工作中心</w:t>
      </w:r>
      <w:r>
        <w:rPr>
          <w:rFonts w:hint="eastAsia" w:ascii="仿宋" w:hAnsi="仿宋" w:eastAsia="仿宋" w:cs="仿宋"/>
          <w:b w:val="0"/>
          <w:bCs w:val="0"/>
          <w:color w:val="auto"/>
          <w:sz w:val="32"/>
          <w:szCs w:val="32"/>
          <w:highlight w:val="none"/>
          <w:lang w:val="en-US" w:eastAsia="zh-CN"/>
        </w:rPr>
        <w:t>5名。</w:t>
      </w:r>
    </w:p>
    <w:p>
      <w:pPr>
        <w:pStyle w:val="2"/>
      </w:pPr>
    </w:p>
    <w:p>
      <w:pPr>
        <w:widowControl/>
        <w:numPr>
          <w:ilvl w:val="0"/>
          <w:numId w:val="5"/>
        </w:numPr>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部门财政资金收支情况</w:t>
      </w:r>
    </w:p>
    <w:p>
      <w:pPr>
        <w:pStyle w:val="2"/>
        <w:keepNext w:val="0"/>
        <w:keepLines w:val="0"/>
        <w:pageBreakBefore w:val="0"/>
        <w:kinsoku/>
        <w:wordWrap/>
        <w:overflowPunct/>
        <w:topLinePunct w:val="0"/>
        <w:autoSpaceDE/>
        <w:autoSpaceDN/>
        <w:bidi w:val="0"/>
        <w:adjustRightInd/>
        <w:snapToGrid/>
        <w:spacing w:line="500" w:lineRule="exact"/>
        <w:ind w:left="0" w:leftChars="0" w:firstLine="640" w:firstLineChars="200"/>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Style w:val="2"/>
        <w:keepNext w:val="0"/>
        <w:keepLines w:val="0"/>
        <w:pageBreakBefore w:val="0"/>
        <w:kinsoku/>
        <w:wordWrap/>
        <w:overflowPunct/>
        <w:topLinePunct w:val="0"/>
        <w:autoSpaceDE/>
        <w:autoSpaceDN/>
        <w:bidi w:val="0"/>
        <w:adjustRightInd/>
        <w:snapToGrid/>
        <w:spacing w:line="500" w:lineRule="exact"/>
        <w:ind w:left="0" w:leftChars="0" w:firstLine="640" w:firstLineChars="200"/>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w:t>
      </w:r>
      <w:r>
        <w:rPr>
          <w:rFonts w:hint="eastAsia" w:ascii="仿宋_GB2312" w:hAnsi="宋体" w:eastAsia="仿宋_GB2312" w:cs="宋体"/>
          <w:color w:val="000000"/>
          <w:kern w:val="0"/>
          <w:sz w:val="32"/>
          <w:szCs w:val="32"/>
          <w:shd w:val="clear" w:color="auto" w:fill="FFFFFF"/>
          <w:lang w:val="en-US" w:eastAsia="zh-CN"/>
        </w:rPr>
        <w:t>20</w:t>
      </w:r>
      <w:r>
        <w:rPr>
          <w:rFonts w:hint="eastAsia" w:ascii="仿宋_GB2312" w:hAnsi="宋体" w:eastAsia="仿宋_GB2312" w:cs="宋体"/>
          <w:color w:val="000000"/>
          <w:kern w:val="0"/>
          <w:sz w:val="32"/>
          <w:szCs w:val="32"/>
          <w:shd w:val="clear" w:color="auto" w:fill="FFFFFF"/>
          <w:lang w:val="zh-CN"/>
        </w:rPr>
        <w:t>年度实际收到的一般公共预算财政拨款收入</w:t>
      </w:r>
      <w:r>
        <w:rPr>
          <w:rFonts w:hint="eastAsia" w:ascii="仿宋" w:hAnsi="仿宋" w:eastAsia="仿宋" w:cs="仿宋"/>
          <w:b w:val="0"/>
          <w:bCs w:val="0"/>
          <w:color w:val="auto"/>
          <w:sz w:val="32"/>
          <w:szCs w:val="32"/>
          <w:highlight w:val="none"/>
          <w:lang w:val="en-US" w:eastAsia="zh-CN"/>
        </w:rPr>
        <w:t>275.37万</w:t>
      </w:r>
      <w:r>
        <w:rPr>
          <w:rFonts w:hint="eastAsia" w:ascii="仿宋_GB2312" w:hAnsi="宋体" w:eastAsia="仿宋_GB2312" w:cs="宋体"/>
          <w:color w:val="000000"/>
          <w:kern w:val="0"/>
          <w:sz w:val="32"/>
          <w:szCs w:val="32"/>
          <w:shd w:val="clear" w:color="auto" w:fill="FFFFFF"/>
          <w:lang w:val="zh-CN" w:eastAsia="zh-CN"/>
        </w:rPr>
        <w:t>元</w:t>
      </w:r>
      <w:r>
        <w:rPr>
          <w:rFonts w:hint="eastAsia" w:ascii="仿宋_GB2312" w:hAnsi="宋体" w:eastAsia="仿宋_GB2312" w:cs="宋体"/>
          <w:color w:val="000000"/>
          <w:kern w:val="0"/>
          <w:sz w:val="32"/>
          <w:szCs w:val="32"/>
          <w:shd w:val="clear" w:color="auto" w:fill="FFFFFF"/>
          <w:lang w:val="zh-CN"/>
        </w:rPr>
        <w:t>，其中水务中心一般公共预算财政拨款收入</w:t>
      </w:r>
      <w:r>
        <w:rPr>
          <w:rFonts w:hint="eastAsia" w:ascii="仿宋_GB2312" w:hAnsi="宋体" w:eastAsia="仿宋_GB2312" w:cs="宋体"/>
          <w:color w:val="000000"/>
          <w:kern w:val="0"/>
          <w:sz w:val="32"/>
          <w:szCs w:val="32"/>
          <w:shd w:val="clear" w:color="auto" w:fill="FFFFFF"/>
          <w:lang w:val="en-US" w:eastAsia="zh-CN"/>
        </w:rPr>
        <w:t>275.37万元，</w:t>
      </w:r>
      <w:r>
        <w:rPr>
          <w:rFonts w:hint="eastAsia" w:ascii="仿宋_GB2312" w:hAnsi="宋体" w:eastAsia="仿宋_GB2312" w:cs="宋体"/>
          <w:color w:val="000000"/>
          <w:kern w:val="0"/>
          <w:sz w:val="32"/>
          <w:szCs w:val="32"/>
          <w:shd w:val="clear" w:color="auto" w:fill="FFFFFF"/>
          <w:lang w:val="zh-CN"/>
        </w:rPr>
        <w:t>财政部门拨款对账单</w:t>
      </w:r>
      <w:r>
        <w:rPr>
          <w:rFonts w:hint="eastAsia" w:ascii="仿宋_GB2312" w:hAnsi="宋体" w:eastAsia="仿宋_GB2312" w:cs="宋体"/>
          <w:color w:val="000000"/>
          <w:kern w:val="0"/>
          <w:sz w:val="32"/>
          <w:szCs w:val="32"/>
          <w:shd w:val="clear" w:color="auto" w:fill="FFFFFF"/>
          <w:lang w:val="en-US" w:eastAsia="zh-CN"/>
        </w:rPr>
        <w:t>275.37</w:t>
      </w:r>
      <w:r>
        <w:rPr>
          <w:rFonts w:hint="eastAsia" w:ascii="仿宋_GB2312" w:hAnsi="宋体" w:eastAsia="仿宋_GB2312" w:cs="宋体"/>
          <w:color w:val="000000"/>
          <w:kern w:val="0"/>
          <w:sz w:val="32"/>
          <w:szCs w:val="32"/>
          <w:shd w:val="clear" w:color="auto" w:fill="FFFFFF"/>
          <w:lang w:val="zh-CN"/>
        </w:rPr>
        <w:t>万元</w:t>
      </w:r>
      <w:r>
        <w:rPr>
          <w:rFonts w:hint="eastAsia" w:ascii="仿宋_GB2312" w:hAnsi="宋体" w:eastAsia="仿宋_GB2312" w:cs="宋体"/>
          <w:color w:val="000000"/>
          <w:kern w:val="0"/>
          <w:sz w:val="32"/>
          <w:szCs w:val="32"/>
          <w:shd w:val="clear" w:color="auto" w:fill="FFFFFF"/>
          <w:lang w:val="en-US" w:eastAsia="zh-CN"/>
        </w:rPr>
        <w:t>。</w:t>
      </w:r>
    </w:p>
    <w:p>
      <w:pPr>
        <w:keepNext w:val="0"/>
        <w:keepLines w:val="0"/>
        <w:pageBreakBefore w:val="0"/>
        <w:widowControl/>
        <w:numPr>
          <w:ilvl w:val="0"/>
          <w:numId w:val="4"/>
        </w:numPr>
        <w:kinsoku/>
        <w:wordWrap/>
        <w:overflowPunct/>
        <w:topLinePunct w:val="0"/>
        <w:autoSpaceDE/>
        <w:autoSpaceDN/>
        <w:bidi w:val="0"/>
        <w:adjustRightInd/>
        <w:snapToGrid/>
        <w:spacing w:line="500" w:lineRule="exact"/>
        <w:ind w:left="0" w:leftChars="0" w:firstLine="640" w:firstLineChars="200"/>
        <w:jc w:val="left"/>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640" w:firstLineChars="200"/>
        <w:jc w:val="left"/>
        <w:textAlignment w:val="auto"/>
        <w:outlineLvl w:val="9"/>
        <w:rPr>
          <w:rFonts w:ascii="仿宋_GB2312" w:hAnsi="宋体" w:eastAsia="仿宋_GB2312" w:cs="宋体"/>
          <w:color w:val="000000"/>
          <w:kern w:val="0"/>
          <w:sz w:val="32"/>
          <w:szCs w:val="32"/>
          <w:shd w:val="clear" w:color="auto" w:fill="FFFFFF"/>
          <w:lang w:val="zh-CN"/>
        </w:rPr>
      </w:pPr>
      <w:r>
        <w:rPr>
          <w:rFonts w:hint="eastAsia" w:ascii="仿宋" w:hAnsi="仿宋" w:eastAsia="仿宋" w:cs="仿宋"/>
          <w:color w:val="000000"/>
          <w:sz w:val="32"/>
          <w:szCs w:val="32"/>
          <w:lang w:val="en-US" w:eastAsia="zh-CN"/>
        </w:rPr>
        <w:t>2019年</w:t>
      </w:r>
      <w:r>
        <w:rPr>
          <w:rFonts w:hint="eastAsia" w:ascii="仿宋" w:hAnsi="仿宋" w:eastAsia="仿宋" w:cs="仿宋"/>
          <w:color w:val="000000"/>
          <w:sz w:val="32"/>
          <w:szCs w:val="32"/>
          <w:lang w:val="zh-CN" w:eastAsia="zh-CN"/>
        </w:rPr>
        <w:t>财政拨款支出</w:t>
      </w:r>
      <w:r>
        <w:rPr>
          <w:rFonts w:hint="eastAsia" w:ascii="仿宋" w:hAnsi="仿宋" w:eastAsia="仿宋" w:cs="仿宋"/>
          <w:color w:val="000000"/>
          <w:sz w:val="32"/>
          <w:szCs w:val="32"/>
          <w:lang w:val="en-US" w:eastAsia="zh-CN"/>
        </w:rPr>
        <w:t>275.37万</w:t>
      </w:r>
      <w:r>
        <w:rPr>
          <w:rFonts w:hint="eastAsia" w:ascii="仿宋" w:hAnsi="仿宋" w:eastAsia="仿宋" w:cs="仿宋"/>
          <w:color w:val="000000"/>
          <w:sz w:val="32"/>
          <w:szCs w:val="32"/>
          <w:lang w:val="zh-CN" w:eastAsia="zh-CN"/>
        </w:rPr>
        <w:t>元，其中基本支出</w:t>
      </w:r>
      <w:r>
        <w:rPr>
          <w:rFonts w:hint="eastAsia" w:ascii="仿宋" w:hAnsi="仿宋" w:eastAsia="仿宋" w:cs="仿宋"/>
          <w:color w:val="000000"/>
          <w:sz w:val="32"/>
          <w:szCs w:val="32"/>
          <w:lang w:val="en-US" w:eastAsia="zh-CN"/>
        </w:rPr>
        <w:t>275.37万</w:t>
      </w:r>
      <w:r>
        <w:rPr>
          <w:rFonts w:hint="eastAsia" w:ascii="仿宋" w:hAnsi="仿宋" w:eastAsia="仿宋" w:cs="仿宋"/>
          <w:color w:val="000000"/>
          <w:sz w:val="32"/>
          <w:szCs w:val="32"/>
          <w:lang w:val="zh-CN" w:eastAsia="zh-CN"/>
        </w:rPr>
        <w:t>元，项目支出</w:t>
      </w:r>
      <w:r>
        <w:rPr>
          <w:rFonts w:hint="eastAsia" w:ascii="仿宋" w:hAnsi="仿宋" w:eastAsia="仿宋" w:cs="仿宋"/>
          <w:color w:val="000000"/>
          <w:sz w:val="32"/>
          <w:szCs w:val="32"/>
          <w:lang w:val="en-US" w:eastAsia="zh-CN"/>
        </w:rPr>
        <w:t>0万</w:t>
      </w:r>
      <w:r>
        <w:rPr>
          <w:rFonts w:hint="eastAsia" w:ascii="仿宋" w:hAnsi="仿宋" w:eastAsia="仿宋" w:cs="仿宋"/>
          <w:color w:val="000000"/>
          <w:sz w:val="32"/>
          <w:szCs w:val="32"/>
          <w:lang w:val="zh-CN" w:eastAsia="zh-CN"/>
        </w:rPr>
        <w:t>元。</w:t>
      </w:r>
    </w:p>
    <w:p>
      <w:pPr>
        <w:pStyle w:val="2"/>
        <w:numPr>
          <w:numId w:val="0"/>
        </w:numPr>
        <w:ind w:leftChars="400"/>
      </w:pPr>
    </w:p>
    <w:p>
      <w:pPr>
        <w:widowControl/>
        <w:numPr>
          <w:ilvl w:val="0"/>
          <w:numId w:val="5"/>
        </w:numPr>
        <w:adjustRightInd w:val="0"/>
        <w:snapToGrid w:val="0"/>
        <w:spacing w:line="580" w:lineRule="exact"/>
        <w:ind w:left="0" w:leftChars="0"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部门整体预算绩效管理情况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outlineLvl w:val="9"/>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eastAsia="zh-CN"/>
        </w:rPr>
        <w:t>预算编制情况。</w:t>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outlineLvl w:val="9"/>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我局</w:t>
      </w:r>
      <w:r>
        <w:rPr>
          <w:rFonts w:hint="eastAsia" w:ascii="仿宋_GB2312" w:hAnsi="宋体" w:eastAsia="仿宋_GB2312" w:cs="宋体"/>
          <w:color w:val="000000"/>
          <w:kern w:val="0"/>
          <w:sz w:val="32"/>
          <w:szCs w:val="32"/>
          <w:shd w:val="clear" w:color="auto" w:fill="FFFFFF"/>
          <w:lang w:val="en-US" w:eastAsia="zh-CN"/>
        </w:rPr>
        <w:t>2020</w:t>
      </w:r>
      <w:r>
        <w:rPr>
          <w:rFonts w:hint="eastAsia" w:ascii="仿宋_GB2312" w:hAnsi="宋体" w:eastAsia="仿宋_GB2312" w:cs="宋体"/>
          <w:color w:val="000000"/>
          <w:kern w:val="0"/>
          <w:sz w:val="32"/>
          <w:szCs w:val="32"/>
          <w:shd w:val="clear" w:color="auto" w:fill="FFFFFF"/>
          <w:lang w:val="zh-CN" w:eastAsia="zh-CN"/>
        </w:rPr>
        <w:t>年预算编制严格按照《中华人民共和国预算法》的要求，按照相关填报口径做到科学合理的细化预算编制。</w:t>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outlineLvl w:val="9"/>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eastAsia="zh-CN"/>
        </w:rPr>
        <w:t>执行管理情况。</w:t>
      </w:r>
      <w:r>
        <w:rPr>
          <w:rFonts w:hint="eastAsia" w:ascii="仿宋_GB2312" w:hAnsi="宋体" w:eastAsia="仿宋_GB2312" w:cs="宋体"/>
          <w:color w:val="000000"/>
          <w:kern w:val="0"/>
          <w:sz w:val="32"/>
          <w:szCs w:val="32"/>
          <w:shd w:val="clear" w:color="auto" w:fill="FFFFFF"/>
          <w:lang w:val="zh-CN" w:eastAsia="zh-CN"/>
        </w:rPr>
        <w:tab/>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outlineLvl w:val="9"/>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2020</w:t>
      </w:r>
      <w:r>
        <w:rPr>
          <w:rFonts w:hint="eastAsia" w:ascii="仿宋_GB2312" w:hAnsi="宋体" w:eastAsia="仿宋_GB2312" w:cs="宋体"/>
          <w:color w:val="000000"/>
          <w:kern w:val="0"/>
          <w:sz w:val="32"/>
          <w:szCs w:val="32"/>
          <w:shd w:val="clear" w:color="auto" w:fill="FFFFFF"/>
          <w:lang w:val="zh-CN" w:eastAsia="zh-CN"/>
        </w:rPr>
        <w:t>年我局所有预算内资金都严格纳入财政大平台系统管理，日常支出都严格履行了我局的报账程序。</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pStyle w:val="2"/>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部门自评质量较好、绩效目标公开和自评公开、评价结果整改和应用结果反馈情况较好。</w:t>
      </w:r>
    </w:p>
    <w:p>
      <w:pPr>
        <w:pStyle w:val="2"/>
        <w:numPr>
          <w:numId w:val="0"/>
        </w:numPr>
        <w:ind w:leftChars="200"/>
        <w:rPr>
          <w:rFonts w:hint="default" w:eastAsia="宋体"/>
          <w:lang w:val="en-US" w:eastAsia="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2"/>
        <w:ind w:left="0" w:leftChars="0" w:firstLine="640" w:firstLineChars="200"/>
        <w:outlineLvl w:val="9"/>
        <w:rPr>
          <w:lang w:val="zh-CN"/>
        </w:rPr>
      </w:pPr>
      <w:r>
        <w:rPr>
          <w:rFonts w:hint="eastAsia" w:ascii="仿宋_GB2312" w:hAnsi="仿宋_GB2312" w:eastAsia="仿宋_GB2312" w:cs="仿宋_GB2312"/>
          <w:sz w:val="32"/>
          <w:szCs w:val="32"/>
          <w:lang w:val="zh-CN" w:eastAsia="zh-CN"/>
        </w:rPr>
        <w:t>从整体上看，</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lang w:val="zh-CN" w:eastAsia="zh-CN"/>
        </w:rPr>
        <w:t>年我局资金维护决策正确，资金管理规范，政策决策有力，有效发挥了财政资金使用效率。在人员经费支出上，严格执行县委、政府的各项制度。在项目经费的的使用上，严格按照项目资金实施方案执行。三公经费的使用严格按照预算执行。</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pStyle w:val="2"/>
        <w:ind w:left="0" w:leftChars="0" w:firstLine="640" w:firstLineChars="200"/>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我局项目多，任务重，资金量大，财务人员专业技术能力需进一步提高。</w:t>
      </w:r>
    </w:p>
    <w:p>
      <w:pPr>
        <w:pStyle w:val="2"/>
        <w:numPr>
          <w:numId w:val="0"/>
        </w:numPr>
        <w:ind w:leftChars="400"/>
        <w:rPr>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pStyle w:val="2"/>
        <w:ind w:left="0" w:leftChars="0" w:firstLine="640" w:firstLineChars="200"/>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严格按照财务规定程序，加大项目资金支付力度。</w:t>
      </w:r>
      <w:r>
        <w:rPr>
          <w:rFonts w:hint="eastAsia" w:ascii="仿宋_GB2312" w:hAnsi="仿宋_GB2312" w:eastAsia="仿宋_GB2312" w:cs="仿宋_GB2312"/>
          <w:sz w:val="32"/>
          <w:szCs w:val="32"/>
          <w:lang w:val="zh-CN" w:eastAsia="zh-CN"/>
        </w:rPr>
        <w:t>加强年初预算的编制工作，提高预算编制的准确性和细化性。</w:t>
      </w:r>
    </w:p>
    <w:p>
      <w:pPr>
        <w:pStyle w:val="2"/>
        <w:ind w:left="0" w:leftChars="0" w:firstLine="640" w:firstLineChars="200"/>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spacing w:line="600" w:lineRule="exact"/>
        <w:jc w:val="center"/>
        <w:outlineLvl w:val="0"/>
        <w:rPr>
          <w:rStyle w:val="24"/>
          <w:rFonts w:ascii="黑体" w:hAnsi="黑体" w:eastAsia="黑体"/>
          <w:b w:val="0"/>
        </w:rPr>
      </w:pPr>
      <w:bookmarkStart w:id="135" w:name="_Toc15396618"/>
      <w:bookmarkStart w:id="136" w:name="_Toc79163635"/>
      <w:bookmarkStart w:id="137" w:name="_Toc79163885"/>
      <w:bookmarkStart w:id="138" w:name="_Toc9083"/>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24"/>
      <w:bookmarkEnd w:id="135"/>
      <w:bookmarkEnd w:id="136"/>
      <w:bookmarkEnd w:id="137"/>
      <w:bookmarkEnd w:id="138"/>
    </w:p>
    <w:p>
      <w:pPr>
        <w:pStyle w:val="5"/>
        <w:rPr>
          <w:rFonts w:ascii="仿宋" w:hAnsi="仿宋" w:eastAsia="仿宋"/>
          <w:color w:val="000000"/>
        </w:rPr>
      </w:pPr>
      <w:bookmarkStart w:id="139" w:name="_Toc15396619"/>
      <w:bookmarkStart w:id="140" w:name="_Toc79163636"/>
      <w:bookmarkStart w:id="141" w:name="_Toc79163886"/>
      <w:bookmarkStart w:id="142" w:name="_Toc25598"/>
      <w:r>
        <w:rPr>
          <w:rFonts w:hint="eastAsia" w:ascii="仿宋" w:hAnsi="仿宋" w:eastAsia="仿宋"/>
          <w:b w:val="0"/>
          <w:color w:val="000000"/>
        </w:rPr>
        <w:t>一、收</w:t>
      </w:r>
      <w:r>
        <w:rPr>
          <w:rStyle w:val="25"/>
          <w:rFonts w:hint="eastAsia" w:ascii="仿宋" w:hAnsi="仿宋" w:eastAsia="仿宋"/>
          <w:b w:val="0"/>
          <w:bCs w:val="0"/>
        </w:rPr>
        <w:t>入支出决算总表</w:t>
      </w:r>
      <w:bookmarkEnd w:id="139"/>
      <w:bookmarkEnd w:id="140"/>
      <w:bookmarkEnd w:id="141"/>
      <w:bookmarkEnd w:id="142"/>
    </w:p>
    <w:p>
      <w:pPr>
        <w:pStyle w:val="5"/>
        <w:rPr>
          <w:rFonts w:ascii="仿宋" w:hAnsi="仿宋" w:eastAsia="仿宋"/>
          <w:color w:val="000000"/>
        </w:rPr>
      </w:pPr>
      <w:bookmarkStart w:id="143" w:name="_Toc15396620"/>
      <w:bookmarkStart w:id="144" w:name="_Toc79163637"/>
      <w:bookmarkStart w:id="145" w:name="_Toc79163887"/>
      <w:bookmarkStart w:id="146" w:name="_Toc30290"/>
      <w:r>
        <w:rPr>
          <w:rFonts w:hint="eastAsia" w:ascii="仿宋" w:hAnsi="仿宋" w:eastAsia="仿宋"/>
          <w:b w:val="0"/>
          <w:color w:val="000000"/>
        </w:rPr>
        <w:t>二、收</w:t>
      </w:r>
      <w:r>
        <w:rPr>
          <w:rStyle w:val="25"/>
          <w:rFonts w:hint="eastAsia" w:ascii="仿宋" w:hAnsi="仿宋" w:eastAsia="仿宋"/>
          <w:b w:val="0"/>
          <w:bCs w:val="0"/>
        </w:rPr>
        <w:t>入决算表</w:t>
      </w:r>
      <w:bookmarkEnd w:id="143"/>
      <w:bookmarkEnd w:id="144"/>
      <w:bookmarkEnd w:id="145"/>
      <w:bookmarkEnd w:id="146"/>
    </w:p>
    <w:p>
      <w:pPr>
        <w:pStyle w:val="5"/>
        <w:rPr>
          <w:rFonts w:ascii="仿宋" w:hAnsi="仿宋" w:eastAsia="仿宋"/>
          <w:color w:val="000000"/>
        </w:rPr>
      </w:pPr>
      <w:bookmarkStart w:id="147" w:name="_Toc15396621"/>
      <w:bookmarkStart w:id="148" w:name="_Toc79163638"/>
      <w:bookmarkStart w:id="149" w:name="_Toc79163888"/>
      <w:bookmarkStart w:id="150" w:name="_Toc13236"/>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47"/>
      <w:bookmarkEnd w:id="148"/>
      <w:bookmarkEnd w:id="149"/>
      <w:bookmarkEnd w:id="150"/>
    </w:p>
    <w:p>
      <w:pPr>
        <w:pStyle w:val="5"/>
        <w:rPr>
          <w:rFonts w:ascii="仿宋" w:hAnsi="仿宋" w:eastAsia="仿宋"/>
          <w:b w:val="0"/>
          <w:color w:val="000000"/>
        </w:rPr>
      </w:pPr>
      <w:bookmarkStart w:id="151" w:name="_Toc15396622"/>
      <w:bookmarkStart w:id="152" w:name="_Toc79163639"/>
      <w:bookmarkStart w:id="153" w:name="_Toc79163889"/>
      <w:bookmarkStart w:id="154" w:name="_Toc3746"/>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51"/>
      <w:bookmarkEnd w:id="152"/>
      <w:bookmarkEnd w:id="153"/>
      <w:bookmarkEnd w:id="154"/>
    </w:p>
    <w:p>
      <w:pPr>
        <w:pStyle w:val="5"/>
        <w:rPr>
          <w:rStyle w:val="25"/>
          <w:rFonts w:ascii="仿宋" w:hAnsi="仿宋" w:eastAsia="仿宋"/>
          <w:b w:val="0"/>
          <w:bCs w:val="0"/>
        </w:rPr>
      </w:pPr>
      <w:bookmarkStart w:id="155" w:name="_Toc15396623"/>
      <w:bookmarkStart w:id="156" w:name="_Toc79163640"/>
      <w:bookmarkStart w:id="157" w:name="_Toc79163890"/>
      <w:bookmarkStart w:id="158" w:name="_Toc13319"/>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55"/>
      <w:bookmarkEnd w:id="156"/>
      <w:bookmarkEnd w:id="157"/>
      <w:bookmarkEnd w:id="158"/>
      <w:bookmarkStart w:id="159" w:name="_Toc15396624"/>
    </w:p>
    <w:p>
      <w:pPr>
        <w:pStyle w:val="5"/>
        <w:rPr>
          <w:rFonts w:ascii="仿宋" w:hAnsi="仿宋" w:eastAsia="仿宋"/>
          <w:color w:val="000000"/>
        </w:rPr>
      </w:pPr>
      <w:bookmarkStart w:id="160" w:name="_Toc79163641"/>
      <w:bookmarkStart w:id="161" w:name="_Toc79163891"/>
      <w:bookmarkStart w:id="162" w:name="_Toc4855"/>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59"/>
      <w:bookmarkEnd w:id="160"/>
      <w:bookmarkEnd w:id="161"/>
      <w:bookmarkEnd w:id="162"/>
    </w:p>
    <w:p>
      <w:pPr>
        <w:pStyle w:val="5"/>
        <w:rPr>
          <w:rFonts w:ascii="仿宋" w:hAnsi="仿宋" w:eastAsia="仿宋"/>
          <w:color w:val="000000"/>
        </w:rPr>
      </w:pPr>
      <w:bookmarkStart w:id="163" w:name="_Toc79163642"/>
      <w:bookmarkStart w:id="164" w:name="_Toc79163892"/>
      <w:bookmarkStart w:id="165" w:name="_Toc15396625"/>
      <w:bookmarkStart w:id="166" w:name="_Toc29630"/>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63"/>
      <w:bookmarkEnd w:id="164"/>
      <w:bookmarkEnd w:id="165"/>
      <w:bookmarkEnd w:id="166"/>
    </w:p>
    <w:p>
      <w:pPr>
        <w:pStyle w:val="5"/>
        <w:rPr>
          <w:rFonts w:ascii="仿宋" w:hAnsi="仿宋" w:eastAsia="仿宋"/>
          <w:color w:val="000000"/>
        </w:rPr>
      </w:pPr>
      <w:bookmarkStart w:id="167" w:name="_Toc15396626"/>
      <w:bookmarkStart w:id="168" w:name="_Toc79163643"/>
      <w:bookmarkStart w:id="169" w:name="_Toc79163893"/>
      <w:bookmarkStart w:id="170" w:name="_Toc22485"/>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67"/>
      <w:bookmarkEnd w:id="168"/>
      <w:bookmarkEnd w:id="169"/>
      <w:bookmarkEnd w:id="170"/>
    </w:p>
    <w:p>
      <w:pPr>
        <w:pStyle w:val="5"/>
        <w:rPr>
          <w:rFonts w:ascii="仿宋" w:hAnsi="仿宋" w:eastAsia="仿宋"/>
          <w:color w:val="000000"/>
        </w:rPr>
      </w:pPr>
      <w:bookmarkStart w:id="171" w:name="_Toc15396627"/>
      <w:bookmarkStart w:id="172" w:name="_Toc79163644"/>
      <w:bookmarkStart w:id="173" w:name="_Toc79163894"/>
      <w:bookmarkStart w:id="174" w:name="_Toc23223"/>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71"/>
      <w:bookmarkEnd w:id="172"/>
      <w:bookmarkEnd w:id="173"/>
      <w:bookmarkEnd w:id="174"/>
    </w:p>
    <w:p>
      <w:pPr>
        <w:pStyle w:val="5"/>
        <w:rPr>
          <w:rFonts w:ascii="仿宋" w:hAnsi="仿宋" w:eastAsia="仿宋"/>
          <w:color w:val="000000"/>
        </w:rPr>
      </w:pPr>
      <w:bookmarkStart w:id="175" w:name="_Toc15396628"/>
      <w:bookmarkStart w:id="176" w:name="_Toc79163645"/>
      <w:bookmarkStart w:id="177" w:name="_Toc79163895"/>
      <w:bookmarkStart w:id="178" w:name="_Toc15694"/>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75"/>
      <w:bookmarkEnd w:id="176"/>
      <w:bookmarkEnd w:id="177"/>
      <w:bookmarkEnd w:id="178"/>
    </w:p>
    <w:p>
      <w:pPr>
        <w:pStyle w:val="5"/>
        <w:rPr>
          <w:rFonts w:ascii="仿宋" w:hAnsi="仿宋" w:eastAsia="仿宋"/>
          <w:color w:val="000000"/>
        </w:rPr>
      </w:pPr>
      <w:bookmarkStart w:id="179" w:name="_Toc15396629"/>
      <w:bookmarkStart w:id="180" w:name="_Toc79163646"/>
      <w:bookmarkStart w:id="181" w:name="_Toc79163896"/>
      <w:bookmarkStart w:id="182" w:name="_Toc10690"/>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79"/>
      <w:bookmarkEnd w:id="180"/>
      <w:bookmarkEnd w:id="181"/>
      <w:bookmarkEnd w:id="182"/>
    </w:p>
    <w:p>
      <w:pPr>
        <w:pStyle w:val="5"/>
        <w:rPr>
          <w:rFonts w:ascii="仿宋" w:hAnsi="仿宋" w:eastAsia="仿宋"/>
          <w:color w:val="000000"/>
        </w:rPr>
      </w:pPr>
      <w:bookmarkStart w:id="183" w:name="_Toc15396630"/>
      <w:bookmarkStart w:id="184" w:name="_Toc79163647"/>
      <w:bookmarkStart w:id="185" w:name="_Toc79163897"/>
      <w:bookmarkStart w:id="186" w:name="_Toc26089"/>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83"/>
      <w:bookmarkEnd w:id="184"/>
      <w:bookmarkEnd w:id="185"/>
      <w:bookmarkEnd w:id="186"/>
    </w:p>
    <w:p>
      <w:pPr>
        <w:pStyle w:val="5"/>
        <w:rPr>
          <w:rStyle w:val="25"/>
          <w:rFonts w:ascii="仿宋" w:hAnsi="仿宋" w:eastAsia="仿宋"/>
          <w:b w:val="0"/>
          <w:bCs w:val="0"/>
        </w:rPr>
      </w:pPr>
      <w:bookmarkStart w:id="187" w:name="_Toc15396631"/>
      <w:bookmarkStart w:id="188" w:name="_Toc79163648"/>
      <w:bookmarkStart w:id="189" w:name="_Toc79163898"/>
      <w:bookmarkStart w:id="190" w:name="_Toc12893"/>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87"/>
      <w:bookmarkEnd w:id="188"/>
      <w:bookmarkEnd w:id="189"/>
      <w:bookmarkEnd w:id="190"/>
    </w:p>
    <w:p>
      <w:pPr>
        <w:pStyle w:val="5"/>
        <w:rPr>
          <w:rStyle w:val="25"/>
          <w:rFonts w:ascii="仿宋" w:hAnsi="仿宋" w:eastAsia="仿宋"/>
          <w:b w:val="0"/>
          <w:bCs w:val="0"/>
        </w:rPr>
      </w:pPr>
      <w:bookmarkStart w:id="191" w:name="_Toc79163649"/>
      <w:bookmarkStart w:id="192" w:name="_Toc79163899"/>
      <w:bookmarkStart w:id="193" w:name="_Toc31226"/>
      <w:r>
        <w:rPr>
          <w:rStyle w:val="25"/>
          <w:rFonts w:hint="eastAsia" w:ascii="仿宋" w:hAnsi="仿宋" w:eastAsia="仿宋"/>
          <w:b w:val="0"/>
          <w:bCs w:val="0"/>
        </w:rPr>
        <w:t>十四、国有资本经营预算财政拨款支出决算表</w:t>
      </w:r>
      <w:bookmarkEnd w:id="191"/>
      <w:bookmarkEnd w:id="192"/>
      <w:bookmarkEnd w:id="19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D13A8FDB"/>
    <w:multiLevelType w:val="singleLevel"/>
    <w:tmpl w:val="D13A8FDB"/>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F1FF84AB"/>
    <w:multiLevelType w:val="singleLevel"/>
    <w:tmpl w:val="F1FF84AB"/>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7428C187"/>
    <w:multiLevelType w:val="singleLevel"/>
    <w:tmpl w:val="7428C187"/>
    <w:lvl w:ilvl="0" w:tentative="0">
      <w:start w:val="2"/>
      <w:numFmt w:val="chineseCounting"/>
      <w:suff w:val="nothing"/>
      <w:lvlText w:val="（%1）"/>
      <w:lvlJc w:val="left"/>
      <w:rPr>
        <w:rFonts w:hint="eastAsia"/>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51C3DFA"/>
    <w:rsid w:val="0A2032A3"/>
    <w:rsid w:val="0CE23826"/>
    <w:rsid w:val="0F1D6DA8"/>
    <w:rsid w:val="10C055FF"/>
    <w:rsid w:val="118107EC"/>
    <w:rsid w:val="16BB723D"/>
    <w:rsid w:val="1D155CEE"/>
    <w:rsid w:val="1E643277"/>
    <w:rsid w:val="240371BF"/>
    <w:rsid w:val="2569277C"/>
    <w:rsid w:val="26D6092E"/>
    <w:rsid w:val="29FD04D3"/>
    <w:rsid w:val="319F7F4E"/>
    <w:rsid w:val="31E25241"/>
    <w:rsid w:val="33B14CB8"/>
    <w:rsid w:val="4ECE2238"/>
    <w:rsid w:val="667168AB"/>
    <w:rsid w:val="6C4A05C8"/>
    <w:rsid w:val="72734D90"/>
    <w:rsid w:val="77487D01"/>
    <w:rsid w:val="78E27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5"/>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6"/>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semiHidden/>
    <w:unhideWhenUsed/>
    <w:qFormat/>
    <w:uiPriority w:val="99"/>
    <w:pPr>
      <w:spacing w:after="12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3"/>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8"/>
    <w:semiHidden/>
    <w:unhideWhenUsed/>
    <w:qFormat/>
    <w:uiPriority w:val="99"/>
    <w:rPr>
      <w:sz w:val="18"/>
      <w:szCs w:val="18"/>
    </w:rPr>
  </w:style>
  <w:style w:type="paragraph" w:styleId="13">
    <w:name w:val="footer"/>
    <w:basedOn w:val="1"/>
    <w:link w:val="32"/>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4">
    <w:name w:val="标题 1 字符"/>
    <w:basedOn w:val="21"/>
    <w:link w:val="4"/>
    <w:qFormat/>
    <w:locked/>
    <w:uiPriority w:val="9"/>
    <w:rPr>
      <w:rFonts w:ascii="Times New Roman" w:hAnsi="Times New Roman" w:cs="Times New Roman"/>
      <w:b/>
      <w:bCs/>
      <w:kern w:val="44"/>
      <w:sz w:val="44"/>
      <w:szCs w:val="44"/>
    </w:rPr>
  </w:style>
  <w:style w:type="character" w:customStyle="1" w:styleId="25">
    <w:name w:val="标题 2 字符"/>
    <w:basedOn w:val="21"/>
    <w:link w:val="5"/>
    <w:qFormat/>
    <w:locked/>
    <w:uiPriority w:val="9"/>
    <w:rPr>
      <w:rFonts w:ascii="Cambria" w:hAnsi="Cambria" w:eastAsia="宋体" w:cs="Times New Roman"/>
      <w:b/>
      <w:bCs/>
      <w:kern w:val="2"/>
      <w:sz w:val="32"/>
      <w:szCs w:val="32"/>
    </w:rPr>
  </w:style>
  <w:style w:type="character" w:customStyle="1" w:styleId="26">
    <w:name w:val="标题 3 字符"/>
    <w:basedOn w:val="21"/>
    <w:link w:val="6"/>
    <w:qFormat/>
    <w:locked/>
    <w:uiPriority w:val="9"/>
    <w:rPr>
      <w:rFonts w:ascii="Times New Roman" w:hAnsi="Times New Roman" w:cs="Times New Roman"/>
      <w:b/>
      <w:bCs/>
      <w:kern w:val="2"/>
      <w:sz w:val="32"/>
      <w:szCs w:val="32"/>
    </w:rPr>
  </w:style>
  <w:style w:type="character" w:customStyle="1" w:styleId="27">
    <w:name w:val="Body Text Char"/>
    <w:basedOn w:val="21"/>
    <w:semiHidden/>
    <w:qFormat/>
    <w:uiPriority w:val="99"/>
    <w:rPr>
      <w:rFonts w:ascii="Times New Roman" w:hAnsi="Times New Roman" w:cs="Times New Roman"/>
      <w:sz w:val="24"/>
      <w:szCs w:val="24"/>
    </w:rPr>
  </w:style>
  <w:style w:type="character" w:customStyle="1" w:styleId="28">
    <w:name w:val="批注框文本 字符"/>
    <w:basedOn w:val="21"/>
    <w:link w:val="12"/>
    <w:semiHidden/>
    <w:qFormat/>
    <w:locked/>
    <w:uiPriority w:val="99"/>
    <w:rPr>
      <w:rFonts w:ascii="Times New Roman" w:hAnsi="Times New Roman" w:cs="Times New Roman"/>
      <w:kern w:val="2"/>
      <w:sz w:val="18"/>
      <w:szCs w:val="18"/>
    </w:rPr>
  </w:style>
  <w:style w:type="character" w:customStyle="1" w:styleId="29">
    <w:name w:val="Footer Char"/>
    <w:basedOn w:val="21"/>
    <w:semiHidden/>
    <w:qFormat/>
    <w:uiPriority w:val="99"/>
    <w:rPr>
      <w:rFonts w:ascii="Times New Roman" w:hAnsi="Times New Roman" w:cs="Times New Roman"/>
      <w:sz w:val="18"/>
      <w:szCs w:val="18"/>
    </w:rPr>
  </w:style>
  <w:style w:type="character" w:customStyle="1" w:styleId="30">
    <w:name w:val="Header Char"/>
    <w:basedOn w:val="21"/>
    <w:semiHidden/>
    <w:qFormat/>
    <w:uiPriority w:val="99"/>
    <w:rPr>
      <w:rFonts w:ascii="Times New Roman" w:hAnsi="Times New Roman" w:cs="Times New Roman"/>
      <w:sz w:val="18"/>
      <w:szCs w:val="18"/>
    </w:rPr>
  </w:style>
  <w:style w:type="character" w:customStyle="1" w:styleId="31">
    <w:name w:val="页眉 字符"/>
    <w:link w:val="14"/>
    <w:semiHidden/>
    <w:qFormat/>
    <w:locked/>
    <w:uiPriority w:val="99"/>
    <w:rPr>
      <w:sz w:val="18"/>
    </w:rPr>
  </w:style>
  <w:style w:type="character" w:customStyle="1" w:styleId="32">
    <w:name w:val="页脚 字符"/>
    <w:link w:val="13"/>
    <w:qFormat/>
    <w:locked/>
    <w:uiPriority w:val="99"/>
    <w:rPr>
      <w:sz w:val="18"/>
    </w:rPr>
  </w:style>
  <w:style w:type="character" w:customStyle="1" w:styleId="33">
    <w:name w:val="正文文本 字符"/>
    <w:link w:val="8"/>
    <w:qFormat/>
    <w:locked/>
    <w:uiPriority w:val="99"/>
    <w:rPr>
      <w:rFonts w:ascii="仿宋_GB2312" w:hAnsi="Times New Roman" w:eastAsia="仿宋_GB2312"/>
      <w:sz w:val="24"/>
    </w:rPr>
  </w:style>
  <w:style w:type="paragraph" w:customStyle="1" w:styleId="3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5">
    <w:name w:val="列表段落1"/>
    <w:basedOn w:val="1"/>
    <w:qFormat/>
    <w:uiPriority w:val="34"/>
    <w:pPr>
      <w:ind w:firstLine="420" w:firstLineChars="200"/>
    </w:pPr>
  </w:style>
  <w:style w:type="paragraph" w:customStyle="1" w:styleId="36">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78740913454944"/>
          <c:y val="0.166923585113411"/>
          <c:w val="0.889781922918667"/>
          <c:h val="0.739132349702709"/>
        </c:manualLayout>
      </c:layout>
      <c:barChart>
        <c:barDir val="col"/>
        <c:grouping val="clustered"/>
        <c:varyColors val="0"/>
        <c:ser>
          <c:idx val="0"/>
          <c:order val="0"/>
          <c:tx>
            <c:strRef>
              <c:f>Sheet1!$B$1</c:f>
              <c:strCache>
                <c:ptCount val="1"/>
                <c:pt idx="0">
                  <c:v>2019</c:v>
                </c:pt>
              </c:strCache>
            </c:strRef>
          </c:tx>
          <c:spPr>
            <a:solidFill>
              <a:schemeClr val="accent6">
                <a:lumMod val="40000"/>
                <a:lumOff val="60000"/>
              </a:schemeClr>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0</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0</c:v>
                </c:pt>
                <c:pt idx="1">
                  <c:v>0</c:v>
                </c:pt>
              </c:numCache>
            </c:numRef>
          </c:val>
        </c:ser>
        <c:ser>
          <c:idx val="1"/>
          <c:order val="1"/>
          <c:tx>
            <c:strRef>
              <c:f>Sheet1!$C$1</c:f>
              <c:strCache>
                <c:ptCount val="1"/>
                <c:pt idx="0">
                  <c:v>2020年</c:v>
                </c:pt>
              </c:strCache>
            </c:strRef>
          </c:tx>
          <c:spPr>
            <a:solidFill>
              <a:schemeClr val="accent6">
                <a:lumMod val="75000"/>
              </a:schemeClr>
            </a:solidFill>
            <a:ln>
              <a:noFill/>
            </a:ln>
            <a:effectLst/>
          </c:spPr>
          <c:invertIfNegative val="0"/>
          <c:dPt>
            <c:idx val="1"/>
            <c:invertIfNegative val="0"/>
            <c:bubble3D val="0"/>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275.37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275.37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137.21</c:v>
                </c:pt>
                <c:pt idx="1">
                  <c:v>137.21</c:v>
                </c:pt>
              </c:numCache>
            </c:numRef>
          </c:val>
        </c:ser>
        <c:dLbls>
          <c:showLegendKey val="0"/>
          <c:showVal val="1"/>
          <c:showCatName val="0"/>
          <c:showSerName val="0"/>
          <c:showPercent val="0"/>
          <c:showBubbleSize val="0"/>
        </c:dLbls>
        <c:gapWidth val="219"/>
        <c:overlap val="-27"/>
        <c:axId val="664181426"/>
        <c:axId val="958763901"/>
      </c:barChart>
      <c:catAx>
        <c:axId val="6641814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763901"/>
        <c:crosses val="autoZero"/>
        <c:auto val="1"/>
        <c:lblAlgn val="ctr"/>
        <c:lblOffset val="100"/>
        <c:noMultiLvlLbl val="0"/>
      </c:catAx>
      <c:valAx>
        <c:axId val="9587639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418142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spPr/>
          <c:explosion val="0"/>
          <c:dPt>
            <c:idx val="0"/>
            <c:bubble3D val="0"/>
            <c:spPr>
              <a:solidFill>
                <a:schemeClr val="accent6">
                  <a:lumMod val="75000"/>
                </a:schemeClr>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100</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6">
                  <a:lumMod val="75000"/>
                </a:schemeClr>
              </a:solidFill>
              <a:ln w="19050">
                <a:solidFill>
                  <a:schemeClr val="lt1"/>
                </a:solidFill>
              </a:ln>
              <a:effectLst/>
            </c:spPr>
          </c:dPt>
          <c:dPt>
            <c:idx val="1"/>
            <c:bubble3D val="0"/>
            <c:spPr>
              <a:solidFill>
                <a:schemeClr val="accent6">
                  <a:lumMod val="40000"/>
                  <a:lumOff val="6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Pt>
            <c:idx val="4"/>
            <c:bubble3D val="0"/>
            <c:spPr>
              <a:solidFill>
                <a:schemeClr val="accent5">
                  <a:lumMod val="60000"/>
                </a:schemeClr>
              </a:solidFill>
              <a:ln w="19050">
                <a:solidFill>
                  <a:schemeClr val="lt1"/>
                </a:solidFill>
              </a:ln>
              <a:effectLst/>
            </c:spPr>
          </c:dPt>
          <c:dLbls>
            <c:dLbl>
              <c:idx val="1"/>
              <c:delete val="1"/>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4"/>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0.00%</c:formatCode>
                <c:ptCount val="5"/>
                <c:pt idx="0">
                  <c:v>1</c:v>
                </c:pt>
                <c:pt idx="1">
                  <c:v>0</c:v>
                </c:pt>
                <c:pt idx="2" c:formatCode="General">
                  <c:v>0</c:v>
                </c:pt>
                <c:pt idx="3" c:formatCode="General">
                  <c:v>0</c:v>
                </c:pt>
                <c:pt idx="4"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91320490669616"/>
          <c:y val="0.0927596674218148"/>
          <c:w val="0.877557927623015"/>
          <c:h val="0.823527616722612"/>
        </c:manualLayout>
      </c:layout>
      <c:barChart>
        <c:barDir val="col"/>
        <c:grouping val="clustered"/>
        <c:varyColors val="0"/>
        <c:ser>
          <c:idx val="0"/>
          <c:order val="0"/>
          <c:tx>
            <c:strRef>
              <c:f>Sheet1!$B$1</c:f>
              <c:strCache>
                <c:ptCount val="1"/>
                <c:pt idx="0">
                  <c:v>2019年</c:v>
                </c:pt>
              </c:strCache>
            </c:strRef>
          </c:tx>
          <c:spPr>
            <a:solidFill>
              <a:schemeClr val="accent6">
                <a:lumMod val="40000"/>
                <a:lumOff val="6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0</c:v>
                </c:pt>
                <c:pt idx="1">
                  <c:v>0</c:v>
                </c:pt>
              </c:numCache>
            </c:numRef>
          </c:val>
        </c:ser>
        <c:ser>
          <c:idx val="1"/>
          <c:order val="1"/>
          <c:tx>
            <c:strRef>
              <c:f>Sheet1!$C$1</c:f>
              <c:strCache>
                <c:ptCount val="1"/>
                <c:pt idx="0">
                  <c:v>2020年</c:v>
                </c:pt>
              </c:strCache>
            </c:strRef>
          </c:tx>
          <c:spPr>
            <a:solidFill>
              <a:schemeClr val="accent6">
                <a:lumMod val="75000"/>
              </a:schemeClr>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138.16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138.16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138.16</c:v>
                </c:pt>
                <c:pt idx="1">
                  <c:v>138.16</c:v>
                </c:pt>
              </c:numCache>
            </c:numRef>
          </c:val>
        </c:ser>
        <c:dLbls>
          <c:showLegendKey val="0"/>
          <c:showVal val="1"/>
          <c:showCatName val="0"/>
          <c:showSerName val="0"/>
          <c:showPercent val="0"/>
          <c:showBubbleSize val="0"/>
        </c:dLbls>
        <c:gapWidth val="219"/>
        <c:overlap val="-27"/>
        <c:axId val="432792099"/>
        <c:axId val="260797716"/>
      </c:barChart>
      <c:catAx>
        <c:axId val="4327920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0797716"/>
        <c:crosses val="autoZero"/>
        <c:auto val="1"/>
        <c:lblAlgn val="ctr"/>
        <c:lblOffset val="100"/>
        <c:noMultiLvlLbl val="0"/>
      </c:catAx>
      <c:valAx>
        <c:axId val="2607977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27920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73577066888243"/>
          <c:y val="0.110813330226055"/>
          <c:w val="0.888713474588007"/>
          <c:h val="0.723933814961547"/>
        </c:manualLayout>
      </c:layout>
      <c:barChart>
        <c:barDir val="col"/>
        <c:grouping val="clustered"/>
        <c:varyColors val="0"/>
        <c:ser>
          <c:idx val="0"/>
          <c:order val="0"/>
          <c:tx>
            <c:strRef>
              <c:f>Sheet1!$B$1</c:f>
              <c:strCache>
                <c:ptCount val="1"/>
                <c:pt idx="0">
                  <c:v>一般公共预算财政拨款</c:v>
                </c:pt>
              </c:strCache>
            </c:strRef>
          </c:tx>
          <c:spPr>
            <a:solidFill>
              <a:schemeClr val="accent6">
                <a:lumMod val="75000"/>
              </a:schemeClr>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137.21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138.16</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137.21</c:v>
                </c:pt>
                <c:pt idx="1">
                  <c:v>138.16</c:v>
                </c:pt>
              </c:numCache>
            </c:numRef>
          </c:val>
        </c:ser>
        <c:dLbls>
          <c:showLegendKey val="0"/>
          <c:showVal val="1"/>
          <c:showCatName val="0"/>
          <c:showSerName val="0"/>
          <c:showPercent val="0"/>
          <c:showBubbleSize val="0"/>
        </c:dLbls>
        <c:gapWidth val="219"/>
        <c:overlap val="-27"/>
        <c:axId val="375212140"/>
        <c:axId val="980762572"/>
      </c:barChart>
      <c:catAx>
        <c:axId val="3752121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0762572"/>
        <c:crosses val="autoZero"/>
        <c:auto val="1"/>
        <c:lblAlgn val="ctr"/>
        <c:lblOffset val="100"/>
        <c:noMultiLvlLbl val="0"/>
      </c:catAx>
      <c:valAx>
        <c:axId val="9807625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52121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6">
                  <a:lumMod val="75000"/>
                </a:schemeClr>
              </a:solidFill>
              <a:ln w="19050">
                <a:solidFill>
                  <a:schemeClr val="lt1"/>
                </a:solidFill>
              </a:ln>
              <a:effectLst/>
            </c:spPr>
          </c:dPt>
          <c:dPt>
            <c:idx val="1"/>
            <c:bubble3D val="0"/>
            <c:spPr>
              <a:solidFill>
                <a:schemeClr val="accent6">
                  <a:lumMod val="40000"/>
                  <a:lumOff val="60000"/>
                </a:schemeClr>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208类</c:v>
                </c:pt>
                <c:pt idx="1">
                  <c:v>210类</c:v>
                </c:pt>
                <c:pt idx="2">
                  <c:v>213类</c:v>
                </c:pt>
                <c:pt idx="3">
                  <c:v>221类</c:v>
                </c:pt>
              </c:strCache>
            </c:strRef>
          </c:cat>
          <c:val>
            <c:numRef>
              <c:f>Sheet1!$B$2:$B$5</c:f>
              <c:numCache>
                <c:formatCode>0.00%</c:formatCode>
                <c:ptCount val="4"/>
                <c:pt idx="0">
                  <c:v>0.137</c:v>
                </c:pt>
                <c:pt idx="1">
                  <c:v>0.086</c:v>
                </c:pt>
                <c:pt idx="2">
                  <c:v>0.663</c:v>
                </c:pt>
                <c:pt idx="3">
                  <c:v>0.114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19</TotalTime>
  <ScaleCrop>false</ScaleCrop>
  <LinksUpToDate>false</LinksUpToDate>
  <CharactersWithSpaces>10536</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LENOVO</cp:lastModifiedBy>
  <cp:lastPrinted>2021-07-29T03:56:00Z</cp:lastPrinted>
  <dcterms:modified xsi:type="dcterms:W3CDTF">2021-09-15T08:53:04Z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y fmtid="{D5CDD505-2E9C-101B-9397-08002B2CF9AE}" pid="3" name="ICV">
    <vt:lpwstr>52D91D5755C544FEA2A7ACBF5A9043B6</vt:lpwstr>
  </property>
</Properties>
</file>