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sz w:val="32"/>
          <w:szCs w:val="32"/>
          <w:highlight w:val="none"/>
          <w:lang w:eastAsia="zh-Hans"/>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eastAsia="zh-Hans"/>
        </w:rPr>
        <w:t>3</w:t>
      </w:r>
    </w:p>
    <w:p>
      <w:pPr>
        <w:jc w:val="both"/>
        <w:rPr>
          <w:rFonts w:ascii="方正小标宋简体" w:hAnsi="黑体" w:eastAsia="方正小标宋简体"/>
          <w:sz w:val="84"/>
          <w:szCs w:val="84"/>
          <w:highlight w:val="none"/>
        </w:rPr>
      </w:pPr>
    </w:p>
    <w:p>
      <w:pPr>
        <w:jc w:val="both"/>
        <w:rPr>
          <w:rFonts w:ascii="方正小标宋简体" w:hAnsi="黑体" w:eastAsia="方正小标宋简体"/>
          <w:sz w:val="84"/>
          <w:szCs w:val="84"/>
          <w:highlight w:val="none"/>
        </w:rPr>
      </w:pP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p>
    <w:p>
      <w:pPr>
        <w:jc w:val="center"/>
        <w:rPr>
          <w:rFonts w:hint="default" w:ascii="方正小标宋简体" w:hAnsi="黑体" w:eastAsia="方正小标宋简体"/>
          <w:sz w:val="84"/>
          <w:szCs w:val="84"/>
          <w:highlight w:val="none"/>
          <w:lang w:val="en-US" w:eastAsia="zh-CN"/>
        </w:rPr>
      </w:pPr>
      <w:r>
        <w:rPr>
          <w:rFonts w:hint="eastAsia" w:ascii="方正小标宋简体" w:hAnsi="黑体" w:eastAsia="方正小标宋简体"/>
          <w:sz w:val="84"/>
          <w:szCs w:val="84"/>
          <w:highlight w:val="none"/>
          <w:lang w:eastAsia="zh-CN"/>
        </w:rPr>
        <w:t>退役军人服务</w:t>
      </w:r>
      <w:r>
        <w:rPr>
          <w:rFonts w:hint="eastAsia" w:ascii="方正小标宋简体" w:hAnsi="黑体" w:eastAsia="方正小标宋简体"/>
          <w:sz w:val="84"/>
          <w:szCs w:val="84"/>
          <w:highlight w:val="none"/>
          <w:lang w:val="en-US" w:eastAsia="zh-CN"/>
        </w:rPr>
        <w:t>中心</w:t>
      </w: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lang w:eastAsia="zh-CN"/>
        </w:rPr>
        <w:t>2025</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Hans"/>
        </w:rPr>
        <w:t>单位</w:t>
      </w:r>
      <w:r>
        <w:rPr>
          <w:rFonts w:hint="eastAsia" w:ascii="方正小标宋简体" w:hAnsi="黑体" w:eastAsia="方正小标宋简体"/>
          <w:sz w:val="84"/>
          <w:szCs w:val="84"/>
          <w:highlight w:val="none"/>
        </w:rPr>
        <w:t>预算</w:t>
      </w:r>
    </w:p>
    <w:p>
      <w:pPr>
        <w:ind w:firstLine="2200" w:firstLineChars="500"/>
        <w:rPr>
          <w:rFonts w:hint="eastAsia" w:ascii="方正小标宋简体" w:eastAsia="方正小标宋简体"/>
          <w:sz w:val="44"/>
          <w:szCs w:val="44"/>
          <w:highlight w:val="none"/>
        </w:rPr>
      </w:pPr>
    </w:p>
    <w:p>
      <w:pPr>
        <w:ind w:firstLine="2200" w:firstLineChars="500"/>
        <w:rPr>
          <w:rFonts w:hint="eastAsia" w:ascii="方正小标宋简体" w:eastAsia="方正小标宋简体"/>
          <w:sz w:val="44"/>
          <w:szCs w:val="44"/>
          <w:highlight w:val="none"/>
        </w:rPr>
      </w:pPr>
    </w:p>
    <w:p>
      <w:pPr>
        <w:ind w:firstLine="2200" w:firstLineChars="500"/>
        <w:rPr>
          <w:rFonts w:hint="eastAsia" w:ascii="方正小标宋简体" w:eastAsia="方正小标宋简体"/>
          <w:sz w:val="44"/>
          <w:szCs w:val="44"/>
          <w:highlight w:val="none"/>
        </w:rPr>
      </w:pPr>
    </w:p>
    <w:p>
      <w:pPr>
        <w:ind w:firstLine="2200" w:firstLineChars="500"/>
        <w:rPr>
          <w:rFonts w:hint="eastAsia" w:ascii="方正小标宋简体" w:eastAsia="方正小标宋简体"/>
          <w:sz w:val="44"/>
          <w:szCs w:val="44"/>
          <w:highlight w:val="none"/>
        </w:rPr>
      </w:pPr>
    </w:p>
    <w:p>
      <w:pPr>
        <w:ind w:firstLine="2200" w:firstLineChars="500"/>
        <w:rPr>
          <w:rFonts w:hint="eastAsia" w:ascii="方正小标宋简体" w:eastAsia="方正小标宋简体"/>
          <w:sz w:val="44"/>
          <w:szCs w:val="44"/>
          <w:highlight w:val="none"/>
        </w:rPr>
      </w:pPr>
    </w:p>
    <w:p>
      <w:pPr>
        <w:ind w:firstLine="2200" w:firstLineChars="500"/>
        <w:rPr>
          <w:rFonts w:hint="eastAsia" w:ascii="方正小标宋简体" w:eastAsia="方正小标宋简体"/>
          <w:sz w:val="44"/>
          <w:szCs w:val="44"/>
          <w:highlight w:val="none"/>
        </w:rPr>
      </w:pPr>
    </w:p>
    <w:p>
      <w:pPr>
        <w:ind w:firstLine="2200" w:firstLineChars="500"/>
        <w:rPr>
          <w:rFonts w:hint="eastAsia" w:ascii="方正小标宋简体" w:eastAsia="方正小标宋简体"/>
          <w:sz w:val="44"/>
          <w:szCs w:val="44"/>
          <w:highlight w:val="none"/>
        </w:rPr>
      </w:pPr>
    </w:p>
    <w:p>
      <w:pPr>
        <w:ind w:firstLine="2200" w:firstLineChars="500"/>
        <w:rPr>
          <w:rFonts w:hint="eastAsia" w:ascii="方正小标宋简体" w:eastAsia="方正小标宋简体"/>
          <w:sz w:val="44"/>
          <w:szCs w:val="44"/>
          <w:highlight w:val="none"/>
        </w:rPr>
      </w:pPr>
    </w:p>
    <w:p>
      <w:pPr>
        <w:ind w:firstLine="2200" w:firstLineChars="500"/>
        <w:rPr>
          <w:rFonts w:hint="eastAsia" w:ascii="方正小标宋简体" w:eastAsia="方正小标宋简体"/>
          <w:sz w:val="44"/>
          <w:szCs w:val="44"/>
          <w:highlight w:val="none"/>
        </w:rPr>
      </w:pPr>
    </w:p>
    <w:p>
      <w:pPr>
        <w:ind w:firstLine="2200" w:firstLineChars="500"/>
        <w:rPr>
          <w:rFonts w:hint="eastAsia" w:ascii="方正小标宋简体" w:eastAsia="方正小标宋简体"/>
          <w:sz w:val="44"/>
          <w:szCs w:val="44"/>
          <w:highlight w:val="none"/>
        </w:rPr>
      </w:pPr>
    </w:p>
    <w:p>
      <w:pPr>
        <w:ind w:firstLine="2200" w:firstLineChars="500"/>
        <w:rPr>
          <w:rFonts w:hint="eastAsia" w:ascii="方正小标宋简体" w:eastAsia="方正小标宋简体"/>
          <w:sz w:val="44"/>
          <w:szCs w:val="44"/>
          <w:highlight w:val="none"/>
        </w:rPr>
      </w:pPr>
    </w:p>
    <w:p>
      <w:pPr>
        <w:jc w:val="center"/>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目录</w:t>
      </w:r>
    </w:p>
    <w:p>
      <w:pPr>
        <w:pStyle w:val="4"/>
        <w:ind w:left="0" w:leftChars="0" w:firstLine="0" w:firstLineChars="0"/>
        <w:rPr>
          <w:rFonts w:hint="eastAsia" w:ascii="方正小标宋简体" w:eastAsia="方正小标宋简体"/>
          <w:sz w:val="44"/>
          <w:szCs w:val="44"/>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退役军人服务中心</w:t>
      </w:r>
      <w:r>
        <w:rPr>
          <w:rFonts w:hint="eastAsia" w:ascii="黑体" w:hAnsi="黑体" w:eastAsia="黑体"/>
          <w:sz w:val="32"/>
          <w:szCs w:val="32"/>
          <w:highlight w:val="none"/>
        </w:rPr>
        <w:t>概况</w:t>
      </w:r>
    </w:p>
    <w:p>
      <w:pPr>
        <w:rPr>
          <w:rFonts w:hint="eastAsia" w:ascii="仿宋_GB2312" w:hAnsi="仿宋" w:eastAsia="仿宋_GB2312"/>
          <w:sz w:val="32"/>
          <w:szCs w:val="32"/>
          <w:highlight w:val="none"/>
        </w:rPr>
      </w:pPr>
      <w:r>
        <w:rPr>
          <w:rFonts w:hint="eastAsia" w:ascii="仿宋_GB2312" w:hAnsi="仿宋" w:eastAsia="仿宋_GB2312"/>
          <w:sz w:val="32"/>
          <w:szCs w:val="32"/>
          <w:highlight w:val="none"/>
        </w:rPr>
        <w:t>一、基本职能及主要工作</w:t>
      </w:r>
    </w:p>
    <w:p>
      <w:pPr>
        <w:rPr>
          <w:rFonts w:hint="eastAsia"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pPr>
        <w:jc w:val="both"/>
        <w:rPr>
          <w:rFonts w:hint="eastAsia"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退役军人服务中心2025</w:t>
      </w:r>
      <w:r>
        <w:rPr>
          <w:rFonts w:hint="eastAsia" w:ascii="黑体" w:hAnsi="黑体" w:eastAsia="黑体"/>
          <w:sz w:val="32"/>
          <w:szCs w:val="32"/>
          <w:highlight w:val="none"/>
        </w:rPr>
        <w:t>年部门预算表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收入总表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支出总表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pPr>
        <w:rPr>
          <w:rFonts w:hint="default" w:ascii="仿宋_GB2312" w:hAnsi="黑体" w:eastAsia="仿宋_GB2312"/>
          <w:sz w:val="32"/>
          <w:szCs w:val="32"/>
          <w:highlight w:val="none"/>
          <w:lang w:eastAsia="zh-Hans"/>
        </w:rPr>
      </w:pPr>
      <w:r>
        <w:rPr>
          <w:rFonts w:hint="eastAsia" w:ascii="仿宋_GB2312" w:hAnsi="黑体" w:eastAsia="仿宋_GB2312"/>
          <w:sz w:val="32"/>
          <w:szCs w:val="32"/>
          <w:highlight w:val="none"/>
        </w:rPr>
        <w:t>本部分</w:t>
      </w:r>
      <w:r>
        <w:rPr>
          <w:rFonts w:ascii="仿宋_GB2312" w:hAnsi="黑体" w:eastAsia="仿宋_GB2312"/>
          <w:sz w:val="32"/>
          <w:szCs w:val="32"/>
          <w:highlight w:val="none"/>
        </w:rPr>
        <w:t>为预算管理一体化系统中导出的</w:t>
      </w:r>
      <w:r>
        <w:rPr>
          <w:rFonts w:hint="default" w:ascii="仿宋_GB2312" w:hAnsi="黑体" w:eastAsia="仿宋_GB2312"/>
          <w:sz w:val="32"/>
          <w:szCs w:val="32"/>
          <w:highlight w:val="none"/>
        </w:rPr>
        <w:t>1</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lang w:val="en-US" w:eastAsia="zh-Hans"/>
        </w:rPr>
        <w:t>张报表</w:t>
      </w:r>
      <w:r>
        <w:rPr>
          <w:rFonts w:hint="default" w:ascii="仿宋_GB2312" w:hAnsi="黑体" w:eastAsia="仿宋_GB2312"/>
          <w:sz w:val="32"/>
          <w:szCs w:val="32"/>
          <w:highlight w:val="none"/>
          <w:lang w:eastAsia="zh-Hans"/>
        </w:rPr>
        <w:t>。</w:t>
      </w:r>
    </w:p>
    <w:p>
      <w:pPr>
        <w:rPr>
          <w:rFonts w:hint="eastAsia"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退役军人服务中心2025</w:t>
      </w:r>
      <w:r>
        <w:rPr>
          <w:rFonts w:hint="eastAsia" w:ascii="黑体" w:hAnsi="黑体" w:eastAsia="黑体"/>
          <w:sz w:val="32"/>
          <w:szCs w:val="32"/>
          <w:highlight w:val="none"/>
        </w:rPr>
        <w:t>年部门预算情况说明</w:t>
      </w:r>
    </w:p>
    <w:p>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pPr>
        <w:jc w:val="both"/>
        <w:rPr>
          <w:rFonts w:hint="eastAsia" w:ascii="黑体" w:hAnsi="黑体" w:eastAsia="黑体"/>
          <w:sz w:val="32"/>
          <w:szCs w:val="32"/>
          <w:highlight w:val="none"/>
        </w:rPr>
      </w:pPr>
    </w:p>
    <w:p>
      <w:pPr>
        <w:jc w:val="both"/>
        <w:rPr>
          <w:rFonts w:hint="eastAsia" w:ascii="黑体" w:hAnsi="黑体" w:eastAsia="黑体"/>
          <w:sz w:val="32"/>
          <w:szCs w:val="32"/>
          <w:highlight w:val="none"/>
        </w:rPr>
      </w:pPr>
    </w:p>
    <w:p>
      <w:pPr>
        <w:jc w:val="center"/>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退役军人服务中心</w:t>
      </w:r>
      <w:r>
        <w:rPr>
          <w:rFonts w:hint="eastAsia" w:ascii="黑体" w:hAnsi="黑体" w:eastAsia="黑体"/>
          <w:sz w:val="32"/>
          <w:szCs w:val="32"/>
          <w:highlight w:val="none"/>
        </w:rPr>
        <w:t>概况</w:t>
      </w:r>
    </w:p>
    <w:p>
      <w:pPr>
        <w:spacing w:line="576" w:lineRule="exact"/>
        <w:ind w:firstLine="643" w:firstLineChars="200"/>
        <w:rPr>
          <w:rFonts w:hint="eastAsia" w:ascii="黑体" w:hAnsi="黑体" w:eastAsia="黑体" w:cs="黑体"/>
          <w:b/>
          <w:bCs/>
          <w:sz w:val="32"/>
          <w:szCs w:val="32"/>
        </w:rPr>
      </w:pPr>
      <w:r>
        <w:rPr>
          <w:rFonts w:hint="eastAsia" w:ascii="仿宋_GB2312" w:hAnsi="仿宋" w:eastAsia="仿宋_GB2312"/>
          <w:b/>
          <w:bCs/>
          <w:sz w:val="32"/>
          <w:szCs w:val="32"/>
          <w:highlight w:val="none"/>
        </w:rPr>
        <w:t>一、</w:t>
      </w:r>
      <w:r>
        <w:rPr>
          <w:rFonts w:hint="eastAsia" w:ascii="仿宋_GB2312" w:hAnsi="仿宋" w:eastAsia="仿宋_GB2312"/>
          <w:b/>
          <w:bCs/>
          <w:sz w:val="32"/>
          <w:szCs w:val="32"/>
          <w:highlight w:val="none"/>
          <w:lang w:eastAsia="zh-CN"/>
        </w:rPr>
        <w:t>单位</w:t>
      </w:r>
      <w:r>
        <w:rPr>
          <w:rFonts w:hint="eastAsia" w:ascii="仿宋_GB2312" w:hAnsi="仿宋" w:eastAsia="仿宋_GB2312"/>
          <w:b/>
          <w:bCs/>
          <w:sz w:val="32"/>
          <w:szCs w:val="32"/>
          <w:highlight w:val="none"/>
        </w:rPr>
        <w:t>职能</w:t>
      </w:r>
    </w:p>
    <w:p>
      <w:pPr>
        <w:spacing w:line="576"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 xml:space="preserve">1. </w:t>
      </w:r>
      <w:r>
        <w:rPr>
          <w:rFonts w:hint="eastAsia" w:ascii="仿宋_GB2312" w:hAnsi="仿宋" w:eastAsia="仿宋_GB2312"/>
          <w:color w:val="auto"/>
          <w:sz w:val="32"/>
          <w:szCs w:val="32"/>
          <w:lang w:eastAsia="zh-CN"/>
        </w:rPr>
        <w:t>协调落实就业创业、优抚帮扶、权益保障、数据信息采集等有关政策措施，组织实施退股军人适应性培训和职业教育、技能培训；</w:t>
      </w:r>
    </w:p>
    <w:p>
      <w:pPr>
        <w:spacing w:line="576"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2.协助做好我县境内单位退役军人组织关系、行政关系、供给关系转接和档案移交，退役军人党员摸排登记等工作，协助基层党组织做好党员教育管理服务工作；</w:t>
      </w:r>
    </w:p>
    <w:p>
      <w:pPr>
        <w:spacing w:line="576"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3.协助做好退役军人和其他优抚对象来访接待、来信办理、网上信访和电话信访，上级领导、部门交办信访事项，落实信访事项首办责任，依法及时就地化解矛盾问题，开展心理疏导、法律服务等工作；</w:t>
      </w:r>
    </w:p>
    <w:p>
      <w:pPr>
        <w:spacing w:line="576"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4.搭建政策咨询、沟通联系、学习交流等活动场所，多渠道筹措资金，针对性、常态化开展精准帮扶援助、化解矛盾和思想稳定工作，把党和政府的关怀温暖传递给每一个退役军人；</w:t>
      </w:r>
    </w:p>
    <w:p>
      <w:pPr>
        <w:spacing w:line="576"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5.全面摸清、动态掌握、及时报告有关政策落实、工作开展，以及我县退役军人和其他优抚对象思想状况、家庭生活情况；</w:t>
      </w:r>
    </w:p>
    <w:p>
      <w:pPr>
        <w:spacing w:line="576"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6.当好退役军人的服务员、宣传员、信息员、联络员，就近听取诉求，突出面对面、个性化、一对一服务，主动登门入户宣讲政策、解决问题，送立功喜报、悬挂光荣牌；</w:t>
      </w:r>
    </w:p>
    <w:p>
      <w:pPr>
        <w:spacing w:line="576"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7.结合“八一”、春节、9.30等节日，以及退役军人和其他优抚对象出现重大变故等情况，及时开展走访慰问；</w:t>
      </w:r>
    </w:p>
    <w:p>
      <w:pPr>
        <w:keepNext w:val="0"/>
        <w:keepLines w:val="0"/>
        <w:pageBreakBefore w:val="0"/>
        <w:widowControl w:val="0"/>
        <w:numPr>
          <w:ilvl w:val="0"/>
          <w:numId w:val="0"/>
        </w:numPr>
        <w:suppressLineNumbers w:val="0"/>
        <w:kinsoku/>
        <w:wordWrap/>
        <w:overflowPunct/>
        <w:topLinePunct w:val="0"/>
        <w:autoSpaceDE w:val="0"/>
        <w:autoSpaceDN/>
        <w:bidi w:val="0"/>
        <w:spacing w:line="576" w:lineRule="exact"/>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8.完成本县级退役军人事务部门交办的其他事务性工作</w:t>
      </w:r>
    </w:p>
    <w:p>
      <w:pPr>
        <w:ind w:firstLine="643" w:firstLineChars="200"/>
        <w:jc w:val="both"/>
        <w:rPr>
          <w:rFonts w:hint="eastAsia" w:ascii="仿宋_GB2312" w:hAnsi="仿宋" w:eastAsia="仿宋_GB2312"/>
          <w:b/>
          <w:bCs/>
          <w:sz w:val="32"/>
          <w:szCs w:val="32"/>
          <w:highlight w:val="none"/>
        </w:rPr>
      </w:pPr>
      <w:r>
        <w:rPr>
          <w:rFonts w:hint="eastAsia" w:ascii="仿宋_GB2312" w:hAnsi="仿宋" w:eastAsia="仿宋_GB2312"/>
          <w:b/>
          <w:bCs/>
          <w:sz w:val="32"/>
          <w:szCs w:val="32"/>
          <w:highlight w:val="none"/>
        </w:rPr>
        <w:t>二、</w:t>
      </w:r>
      <w:r>
        <w:rPr>
          <w:rFonts w:hint="eastAsia" w:ascii="仿宋_GB2312" w:hAnsi="仿宋" w:eastAsia="仿宋_GB2312"/>
          <w:b/>
          <w:bCs/>
          <w:sz w:val="32"/>
          <w:szCs w:val="32"/>
          <w:highlight w:val="none"/>
          <w:lang w:eastAsia="zh-CN"/>
        </w:rPr>
        <w:t>2025</w:t>
      </w:r>
      <w:r>
        <w:rPr>
          <w:rFonts w:hint="eastAsia" w:ascii="仿宋_GB2312" w:hAnsi="仿宋" w:eastAsia="仿宋_GB2312"/>
          <w:b/>
          <w:bCs/>
          <w:sz w:val="32"/>
          <w:szCs w:val="32"/>
          <w:highlight w:val="none"/>
        </w:rPr>
        <w:t>年重点工作</w:t>
      </w:r>
    </w:p>
    <w:p>
      <w:pPr>
        <w:pStyle w:val="4"/>
        <w:keepNext w:val="0"/>
        <w:keepLines w:val="0"/>
        <w:pageBreakBefore w:val="0"/>
        <w:widowControl w:val="0"/>
        <w:kinsoku/>
        <w:wordWrap/>
        <w:overflowPunct w:val="0"/>
        <w:topLinePunct w:val="0"/>
        <w:autoSpaceDE/>
        <w:autoSpaceDN/>
        <w:bidi w:val="0"/>
        <w:adjustRightInd w:val="0"/>
        <w:snapToGrid w:val="0"/>
        <w:spacing w:after="0" w:line="576" w:lineRule="exact"/>
        <w:ind w:left="0" w:lef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w:t>
      </w:r>
      <w:r>
        <w:rPr>
          <w:rFonts w:hint="default" w:ascii="仿宋_GB2312" w:hAnsi="仿宋_GB2312" w:eastAsia="仿宋_GB2312" w:cs="仿宋_GB2312"/>
          <w:kern w:val="2"/>
          <w:sz w:val="32"/>
          <w:szCs w:val="32"/>
          <w:lang w:val="en-US" w:eastAsia="zh-CN" w:bidi="ar-SA"/>
        </w:rPr>
        <w:t>全面加强政治理论学习</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组织广大干部职工深入学习贯彻落实习近平总书记关于退役军人工作和双拥工作重要论述，切实把</w:t>
      </w:r>
      <w:r>
        <w:rPr>
          <w:rFonts w:hint="eastAsia" w:ascii="仿宋_GB2312" w:hAnsi="仿宋_GB2312" w:eastAsia="仿宋_GB2312" w:cs="仿宋_GB2312"/>
          <w:kern w:val="2"/>
          <w:sz w:val="32"/>
          <w:szCs w:val="32"/>
          <w:lang w:val="en-US" w:eastAsia="zh-CN" w:bidi="ar-SA"/>
        </w:rPr>
        <w:t>习近平新时代中国特色社会主义思想、</w:t>
      </w:r>
      <w:r>
        <w:rPr>
          <w:rFonts w:hint="default" w:ascii="仿宋_GB2312" w:hAnsi="仿宋_GB2312" w:eastAsia="仿宋_GB2312" w:cs="仿宋_GB2312"/>
          <w:kern w:val="2"/>
          <w:sz w:val="32"/>
          <w:szCs w:val="32"/>
          <w:lang w:val="en-US" w:eastAsia="zh-CN" w:bidi="ar-SA"/>
        </w:rPr>
        <w:t>党的二十大精神</w:t>
      </w:r>
      <w:r>
        <w:rPr>
          <w:rFonts w:hint="eastAsia" w:ascii="仿宋_GB2312" w:hAnsi="仿宋_GB2312" w:eastAsia="仿宋_GB2312" w:cs="仿宋_GB2312"/>
          <w:kern w:val="2"/>
          <w:sz w:val="32"/>
          <w:szCs w:val="32"/>
          <w:lang w:val="en-US" w:eastAsia="zh-CN" w:bidi="ar-SA"/>
        </w:rPr>
        <w:t>、党纪党规</w:t>
      </w:r>
      <w:r>
        <w:rPr>
          <w:rFonts w:hint="default" w:ascii="仿宋_GB2312" w:hAnsi="仿宋_GB2312" w:eastAsia="仿宋_GB2312" w:cs="仿宋_GB2312"/>
          <w:kern w:val="2"/>
          <w:sz w:val="32"/>
          <w:szCs w:val="32"/>
          <w:lang w:val="en-US" w:eastAsia="zh-CN" w:bidi="ar-SA"/>
        </w:rPr>
        <w:t>作为当前及今后一段时期的首要政治任务，增强“四个意识”、坚定“四个自信”、做到“两个维护”，对标对表省、州、县部署要求，做实退役军人工作和双拥工作。</w:t>
      </w:r>
    </w:p>
    <w:p>
      <w:pPr>
        <w:pStyle w:val="4"/>
        <w:keepNext w:val="0"/>
        <w:keepLines w:val="0"/>
        <w:pageBreakBefore w:val="0"/>
        <w:widowControl w:val="0"/>
        <w:numPr>
          <w:ilvl w:val="0"/>
          <w:numId w:val="0"/>
        </w:numPr>
        <w:kinsoku/>
        <w:wordWrap/>
        <w:overflowPunct w:val="0"/>
        <w:topLinePunct w:val="0"/>
        <w:autoSpaceDE/>
        <w:autoSpaceDN/>
        <w:bidi w:val="0"/>
        <w:adjustRightInd w:val="0"/>
        <w:snapToGrid w:val="0"/>
        <w:spacing w:after="0" w:line="576"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en-US" w:eastAsia="zh-CN" w:bidi="ar-SA"/>
        </w:rPr>
        <w:t>全面加强政策</w:t>
      </w:r>
      <w:r>
        <w:rPr>
          <w:rFonts w:hint="eastAsia" w:ascii="仿宋_GB2312" w:hAnsi="仿宋_GB2312" w:eastAsia="仿宋_GB2312" w:cs="仿宋_GB2312"/>
          <w:kern w:val="2"/>
          <w:sz w:val="32"/>
          <w:szCs w:val="32"/>
          <w:lang w:val="en-US" w:eastAsia="zh-CN" w:bidi="ar-SA"/>
        </w:rPr>
        <w:t>法规</w:t>
      </w:r>
      <w:r>
        <w:rPr>
          <w:rFonts w:hint="default" w:ascii="仿宋_GB2312" w:hAnsi="仿宋_GB2312" w:eastAsia="仿宋_GB2312" w:cs="仿宋_GB2312"/>
          <w:kern w:val="2"/>
          <w:sz w:val="32"/>
          <w:szCs w:val="32"/>
          <w:lang w:val="en-US" w:eastAsia="zh-CN" w:bidi="ar-SA"/>
        </w:rPr>
        <w:t>落实</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认真组织开展《退役军人保障法》</w:t>
      </w:r>
      <w:r>
        <w:rPr>
          <w:rFonts w:hint="eastAsia" w:ascii="仿宋_GB2312" w:hAnsi="仿宋_GB2312" w:eastAsia="仿宋_GB2312" w:cs="仿宋_GB2312"/>
          <w:kern w:val="2"/>
          <w:sz w:val="32"/>
          <w:szCs w:val="32"/>
          <w:lang w:val="en-US" w:eastAsia="zh-CN" w:bidi="ar-SA"/>
        </w:rPr>
        <w:t>等法律法规的</w:t>
      </w:r>
      <w:r>
        <w:rPr>
          <w:rFonts w:hint="default" w:ascii="仿宋_GB2312" w:hAnsi="仿宋_GB2312" w:eastAsia="仿宋_GB2312" w:cs="仿宋_GB2312"/>
          <w:kern w:val="2"/>
          <w:sz w:val="32"/>
          <w:szCs w:val="32"/>
          <w:lang w:val="en-US" w:eastAsia="zh-CN" w:bidi="ar-SA"/>
        </w:rPr>
        <w:t>学习宣传、贯彻实施</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扎实做好退役军人政治思想、就业安置、服务保障、教育管理、权益维护等各项工作</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切实解决好退役军人和其他优抚对象期盼解决的重点难点问题。引导非公企业、非公组织广泛开展社会化拥军活动。进</w:t>
      </w:r>
      <w:r>
        <w:rPr>
          <w:rFonts w:hint="eastAsia" w:ascii="仿宋_GB2312" w:hAnsi="仿宋_GB2312" w:eastAsia="仿宋_GB2312" w:cs="仿宋_GB2312"/>
          <w:kern w:val="2"/>
          <w:sz w:val="32"/>
          <w:szCs w:val="32"/>
          <w:lang w:val="en-US" w:eastAsia="zh-CN" w:bidi="ar-SA"/>
        </w:rPr>
        <w:t>一</w:t>
      </w:r>
      <w:r>
        <w:rPr>
          <w:rFonts w:hint="default" w:ascii="仿宋_GB2312" w:hAnsi="仿宋_GB2312" w:eastAsia="仿宋_GB2312" w:cs="仿宋_GB2312"/>
          <w:kern w:val="2"/>
          <w:sz w:val="32"/>
          <w:szCs w:val="32"/>
          <w:lang w:val="en-US" w:eastAsia="zh-CN" w:bidi="ar-SA"/>
        </w:rPr>
        <w:t xml:space="preserve">步拓宽优待证使用场景，拓展社会化拥军领域和内容，丰富社会化拥军企业目录，推出一批"拥军示范店”。 </w:t>
      </w:r>
    </w:p>
    <w:p>
      <w:pPr>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en-US" w:eastAsia="zh-CN" w:bidi="ar-SA"/>
        </w:rPr>
        <w:t>推进双拥共建呈现</w:t>
      </w:r>
      <w:r>
        <w:rPr>
          <w:rFonts w:hint="eastAsia" w:ascii="仿宋_GB2312" w:hAnsi="仿宋_GB2312" w:eastAsia="仿宋_GB2312" w:cs="仿宋_GB2312"/>
          <w:kern w:val="2"/>
          <w:sz w:val="32"/>
          <w:szCs w:val="32"/>
          <w:lang w:val="en-US" w:eastAsia="zh-CN" w:bidi="ar-SA"/>
        </w:rPr>
        <w:t>新局。</w:t>
      </w:r>
      <w:r>
        <w:rPr>
          <w:rFonts w:hint="default" w:ascii="仿宋_GB2312" w:hAnsi="仿宋_GB2312" w:eastAsia="仿宋_GB2312" w:cs="仿宋_GB2312"/>
          <w:kern w:val="2"/>
          <w:sz w:val="32"/>
          <w:szCs w:val="32"/>
          <w:lang w:val="en-US" w:eastAsia="zh-CN" w:bidi="ar-SA"/>
        </w:rPr>
        <w:t>建立健全双拥工作体系，完善军地共建工作制度，切实推动落实军地互提需求、互办实事的“双清单”</w:t>
      </w:r>
      <w:r>
        <w:rPr>
          <w:rFonts w:hint="eastAsia" w:ascii="仿宋_GB2312" w:hAnsi="仿宋_GB2312" w:eastAsia="仿宋_GB2312" w:cs="仿宋_GB2312"/>
          <w:kern w:val="2"/>
          <w:sz w:val="32"/>
          <w:szCs w:val="32"/>
          <w:lang w:val="en-US" w:eastAsia="zh-CN" w:bidi="ar-SA"/>
        </w:rPr>
        <w:t>制度。</w:t>
      </w:r>
      <w:r>
        <w:rPr>
          <w:rFonts w:hint="default" w:ascii="仿宋_GB2312" w:hAnsi="仿宋_GB2312" w:eastAsia="仿宋_GB2312" w:cs="仿宋_GB2312"/>
          <w:kern w:val="2"/>
          <w:sz w:val="32"/>
          <w:szCs w:val="32"/>
          <w:lang w:val="en-US" w:eastAsia="zh-CN" w:bidi="ar-SA"/>
        </w:rPr>
        <w:t>积极协调解决军地难点问题，不断增进军政军民团结</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切实利用好春节、八一</w:t>
      </w:r>
      <w:r>
        <w:rPr>
          <w:rFonts w:hint="eastAsia" w:ascii="仿宋_GB2312" w:hAnsi="仿宋_GB2312" w:eastAsia="仿宋_GB2312" w:cs="仿宋_GB2312"/>
          <w:kern w:val="2"/>
          <w:sz w:val="32"/>
          <w:szCs w:val="32"/>
          <w:lang w:val="en-US" w:eastAsia="zh-CN" w:bidi="ar-SA"/>
        </w:rPr>
        <w:t>、9.30</w:t>
      </w:r>
      <w:r>
        <w:rPr>
          <w:rFonts w:hint="default" w:ascii="仿宋_GB2312" w:hAnsi="仿宋_GB2312" w:eastAsia="仿宋_GB2312" w:cs="仿宋_GB2312"/>
          <w:kern w:val="2"/>
          <w:sz w:val="32"/>
          <w:szCs w:val="32"/>
          <w:lang w:val="en-US" w:eastAsia="zh-CN" w:bidi="ar-SA"/>
        </w:rPr>
        <w:t>等重要时间节点，常态化开展双拥共建活动</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创新工作亮点，加强双拥宣传，积极营造浓厚的“军爱民，民拥军”社会氛围，为</w:t>
      </w:r>
      <w:r>
        <w:rPr>
          <w:rFonts w:hint="eastAsia" w:ascii="仿宋_GB2312" w:hAnsi="仿宋_GB2312" w:eastAsia="仿宋_GB2312" w:cs="仿宋_GB2312"/>
          <w:kern w:val="2"/>
          <w:sz w:val="32"/>
          <w:szCs w:val="32"/>
          <w:lang w:val="en-US" w:eastAsia="zh-CN" w:bidi="ar-SA"/>
        </w:rPr>
        <w:t>阿坝州创建全国</w:t>
      </w:r>
      <w:r>
        <w:rPr>
          <w:rFonts w:hint="default" w:ascii="仿宋_GB2312" w:hAnsi="仿宋_GB2312" w:eastAsia="仿宋_GB2312" w:cs="仿宋_GB2312"/>
          <w:kern w:val="2"/>
          <w:sz w:val="32"/>
          <w:szCs w:val="32"/>
          <w:lang w:val="en-US" w:eastAsia="zh-CN" w:bidi="ar-SA"/>
        </w:rPr>
        <w:t>第十二届双拥模范</w:t>
      </w:r>
      <w:r>
        <w:rPr>
          <w:rFonts w:hint="eastAsia" w:ascii="仿宋_GB2312" w:hAnsi="仿宋_GB2312" w:eastAsia="仿宋_GB2312" w:cs="仿宋_GB2312"/>
          <w:kern w:val="2"/>
          <w:sz w:val="32"/>
          <w:szCs w:val="32"/>
          <w:lang w:val="en-US" w:eastAsia="zh-CN" w:bidi="ar-SA"/>
        </w:rPr>
        <w:t>城添砖加瓦</w:t>
      </w:r>
      <w:r>
        <w:rPr>
          <w:rFonts w:hint="default" w:ascii="仿宋_GB2312" w:hAnsi="仿宋_GB2312" w:eastAsia="仿宋_GB2312" w:cs="仿宋_GB2312"/>
          <w:kern w:val="2"/>
          <w:sz w:val="32"/>
          <w:szCs w:val="32"/>
          <w:lang w:val="en-US" w:eastAsia="zh-CN" w:bidi="ar-SA"/>
        </w:rPr>
        <w:t>。</w:t>
      </w:r>
    </w:p>
    <w:p>
      <w:pPr>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1.本部门机构</w:t>
      </w:r>
    </w:p>
    <w:p>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本部门为内设机构 1 个。</w:t>
      </w:r>
    </w:p>
    <w:p>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2.人员情况</w:t>
      </w:r>
    </w:p>
    <w:p>
      <w:pPr>
        <w:ind w:firstLine="640" w:firstLineChars="200"/>
        <w:jc w:val="both"/>
        <w:rPr>
          <w:rFonts w:hint="eastAsia" w:ascii="黑体" w:hAnsi="黑体" w:eastAsia="黑体"/>
          <w:sz w:val="32"/>
          <w:szCs w:val="32"/>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仿宋_GB2312" w:eastAsia="仿宋_GB2312"/>
          <w:sz w:val="32"/>
          <w:szCs w:val="32"/>
          <w:shd w:val="clear" w:color="auto" w:fill="FFFFFF"/>
          <w:lang w:val="en-US" w:eastAsia="zh-CN"/>
        </w:rPr>
        <w:t>总编制5名,年末实有事业人员4名。</w:t>
      </w:r>
    </w:p>
    <w:p>
      <w:pPr>
        <w:jc w:val="both"/>
        <w:rPr>
          <w:rFonts w:hint="eastAsia" w:ascii="黑体" w:hAnsi="黑体" w:eastAsia="黑体"/>
          <w:sz w:val="32"/>
          <w:szCs w:val="32"/>
          <w:highlight w:val="none"/>
        </w:rPr>
      </w:pPr>
    </w:p>
    <w:p>
      <w:pPr>
        <w:jc w:val="center"/>
        <w:rPr>
          <w:rFonts w:hint="eastAsia"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退役军人服务中心2025</w:t>
      </w:r>
      <w:r>
        <w:rPr>
          <w:rFonts w:hint="eastAsia" w:ascii="黑体" w:hAnsi="黑体" w:eastAsia="黑体"/>
          <w:sz w:val="32"/>
          <w:szCs w:val="32"/>
          <w:highlight w:val="none"/>
        </w:rPr>
        <w:t>年部门预算表</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rPr>
        <w:t>部门收支总表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86"/>
        <w:gridCol w:w="1457"/>
        <w:gridCol w:w="4720"/>
        <w:gridCol w:w="29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94"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13"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665"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26"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7" w:hRule="atLeast"/>
        </w:trPr>
        <w:tc>
          <w:tcPr>
            <w:tcW w:w="2308"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2691"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79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1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66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02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一、一般公共预算拨款收入 </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92.86</w:t>
            </w: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一、一般公共服务支出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二、政府性基金预算拨款收入 </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二、外交支出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三、国有资本经营预算拨款收入 </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三、国防支出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四、事业收入 </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四、公共安全支出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五、事业单位经营收入 </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五、教育支出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 xml:space="preserve">六、其他收入 </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六、科学技术支出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七、文化旅游体育与传媒支出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八、社会保障和就业支出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79.29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九、社会保险基金支出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十、卫生健康支出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十一、节能环保支出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十二、城乡社区支出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十三、农林水支出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十四、交通运输支出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十五、资源勘探工业信息等支出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十六、商业服务业等支出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十七、金融支出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十八、援助其他地区支出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十九、自然资源海洋气象等支出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二十、住房保障支出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7.87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二十一、粮油物资储备支出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二十二、国有资本经营预算支出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二十三、灾害防治及应急管理支出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二十四、预备费</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二十五、其他支出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二十六、转移性支出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二十七、债务还本支出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二十八、债务付息支出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二十九、债务发行费用支出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lang w:val="en-US" w:eastAsia="zh-CN" w:bidi="ar"/>
              </w:rPr>
              <w:t>三十、抗疫特别国债安排的支出</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7"/>
                <w:lang w:val="en-US" w:eastAsia="zh-CN" w:bidi="ar"/>
              </w:rPr>
              <w:t>本 年 收 入 合 计</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92.86</w:t>
            </w:r>
          </w:p>
        </w:tc>
        <w:tc>
          <w:tcPr>
            <w:tcW w:w="166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7"/>
                <w:lang w:val="en-US" w:eastAsia="zh-CN" w:bidi="ar"/>
              </w:rPr>
              <w:t>本 年 支 出 合 计</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92.86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七、用事业基金弥补收支差额</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三十一、事业单位结余分配 </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八、上年结转</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其中：转入事业基金</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eastAsia" w:ascii="Hiragino Sans GB" w:hAnsi="Hiragino Sans GB" w:eastAsia="Hiragino Sans GB" w:cs="Hiragino Sans GB"/>
                <w:i w:val="0"/>
                <w:iCs w:val="0"/>
                <w:color w:val="000000"/>
                <w:sz w:val="18"/>
                <w:szCs w:val="18"/>
                <w:u w:val="none"/>
              </w:rPr>
            </w:pPr>
          </w:p>
        </w:tc>
        <w:tc>
          <w:tcPr>
            <w:tcW w:w="513" w:type="pct"/>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default" w:ascii="Hiragino Sans GB" w:hAnsi="Hiragino Sans GB" w:eastAsia="Hiragino Sans GB" w:cs="Hiragino Sans GB"/>
                <w:i w:val="0"/>
                <w:iCs w:val="0"/>
                <w:color w:val="000000"/>
                <w:sz w:val="18"/>
                <w:szCs w:val="18"/>
                <w:u w:val="none"/>
              </w:rPr>
            </w:pPr>
          </w:p>
        </w:tc>
        <w:tc>
          <w:tcPr>
            <w:tcW w:w="16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三十二、结转下年</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9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5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92.86</w:t>
            </w:r>
          </w:p>
        </w:tc>
        <w:tc>
          <w:tcPr>
            <w:tcW w:w="166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102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92.86</w:t>
            </w:r>
          </w:p>
        </w:tc>
      </w:tr>
    </w:tbl>
    <w:p>
      <w:pPr>
        <w:pStyle w:val="2"/>
        <w:rPr>
          <w:rFonts w:hint="eastAsia"/>
        </w:rPr>
      </w:pPr>
    </w:p>
    <w:p>
      <w:pPr>
        <w:numPr>
          <w:ilvl w:val="0"/>
          <w:numId w:val="1"/>
        </w:numPr>
        <w:ind w:left="210" w:leftChars="0" w:firstLineChars="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rPr>
        <w:t>部门收入总表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47"/>
        <w:gridCol w:w="1816"/>
        <w:gridCol w:w="1104"/>
        <w:gridCol w:w="724"/>
        <w:gridCol w:w="1420"/>
        <w:gridCol w:w="407"/>
        <w:gridCol w:w="724"/>
        <w:gridCol w:w="724"/>
        <w:gridCol w:w="724"/>
        <w:gridCol w:w="724"/>
        <w:gridCol w:w="724"/>
        <w:gridCol w:w="724"/>
        <w:gridCol w:w="29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152" w:type="pct"/>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90"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01"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4"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23"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152"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9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50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1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25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023"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用事业基金弥补收支差额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1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64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9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5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1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4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39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5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23"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1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6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9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92.86</w:t>
            </w: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18"/>
                <w:szCs w:val="18"/>
                <w:u w:val="none"/>
              </w:rPr>
            </w:pPr>
          </w:p>
        </w:tc>
        <w:tc>
          <w:tcPr>
            <w:tcW w:w="5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92.86</w:t>
            </w:r>
          </w:p>
        </w:tc>
        <w:tc>
          <w:tcPr>
            <w:tcW w:w="1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0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41"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39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92.86</w:t>
            </w: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5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92.86</w:t>
            </w:r>
          </w:p>
        </w:tc>
        <w:tc>
          <w:tcPr>
            <w:tcW w:w="1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2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1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318002</w:t>
            </w:r>
          </w:p>
        </w:tc>
        <w:tc>
          <w:tcPr>
            <w:tcW w:w="641"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退役军人服务中心</w:t>
            </w:r>
          </w:p>
        </w:tc>
        <w:tc>
          <w:tcPr>
            <w:tcW w:w="39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92.86</w:t>
            </w: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18"/>
                <w:szCs w:val="18"/>
                <w:u w:val="none"/>
              </w:rPr>
            </w:pPr>
          </w:p>
        </w:tc>
        <w:tc>
          <w:tcPr>
            <w:tcW w:w="5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92.86</w:t>
            </w:r>
          </w:p>
        </w:tc>
        <w:tc>
          <w:tcPr>
            <w:tcW w:w="1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02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numPr>
          <w:ilvl w:val="0"/>
          <w:numId w:val="0"/>
        </w:num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eastAsia="zh-CN"/>
        </w:rPr>
        <w:t>三、表</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部门</w:t>
      </w:r>
      <w:r>
        <w:rPr>
          <w:rFonts w:hint="eastAsia" w:ascii="仿宋_GB2312" w:hAnsi="仿宋" w:eastAsia="仿宋_GB2312"/>
          <w:sz w:val="32"/>
          <w:szCs w:val="32"/>
          <w:highlight w:val="none"/>
          <w:lang w:eastAsia="zh-CN"/>
        </w:rPr>
        <w:t>支出</w:t>
      </w:r>
      <w:r>
        <w:rPr>
          <w:rFonts w:hint="eastAsia" w:ascii="仿宋_GB2312" w:hAnsi="仿宋" w:eastAsia="仿宋_GB2312"/>
          <w:sz w:val="32"/>
          <w:szCs w:val="32"/>
          <w:highlight w:val="none"/>
        </w:rPr>
        <w:t>总表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7"/>
        <w:gridCol w:w="510"/>
        <w:gridCol w:w="519"/>
        <w:gridCol w:w="1290"/>
        <w:gridCol w:w="3444"/>
        <w:gridCol w:w="780"/>
        <w:gridCol w:w="1290"/>
        <w:gridCol w:w="1290"/>
        <w:gridCol w:w="1809"/>
        <w:gridCol w:w="26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258"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75"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455"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455"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38"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15"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58"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7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5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45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63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91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588"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45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21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27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5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5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91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8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8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5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21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7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5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5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91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8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21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92.86</w:t>
            </w:r>
          </w:p>
        </w:tc>
        <w:tc>
          <w:tcPr>
            <w:tcW w:w="12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92.86</w:t>
            </w:r>
          </w:p>
        </w:tc>
        <w:tc>
          <w:tcPr>
            <w:tcW w:w="4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213"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92.86</w:t>
            </w:r>
          </w:p>
        </w:tc>
        <w:tc>
          <w:tcPr>
            <w:tcW w:w="12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92.86</w:t>
            </w:r>
          </w:p>
        </w:tc>
        <w:tc>
          <w:tcPr>
            <w:tcW w:w="4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213"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退役军人服务中心</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92.86</w:t>
            </w:r>
          </w:p>
        </w:tc>
        <w:tc>
          <w:tcPr>
            <w:tcW w:w="12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92.86</w:t>
            </w:r>
          </w:p>
        </w:tc>
        <w:tc>
          <w:tcPr>
            <w:tcW w:w="45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318002</w:t>
            </w:r>
          </w:p>
        </w:tc>
        <w:tc>
          <w:tcPr>
            <w:tcW w:w="1213"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9.37</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9.37</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318002</w:t>
            </w:r>
          </w:p>
        </w:tc>
        <w:tc>
          <w:tcPr>
            <w:tcW w:w="1213"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5.25</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5.25</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318002</w:t>
            </w:r>
          </w:p>
        </w:tc>
        <w:tc>
          <w:tcPr>
            <w:tcW w:w="1213"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64.67</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64.67</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318002</w:t>
            </w:r>
          </w:p>
        </w:tc>
        <w:tc>
          <w:tcPr>
            <w:tcW w:w="1213"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4.59</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4.59</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8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318002</w:t>
            </w:r>
          </w:p>
        </w:tc>
        <w:tc>
          <w:tcPr>
            <w:tcW w:w="1213"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1.11</w:t>
            </w:r>
          </w:p>
        </w:tc>
        <w:tc>
          <w:tcPr>
            <w:tcW w:w="12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1.11</w:t>
            </w:r>
          </w:p>
        </w:tc>
        <w:tc>
          <w:tcPr>
            <w:tcW w:w="45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6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91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numPr>
          <w:ilvl w:val="0"/>
          <w:numId w:val="0"/>
        </w:numPr>
        <w:jc w:val="both"/>
        <w:rPr>
          <w:rFonts w:hint="eastAsia" w:ascii="仿宋_GB2312" w:hAnsi="仿宋" w:eastAsia="仿宋_GB2312"/>
          <w:sz w:val="32"/>
          <w:szCs w:val="32"/>
          <w:highlight w:val="none"/>
        </w:rPr>
      </w:pPr>
    </w:p>
    <w:p>
      <w:pPr>
        <w:numPr>
          <w:ilvl w:val="0"/>
          <w:numId w:val="0"/>
        </w:num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17"/>
        <w:gridCol w:w="910"/>
        <w:gridCol w:w="3158"/>
        <w:gridCol w:w="1417"/>
        <w:gridCol w:w="1593"/>
        <w:gridCol w:w="1820"/>
        <w:gridCol w:w="20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456" w:type="pct"/>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114"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0"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2"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42"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24"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45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3543"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1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2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11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0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6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64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72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92.86</w:t>
            </w:r>
          </w:p>
        </w:tc>
        <w:tc>
          <w:tcPr>
            <w:tcW w:w="111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92.86</w:t>
            </w: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92.86</w:t>
            </w: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92.86</w:t>
            </w: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一、上年结转</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79.29</w:t>
            </w: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79.29</w:t>
            </w: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14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5.70</w:t>
            </w: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2"/>
                <w:szCs w:val="22"/>
                <w:u w:val="none"/>
                <w:lang w:val="en-US" w:eastAsia="zh-CN" w:bidi="ar"/>
              </w:rPr>
              <w:t>5.70</w:t>
            </w: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7.87</w:t>
            </w: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7.87</w:t>
            </w: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35"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32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14" w:type="pct"/>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50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56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4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2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bl>
    <w:p>
      <w:pPr>
        <w:numPr>
          <w:ilvl w:val="0"/>
          <w:numId w:val="0"/>
        </w:numPr>
        <w:jc w:val="both"/>
        <w:rPr>
          <w:rFonts w:hint="eastAsia" w:ascii="仿宋_GB2312" w:hAnsi="仿宋" w:eastAsia="仿宋_GB2312"/>
          <w:sz w:val="32"/>
          <w:szCs w:val="32"/>
          <w:highlight w:val="none"/>
        </w:rPr>
      </w:pPr>
    </w:p>
    <w:p>
      <w:pPr>
        <w:numPr>
          <w:ilvl w:val="0"/>
          <w:numId w:val="2"/>
        </w:numPr>
        <w:jc w:val="both"/>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Hans"/>
        </w:rPr>
        <w:t>表</w:t>
      </w:r>
      <w:r>
        <w:rPr>
          <w:rFonts w:hint="eastAsia" w:ascii="仿宋_GB2312" w:hAnsi="仿宋" w:eastAsia="仿宋_GB2312"/>
          <w:sz w:val="32"/>
          <w:szCs w:val="32"/>
          <w:highlight w:val="none"/>
          <w:lang w:val="en-US" w:eastAsia="zh-CN"/>
        </w:rPr>
        <w:t>5财政拨款支出预算表（部门经济分类科目）</w:t>
      </w:r>
    </w:p>
    <w:p>
      <w:pPr>
        <w:numPr>
          <w:ilvl w:val="0"/>
          <w:numId w:val="0"/>
        </w:num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drawing>
          <wp:inline distT="0" distB="0" distL="114300" distR="114300">
            <wp:extent cx="8836660" cy="4787265"/>
            <wp:effectExtent l="0" t="0" r="2540" b="13335"/>
            <wp:docPr id="1" name="图片 1" descr="中心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心2-1"/>
                    <pic:cNvPicPr>
                      <a:picLocks noChangeAspect="1"/>
                    </pic:cNvPicPr>
                  </pic:nvPicPr>
                  <pic:blipFill>
                    <a:blip r:embed="rId6"/>
                    <a:stretch>
                      <a:fillRect/>
                    </a:stretch>
                  </pic:blipFill>
                  <pic:spPr>
                    <a:xfrm>
                      <a:off x="0" y="0"/>
                      <a:ext cx="8836660" cy="4787265"/>
                    </a:xfrm>
                    <a:prstGeom prst="rect">
                      <a:avLst/>
                    </a:prstGeom>
                  </pic:spPr>
                </pic:pic>
              </a:graphicData>
            </a:graphic>
          </wp:inline>
        </w:drawing>
      </w:r>
    </w:p>
    <w:p>
      <w:pPr>
        <w:pStyle w:val="4"/>
        <w:ind w:left="0" w:leftChars="0" w:firstLine="0" w:firstLineChars="0"/>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6"/>
        <w:gridCol w:w="607"/>
        <w:gridCol w:w="607"/>
        <w:gridCol w:w="1528"/>
        <w:gridCol w:w="4425"/>
        <w:gridCol w:w="1069"/>
        <w:gridCol w:w="2336"/>
        <w:gridCol w:w="2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795"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77"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824" w:type="pct"/>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1"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795"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7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2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1001"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69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3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56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7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2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6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1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1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3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6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7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2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01"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6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1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1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3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56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92.86</w:t>
            </w:r>
          </w:p>
        </w:tc>
        <w:tc>
          <w:tcPr>
            <w:tcW w:w="23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92.86</w:t>
            </w:r>
          </w:p>
        </w:tc>
        <w:tc>
          <w:tcPr>
            <w:tcW w:w="10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5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92.86</w:t>
            </w:r>
          </w:p>
        </w:tc>
        <w:tc>
          <w:tcPr>
            <w:tcW w:w="23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92.86</w:t>
            </w:r>
          </w:p>
        </w:tc>
        <w:tc>
          <w:tcPr>
            <w:tcW w:w="10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5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Dialog . plain" w:hAnsi="Dialog . plain" w:eastAsia="Dialog . plain" w:cs="Dialog . plain"/>
                <w:i w:val="0"/>
                <w:iCs w:val="0"/>
                <w:color w:val="000000"/>
                <w:kern w:val="0"/>
                <w:sz w:val="22"/>
                <w:szCs w:val="22"/>
                <w:u w:val="none"/>
                <w:lang w:val="en-US" w:eastAsia="zh-CN" w:bidi="ar"/>
              </w:rPr>
              <w:t>退役军人服务中心</w:t>
            </w:r>
            <w:r>
              <w:rPr>
                <w:rFonts w:ascii="Dialog . plain" w:hAnsi="Dialog . plain" w:eastAsia="Dialog . plain" w:cs="Dialog . plain"/>
                <w:i w:val="0"/>
                <w:iCs w:val="0"/>
                <w:color w:val="000000"/>
                <w:kern w:val="0"/>
                <w:sz w:val="22"/>
                <w:szCs w:val="22"/>
                <w:u w:val="none"/>
                <w:lang w:val="en-US" w:eastAsia="zh-CN" w:bidi="ar"/>
              </w:rPr>
              <w:t>部门</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92.86</w:t>
            </w:r>
          </w:p>
        </w:tc>
        <w:tc>
          <w:tcPr>
            <w:tcW w:w="23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92.86</w:t>
            </w:r>
          </w:p>
        </w:tc>
        <w:tc>
          <w:tcPr>
            <w:tcW w:w="100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5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15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9.37</w:t>
            </w:r>
          </w:p>
        </w:tc>
        <w:tc>
          <w:tcPr>
            <w:tcW w:w="23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9.37</w:t>
            </w:r>
          </w:p>
        </w:tc>
        <w:tc>
          <w:tcPr>
            <w:tcW w:w="10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5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15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w:t>
            </w:r>
          </w:p>
        </w:tc>
        <w:tc>
          <w:tcPr>
            <w:tcW w:w="23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w:t>
            </w:r>
          </w:p>
        </w:tc>
        <w:tc>
          <w:tcPr>
            <w:tcW w:w="10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5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15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64.67</w:t>
            </w:r>
          </w:p>
        </w:tc>
        <w:tc>
          <w:tcPr>
            <w:tcW w:w="23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64.67</w:t>
            </w:r>
          </w:p>
        </w:tc>
        <w:tc>
          <w:tcPr>
            <w:tcW w:w="10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5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15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w:t>
            </w:r>
          </w:p>
        </w:tc>
        <w:tc>
          <w:tcPr>
            <w:tcW w:w="23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w:t>
            </w:r>
          </w:p>
        </w:tc>
        <w:tc>
          <w:tcPr>
            <w:tcW w:w="10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6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53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1560"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0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233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100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pStyle w:val="4"/>
        <w:ind w:left="0" w:leftChars="0" w:firstLine="0" w:firstLineChars="0"/>
        <w:rPr>
          <w:rFonts w:hint="eastAsia" w:ascii="方正小标宋简体" w:eastAsia="方正小标宋简体"/>
          <w:sz w:val="44"/>
          <w:szCs w:val="44"/>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tbl>
      <w:tblPr>
        <w:tblStyle w:val="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8"/>
        <w:gridCol w:w="737"/>
        <w:gridCol w:w="1949"/>
        <w:gridCol w:w="4881"/>
        <w:gridCol w:w="1952"/>
        <w:gridCol w:w="6"/>
        <w:gridCol w:w="1946"/>
        <w:gridCol w:w="19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17"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88"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22" w:type="pct"/>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89" w:type="pct"/>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89"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91" w:type="pct"/>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379" w:type="pct"/>
          <w:trHeight w:val="341" w:hRule="atLeast"/>
        </w:trPr>
        <w:tc>
          <w:tcPr>
            <w:tcW w:w="2928" w:type="pct"/>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91" w:type="pct"/>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928"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071"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517"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88"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722"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89"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89" w:type="pct"/>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691"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7" w:hRule="atLeast"/>
        </w:trPr>
        <w:tc>
          <w:tcPr>
            <w:tcW w:w="25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5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688"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722"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89"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89"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91"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7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8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92.86</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87.18</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92.86</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87.18</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318002</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退役军人服务中心</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92.86</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87.18</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87.18</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87.18</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3010205</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0.72</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0.72</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17.56</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17.56</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15.44</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15.44</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9.37</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9.37</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0.44</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0.44</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0.09</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7.87</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7.87</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0.77</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福利费</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92.86</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87.18</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92.86</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87.18</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318002</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退役军人服务中心</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92.86</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87.18</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2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737"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9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488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19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87.18</w:t>
            </w:r>
          </w:p>
        </w:tc>
        <w:tc>
          <w:tcPr>
            <w:tcW w:w="195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87.18</w:t>
            </w:r>
          </w:p>
        </w:tc>
        <w:tc>
          <w:tcPr>
            <w:tcW w:w="19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57" w:type="pct"/>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59" w:type="pct"/>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88" w:type="pct"/>
            <w:tcBorders>
              <w:top w:val="nil"/>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722" w:type="pct"/>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89" w:type="pct"/>
            <w:tcBorders>
              <w:top w:val="nil"/>
              <w:left w:val="single" w:color="FFFFFF" w:sz="4" w:space="0"/>
              <w:bottom w:val="nil"/>
              <w:right w:val="single" w:color="FFFFFF"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89" w:type="pct"/>
            <w:gridSpan w:val="2"/>
            <w:tcBorders>
              <w:top w:val="nil"/>
              <w:left w:val="single" w:color="FFFFFF" w:sz="4" w:space="0"/>
              <w:bottom w:val="nil"/>
              <w:right w:val="single" w:color="FFFFFF"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c>
          <w:tcPr>
            <w:tcW w:w="691" w:type="pct"/>
            <w:tcBorders>
              <w:top w:val="nil"/>
              <w:left w:val="single" w:color="FFFFFF" w:sz="4" w:space="0"/>
              <w:bottom w:val="nil"/>
              <w:right w:val="single" w:color="FFFFFF" w:sz="4"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r>
    </w:tbl>
    <w:p>
      <w:pPr>
        <w:jc w:val="both"/>
        <w:rPr>
          <w:rFonts w:hint="eastAsia" w:ascii="仿宋_GB2312" w:hAnsi="仿宋" w:eastAsia="仿宋_GB2312"/>
          <w:sz w:val="32"/>
          <w:szCs w:val="32"/>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0"/>
        <w:gridCol w:w="811"/>
        <w:gridCol w:w="816"/>
        <w:gridCol w:w="2044"/>
        <w:gridCol w:w="6424"/>
        <w:gridCol w:w="32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847"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152"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86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2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6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15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8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8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8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2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6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15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8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72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26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1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7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26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1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7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26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1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7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26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15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8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8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7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266"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default" w:ascii="Dialog . plain" w:hAnsi="Dialog . plain" w:eastAsia="Dialog . plain" w:cs="Dialog . plain"/>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r>
              <w:rPr>
                <w:rStyle w:val="20"/>
                <w:lang w:val="en-US" w:eastAsia="zh-CN" w:bidi="ar"/>
              </w:rPr>
              <w:t>此表无数据</w:t>
            </w:r>
          </w:p>
        </w:tc>
        <w:tc>
          <w:tcPr>
            <w:tcW w:w="115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eastAsia" w:ascii="仿宋_GB2312" w:hAnsi="仿宋" w:eastAsia="仿宋_GB2312"/>
          <w:sz w:val="32"/>
          <w:szCs w:val="32"/>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8"/>
        <w:gridCol w:w="3892"/>
        <w:gridCol w:w="743"/>
        <w:gridCol w:w="1602"/>
        <w:gridCol w:w="740"/>
        <w:gridCol w:w="1982"/>
        <w:gridCol w:w="1987"/>
        <w:gridCol w:w="19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810" w:type="pct"/>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62"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565"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61"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99"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00"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00"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189"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6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65"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661"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70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6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565"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6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69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70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70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3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56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6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372"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r>
              <w:rPr>
                <w:rStyle w:val="20"/>
                <w:lang w:val="en-US" w:eastAsia="zh-CN" w:bidi="ar"/>
              </w:rPr>
              <w:t>此表无数据</w:t>
            </w:r>
          </w:p>
        </w:tc>
        <w:tc>
          <w:tcPr>
            <w:tcW w:w="26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56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9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1372"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6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56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699"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7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70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437" w:type="pct"/>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372" w:type="pct"/>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62" w:type="pct"/>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65" w:type="pct"/>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61" w:type="pct"/>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99" w:type="pct"/>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700" w:type="pct"/>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700" w:type="pct"/>
            <w:tcBorders>
              <w:top w:val="nil"/>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r>
    </w:tbl>
    <w:p>
      <w:pPr>
        <w:jc w:val="both"/>
        <w:rPr>
          <w:rFonts w:hint="eastAsia" w:ascii="仿宋_GB2312" w:hAnsi="仿宋" w:eastAsia="仿宋_GB2312"/>
          <w:sz w:val="32"/>
          <w:szCs w:val="32"/>
          <w:highlight w:val="none"/>
        </w:rPr>
      </w:pPr>
    </w:p>
    <w:p>
      <w:pPr>
        <w:jc w:val="both"/>
        <w:rPr>
          <w:rFonts w:hint="eastAsia" w:ascii="仿宋_GB2312" w:hAnsi="仿宋" w:eastAsia="仿宋_GB2312"/>
          <w:sz w:val="32"/>
          <w:szCs w:val="32"/>
          <w:highlight w:val="none"/>
        </w:rPr>
      </w:pP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tbl>
      <w:tblPr>
        <w:tblStyle w:val="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8"/>
        <w:gridCol w:w="708"/>
        <w:gridCol w:w="720"/>
        <w:gridCol w:w="1544"/>
        <w:gridCol w:w="4769"/>
        <w:gridCol w:w="1901"/>
        <w:gridCol w:w="1901"/>
        <w:gridCol w:w="19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982"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71"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73"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982"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017"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5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8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7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7" w:hRule="atLeast"/>
        </w:trPr>
        <w:tc>
          <w:tcPr>
            <w:tcW w:w="25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5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53"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4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68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7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6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681"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681"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7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681"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ascii="Dialog . plain" w:hAnsi="Dialog . plain" w:eastAsia="Dialog . plain" w:cs="Dialog . plain"/>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r>
              <w:rPr>
                <w:rStyle w:val="21"/>
                <w:lang w:val="en-US" w:eastAsia="zh-CN" w:bidi="ar"/>
              </w:rPr>
              <w:t>此表无数据</w:t>
            </w: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67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eastAsia" w:ascii="仿宋_GB2312" w:hAnsi="仿宋" w:eastAsia="仿宋_GB2312"/>
          <w:sz w:val="32"/>
          <w:szCs w:val="32"/>
          <w:highlight w:val="none"/>
        </w:rPr>
      </w:pPr>
    </w:p>
    <w:p>
      <w:pPr>
        <w:numPr>
          <w:ilvl w:val="0"/>
          <w:numId w:val="3"/>
        </w:num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tbl>
      <w:tblPr>
        <w:tblStyle w:val="7"/>
        <w:tblW w:w="518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9"/>
        <w:gridCol w:w="2620"/>
        <w:gridCol w:w="923"/>
        <w:gridCol w:w="1206"/>
        <w:gridCol w:w="923"/>
        <w:gridCol w:w="2337"/>
        <w:gridCol w:w="2340"/>
        <w:gridCol w:w="28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398" w:type="pct"/>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14"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10"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314"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95"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95" w:type="pct"/>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0"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50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89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601"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0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9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1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0"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90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97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0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89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31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10"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31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79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79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97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89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1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41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31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79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79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9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891"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31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41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1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9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79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97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891"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ascii="Dialog . plain" w:hAnsi="Dialog . plain" w:eastAsia="Dialog . plain" w:cs="Dialog . plain"/>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此表无数据</w:t>
            </w:r>
          </w:p>
        </w:tc>
        <w:tc>
          <w:tcPr>
            <w:tcW w:w="3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41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3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7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7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97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tbl>
      <w:tblPr>
        <w:tblStyle w:val="7"/>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9"/>
        <w:gridCol w:w="720"/>
        <w:gridCol w:w="734"/>
        <w:gridCol w:w="1825"/>
        <w:gridCol w:w="4139"/>
        <w:gridCol w:w="1264"/>
        <w:gridCol w:w="1827"/>
        <w:gridCol w:w="29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2872" w:type="pct"/>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446"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45" w:type="pct"/>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035" w:type="pct"/>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2872"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127"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767"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4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45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44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4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03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3" w:hRule="atLeast"/>
        </w:trPr>
        <w:tc>
          <w:tcPr>
            <w:tcW w:w="25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5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5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4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45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44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4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03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2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5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6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459"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4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6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0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2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45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2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45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4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4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0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459" w:type="pct"/>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44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64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03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eastAsia" w:ascii="仿宋_GB2312" w:hAnsi="仿宋" w:eastAsia="仿宋_GB2312"/>
          <w:sz w:val="32"/>
          <w:szCs w:val="32"/>
          <w:highlight w:val="none"/>
        </w:rPr>
      </w:pPr>
    </w:p>
    <w:p>
      <w:pPr>
        <w:numPr>
          <w:ilvl w:val="0"/>
          <w:numId w:val="3"/>
        </w:numPr>
        <w:ind w:left="0" w:leftChars="0" w:firstLine="0" w:firstLineChars="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rPr>
        <w:t>部门预算项目绩效目标</w:t>
      </w:r>
    </w:p>
    <w:tbl>
      <w:tblPr>
        <w:tblStyle w:val="7"/>
        <w:tblpPr w:leftFromText="180" w:rightFromText="180" w:vertAnchor="text" w:horzAnchor="page" w:tblpX="1586" w:tblpY="623"/>
        <w:tblOverlap w:val="never"/>
        <w:tblW w:w="139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28"/>
        <w:gridCol w:w="2196"/>
        <w:gridCol w:w="683"/>
        <w:gridCol w:w="2111"/>
        <w:gridCol w:w="698"/>
        <w:gridCol w:w="1021"/>
        <w:gridCol w:w="1360"/>
        <w:gridCol w:w="748"/>
        <w:gridCol w:w="486"/>
        <w:gridCol w:w="457"/>
        <w:gridCol w:w="511"/>
        <w:gridCol w:w="2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atLeast"/>
        </w:trPr>
        <w:tc>
          <w:tcPr>
            <w:tcW w:w="13917"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黑体" w:eastAsia="黑体" w:cs="黑体"/>
                <w:b/>
                <w:bCs/>
                <w:i w:val="0"/>
                <w:iCs w:val="0"/>
                <w:color w:val="000000"/>
                <w:sz w:val="30"/>
                <w:szCs w:val="30"/>
                <w:u w:val="none"/>
              </w:rPr>
            </w:pPr>
            <w:r>
              <w:rPr>
                <w:rFonts w:hint="eastAsia" w:ascii="黑体" w:hAnsi="黑体" w:eastAsia="黑体" w:cs="黑体"/>
                <w:b/>
                <w:bCs/>
                <w:i w:val="0"/>
                <w:iCs w:val="0"/>
                <w:color w:val="000000"/>
                <w:kern w:val="0"/>
                <w:sz w:val="30"/>
                <w:szCs w:val="30"/>
                <w:u w:val="none"/>
                <w:lang w:val="en-US" w:eastAsia="zh-CN" w:bidi="ar"/>
              </w:rPr>
              <w:t>部门项目支出绩效目标表（2025年度）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62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196"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8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11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9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02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36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74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86"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5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51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018"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4"/>
                <w:szCs w:val="14"/>
                <w:u w:val="none"/>
              </w:rPr>
            </w:pPr>
            <w:r>
              <w:rPr>
                <w:rFonts w:hint="eastAsia" w:ascii="宋体" w:hAnsi="宋体" w:eastAsia="宋体" w:cs="宋体"/>
                <w:i w:val="0"/>
                <w:iCs w:val="0"/>
                <w:color w:val="000000"/>
                <w:kern w:val="0"/>
                <w:sz w:val="14"/>
                <w:szCs w:val="14"/>
                <w:u w:val="none"/>
                <w:lang w:val="en-US" w:eastAsia="zh-CN" w:bidi="ar"/>
              </w:rPr>
              <w:t>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162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单位名称</w:t>
            </w:r>
          </w:p>
        </w:tc>
        <w:tc>
          <w:tcPr>
            <w:tcW w:w="219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项目名称</w:t>
            </w:r>
          </w:p>
        </w:tc>
        <w:tc>
          <w:tcPr>
            <w:tcW w:w="68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预算数</w:t>
            </w:r>
          </w:p>
        </w:tc>
        <w:tc>
          <w:tcPr>
            <w:tcW w:w="211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年度目标</w:t>
            </w:r>
          </w:p>
        </w:tc>
        <w:tc>
          <w:tcPr>
            <w:tcW w:w="69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一级指标</w:t>
            </w:r>
          </w:p>
        </w:tc>
        <w:tc>
          <w:tcPr>
            <w:tcW w:w="102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二级指标</w:t>
            </w:r>
          </w:p>
        </w:tc>
        <w:tc>
          <w:tcPr>
            <w:tcW w:w="136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三级指标</w:t>
            </w:r>
          </w:p>
        </w:tc>
        <w:tc>
          <w:tcPr>
            <w:tcW w:w="74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指标性质</w:t>
            </w:r>
          </w:p>
        </w:tc>
        <w:tc>
          <w:tcPr>
            <w:tcW w:w="48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指标值</w:t>
            </w:r>
          </w:p>
        </w:tc>
        <w:tc>
          <w:tcPr>
            <w:tcW w:w="45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度量单位</w:t>
            </w:r>
          </w:p>
        </w:tc>
        <w:tc>
          <w:tcPr>
            <w:tcW w:w="51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权重</w:t>
            </w:r>
          </w:p>
        </w:tc>
        <w:tc>
          <w:tcPr>
            <w:tcW w:w="201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62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318-退役军人事务局部门</w:t>
            </w:r>
          </w:p>
        </w:tc>
        <w:tc>
          <w:tcPr>
            <w:tcW w:w="219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68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92.86</w:t>
            </w:r>
          </w:p>
        </w:tc>
        <w:tc>
          <w:tcPr>
            <w:tcW w:w="211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69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102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74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457"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51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201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6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318002-退役军人服务中心</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51322525R000012400304-年度考核奖</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51322525Y000012450128-日常公用经费(九寨沟)</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5.68</w:t>
            </w:r>
          </w:p>
        </w:tc>
        <w:tc>
          <w:tcPr>
            <w:tcW w:w="21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6"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21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42.69</w:t>
            </w:r>
          </w:p>
        </w:tc>
        <w:tc>
          <w:tcPr>
            <w:tcW w:w="21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51322525R000012772749-基础绩效奖</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15.86</w:t>
            </w:r>
          </w:p>
        </w:tc>
        <w:tc>
          <w:tcPr>
            <w:tcW w:w="21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1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bl>
    <w:p>
      <w:pPr>
        <w:pStyle w:val="2"/>
        <w:widowControl w:val="0"/>
        <w:numPr>
          <w:numId w:val="0"/>
        </w:numPr>
        <w:snapToGrid w:val="0"/>
        <w:spacing w:line="640" w:lineRule="exact"/>
        <w:jc w:val="both"/>
        <w:rPr>
          <w:rFonts w:hint="eastAsia"/>
          <w:lang w:eastAsia="zh-CN"/>
        </w:rPr>
      </w:pPr>
    </w:p>
    <w:p>
      <w:pPr>
        <w:rPr>
          <w:rFonts w:hint="eastAsia"/>
          <w:lang w:eastAsia="zh-CN"/>
        </w:rPr>
        <w:sectPr>
          <w:pgSz w:w="16838" w:h="11906" w:orient="landscape"/>
          <w:pgMar w:top="1800" w:right="1440" w:bottom="1800" w:left="1440" w:header="851" w:footer="992" w:gutter="0"/>
          <w:cols w:space="425" w:num="1"/>
          <w:docGrid w:type="lines" w:linePitch="312" w:charSpace="0"/>
        </w:sectPr>
      </w:pPr>
    </w:p>
    <w:p>
      <w:pPr>
        <w:rPr>
          <w:rFonts w:ascii="黑体" w:hAnsi="黑体" w:eastAsia="黑体"/>
          <w:sz w:val="32"/>
          <w:szCs w:val="32"/>
        </w:rPr>
      </w:pPr>
      <w:r>
        <w:rPr>
          <w:rFonts w:hint="eastAsia" w:ascii="黑体" w:hAnsi="黑体" w:eastAsia="黑体"/>
          <w:sz w:val="32"/>
          <w:szCs w:val="32"/>
        </w:rPr>
        <w:t>一、收支预算情况说明</w:t>
      </w:r>
    </w:p>
    <w:p>
      <w:pPr>
        <w:spacing w:line="560" w:lineRule="exact"/>
        <w:ind w:firstLine="64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按照综合预算的原则，</w:t>
      </w:r>
      <w:r>
        <w:rPr>
          <w:rFonts w:hint="eastAsia" w:ascii="仿宋_GB2312" w:eastAsia="仿宋_GB2312"/>
          <w:sz w:val="32"/>
          <w:szCs w:val="32"/>
          <w:shd w:val="clear" w:color="auto" w:fill="FFFFFF"/>
          <w:lang w:eastAsia="zh-CN"/>
        </w:rPr>
        <w:t>退役军人服务中心</w:t>
      </w:r>
      <w:r>
        <w:rPr>
          <w:rFonts w:hint="eastAsia" w:ascii="仿宋_GB2312" w:eastAsia="仿宋_GB2312"/>
          <w:sz w:val="32"/>
          <w:szCs w:val="32"/>
          <w:shd w:val="clear" w:color="auto" w:fill="FFFFFF"/>
        </w:rPr>
        <w:t>所有收入和支出均纳入部门预算管理。收入包括：一般公共预算拨款收入</w:t>
      </w:r>
      <w:r>
        <w:rPr>
          <w:rFonts w:hint="eastAsia" w:ascii="仿宋_GB2312" w:eastAsia="仿宋_GB2312"/>
          <w:sz w:val="32"/>
          <w:szCs w:val="32"/>
          <w:shd w:val="clear" w:color="auto" w:fill="FFFFFF"/>
          <w:lang w:eastAsia="zh-CN"/>
        </w:rPr>
        <w:t>，上年结转</w:t>
      </w:r>
      <w:r>
        <w:rPr>
          <w:rFonts w:hint="eastAsia" w:ascii="仿宋_GB2312" w:eastAsia="仿宋_GB2312"/>
          <w:sz w:val="32"/>
          <w:szCs w:val="32"/>
          <w:shd w:val="clear" w:color="auto" w:fill="FFFFFF"/>
        </w:rPr>
        <w:t>；支出包括：社会保障和就业支出、</w:t>
      </w:r>
      <w:r>
        <w:rPr>
          <w:rFonts w:hint="eastAsia" w:ascii="仿宋_GB2312" w:eastAsia="仿宋_GB2312"/>
          <w:sz w:val="32"/>
          <w:szCs w:val="32"/>
          <w:shd w:val="clear" w:color="auto" w:fill="FFFFFF"/>
          <w:lang w:eastAsia="zh-CN"/>
        </w:rPr>
        <w:t>卫生健康</w:t>
      </w:r>
      <w:r>
        <w:rPr>
          <w:rFonts w:hint="eastAsia" w:ascii="仿宋_GB2312" w:eastAsia="仿宋_GB2312"/>
          <w:sz w:val="32"/>
          <w:szCs w:val="32"/>
          <w:shd w:val="clear" w:color="auto" w:fill="FFFFFF"/>
        </w:rPr>
        <w:t>支出、住房保障支出。</w:t>
      </w:r>
    </w:p>
    <w:p>
      <w:pPr>
        <w:ind w:firstLine="643" w:firstLineChars="200"/>
        <w:rPr>
          <w:rFonts w:ascii="楷体" w:hAnsi="楷体" w:eastAsia="楷体"/>
          <w:b/>
          <w:sz w:val="32"/>
          <w:szCs w:val="32"/>
        </w:rPr>
      </w:pPr>
      <w:r>
        <w:rPr>
          <w:rFonts w:hint="eastAsia" w:ascii="楷体" w:hAnsi="楷体" w:eastAsia="楷体"/>
          <w:b/>
          <w:sz w:val="32"/>
          <w:szCs w:val="32"/>
        </w:rPr>
        <w:t>（一）收入预算情况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退役军人服务中心</w:t>
      </w:r>
      <w:r>
        <w:rPr>
          <w:rFonts w:hint="eastAsia" w:ascii="仿宋_GB2312" w:hAnsi="黑体" w:eastAsia="仿宋_GB2312"/>
          <w:sz w:val="32"/>
          <w:szCs w:val="32"/>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92.86</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92.86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上年结转0万元，占0%</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（二）支出预算情况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退役军人服务中心</w:t>
      </w:r>
      <w:r>
        <w:rPr>
          <w:rFonts w:hint="eastAsia" w:ascii="仿宋_GB2312" w:hAnsi="黑体" w:eastAsia="仿宋_GB2312"/>
          <w:sz w:val="32"/>
          <w:szCs w:val="32"/>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92.86</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92.86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eastAsia="仿宋_GB2312"/>
          <w:sz w:val="32"/>
          <w:szCs w:val="32"/>
          <w:shd w:val="clear" w:color="auto" w:fill="FFFFFF"/>
          <w:lang w:eastAsia="zh-CN"/>
        </w:rPr>
        <w:t>退役军人服务中心</w:t>
      </w: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年收支总预算</w:t>
      </w:r>
      <w:r>
        <w:rPr>
          <w:rFonts w:hint="eastAsia" w:ascii="仿宋_GB2312" w:eastAsia="仿宋_GB2312"/>
          <w:sz w:val="32"/>
          <w:szCs w:val="32"/>
          <w:lang w:val="en-US" w:eastAsia="zh-CN"/>
        </w:rPr>
        <w:t>92.86</w:t>
      </w:r>
      <w:r>
        <w:rPr>
          <w:rFonts w:hint="eastAsia" w:ascii="仿宋_GB2312" w:eastAsia="仿宋_GB2312"/>
          <w:sz w:val="32"/>
          <w:szCs w:val="32"/>
          <w:shd w:val="clear" w:color="auto" w:fill="FFFFFF"/>
        </w:rPr>
        <w:t>万元，</w:t>
      </w:r>
      <w:r>
        <w:rPr>
          <w:rFonts w:hint="eastAsia" w:ascii="仿宋_GB2312" w:hAnsi="黑体" w:eastAsia="仿宋_GB2312"/>
          <w:sz w:val="32"/>
          <w:szCs w:val="32"/>
        </w:rPr>
        <w:t>比</w:t>
      </w:r>
      <w:r>
        <w:rPr>
          <w:rFonts w:hint="eastAsia" w:ascii="仿宋_GB2312" w:hAnsi="黑体" w:eastAsia="仿宋_GB2312"/>
          <w:sz w:val="32"/>
          <w:szCs w:val="32"/>
          <w:lang w:eastAsia="zh-CN"/>
        </w:rPr>
        <w:t>2024</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17.83</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主要原因是是</w:t>
      </w:r>
      <w:r>
        <w:rPr>
          <w:rFonts w:hint="eastAsia" w:ascii="仿宋_GB2312" w:eastAsia="仿宋_GB2312"/>
          <w:color w:val="000000" w:themeColor="text1"/>
          <w:sz w:val="32"/>
          <w:szCs w:val="32"/>
          <w:shd w:val="clear" w:color="auto" w:fill="FFFFFF"/>
          <w14:textFill>
            <w14:solidFill>
              <w14:schemeClr w14:val="tx1"/>
            </w14:solidFill>
          </w14:textFill>
        </w:rPr>
        <w:t>人员变动以及根据部门年度工作计划，财政事务支出中其他财政事务支出有所增加</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92.86</w:t>
      </w:r>
      <w:r>
        <w:rPr>
          <w:rFonts w:hint="eastAsia" w:ascii="仿宋_GB2312" w:hAnsi="黑体" w:eastAsia="仿宋_GB2312"/>
          <w:sz w:val="32"/>
          <w:szCs w:val="32"/>
        </w:rPr>
        <w:t>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val="en-US" w:eastAsia="zh-CN"/>
        </w:rPr>
        <w:t>79.29</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5.70</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7.87</w:t>
      </w:r>
      <w:r>
        <w:rPr>
          <w:rFonts w:hint="eastAsia" w:ascii="仿宋_GB2312" w:hAnsi="黑体" w:eastAsia="仿宋_GB2312"/>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退役军人服务中心202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92.86</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17.83</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主要原因</w:t>
      </w:r>
      <w:r>
        <w:rPr>
          <w:rFonts w:hint="eastAsia" w:ascii="仿宋_GB2312" w:hAnsi="黑体" w:eastAsia="仿宋_GB2312"/>
          <w:sz w:val="32"/>
          <w:szCs w:val="32"/>
        </w:rPr>
        <w:t>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79.29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85.3</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5.70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6.1</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7.87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8.6</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1.社会保障和就业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9.37</w:t>
      </w:r>
      <w:r>
        <w:rPr>
          <w:rFonts w:hint="eastAsia" w:ascii="仿宋_GB2312" w:eastAsia="仿宋_GB2312"/>
          <w:sz w:val="32"/>
          <w:szCs w:val="32"/>
          <w:shd w:val="clear" w:color="auto" w:fill="FFFFFF"/>
        </w:rPr>
        <w:t>万元，主要用于：实施养老保险制度后，部门按规定由单位缴纳的基本养老保险费支出。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）机关事业单位职业年金缴费支出（</w:t>
      </w:r>
      <w:r>
        <w:rPr>
          <w:rFonts w:hint="eastAsia" w:ascii="仿宋_GB2312" w:eastAsia="仿宋_GB2312"/>
          <w:sz w:val="32"/>
          <w:szCs w:val="32"/>
          <w:shd w:val="clear" w:color="auto" w:fill="FFFFFF"/>
          <w:lang w:val="en-US" w:eastAsia="zh-CN"/>
        </w:rPr>
        <w:t>06</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5.25</w:t>
      </w:r>
      <w:r>
        <w:rPr>
          <w:rFonts w:hint="eastAsia" w:ascii="仿宋_GB2312" w:eastAsia="仿宋_GB2312"/>
          <w:sz w:val="32"/>
          <w:szCs w:val="32"/>
          <w:shd w:val="clear" w:color="auto" w:fill="FFFFFF"/>
        </w:rPr>
        <w:t>万元，主要用于：实施职业年金制度后，部门按规定由单位缴纳的职业年金支出。</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事业运行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50</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w:t>
      </w: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64.67</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事业单位的基本支出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4.</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事业单位医疗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:2025年预算数为4.59</w:t>
      </w:r>
      <w:r>
        <w:rPr>
          <w:rFonts w:hint="eastAsia" w:ascii="仿宋_GB2312" w:eastAsia="仿宋_GB2312"/>
          <w:sz w:val="32"/>
          <w:szCs w:val="32"/>
          <w:shd w:val="clear" w:color="auto" w:fill="FFFFFF"/>
        </w:rPr>
        <w:t>万元，主要用于：机关及事业单位基本医疗保险缴费支出。</w:t>
      </w:r>
    </w:p>
    <w:p>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其他行政事业单位医疗支出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99</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1.11</w:t>
      </w:r>
      <w:r>
        <w:rPr>
          <w:rFonts w:hint="eastAsia" w:ascii="仿宋_GB2312" w:eastAsia="仿宋_GB2312"/>
          <w:sz w:val="32"/>
          <w:szCs w:val="32"/>
          <w:shd w:val="clear" w:color="auto" w:fill="FFFFFF"/>
        </w:rPr>
        <w:t>万元，主要用于：机关及事业单位集中缴纳公务员医疗补助支出。</w:t>
      </w:r>
    </w:p>
    <w:p>
      <w:pPr>
        <w:pStyle w:val="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7.87</w:t>
      </w:r>
      <w:r>
        <w:rPr>
          <w:rFonts w:hint="eastAsia" w:ascii="仿宋_GB2312" w:eastAsia="仿宋_GB2312"/>
          <w:sz w:val="32"/>
          <w:szCs w:val="32"/>
          <w:shd w:val="clear" w:color="auto" w:fill="FFFFFF"/>
        </w:rPr>
        <w:t>万元，主要用于：按人力资源和社会保障部、财政部规定的基本工资和津贴补贴以及规定比例为职工缴纳的住房公积金支出。</w:t>
      </w:r>
    </w:p>
    <w:p>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退役军人服务中心202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92.86</w:t>
      </w:r>
      <w:r>
        <w:rPr>
          <w:rFonts w:hint="eastAsia" w:ascii="仿宋_GB2312" w:hAnsi="黑体" w:eastAsia="仿宋_GB2312"/>
          <w:sz w:val="32"/>
          <w:szCs w:val="32"/>
        </w:rPr>
        <w:t>万元，其中：</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人员经费</w:t>
      </w:r>
      <w:r>
        <w:rPr>
          <w:rFonts w:hint="eastAsia" w:ascii="仿宋_GB2312" w:hAnsi="黑体" w:eastAsia="仿宋_GB2312"/>
          <w:color w:val="000000" w:themeColor="text1"/>
          <w:sz w:val="32"/>
          <w:szCs w:val="32"/>
          <w:lang w:val="en-US" w:eastAsia="zh-CN"/>
          <w14:textFill>
            <w14:solidFill>
              <w14:schemeClr w14:val="tx1"/>
            </w14:solidFill>
          </w14:textFill>
        </w:rPr>
        <w:t>87.18</w:t>
      </w:r>
      <w:r>
        <w:rPr>
          <w:rFonts w:hint="eastAsia" w:ascii="仿宋_GB2312" w:hAnsi="黑体" w:eastAsia="仿宋_GB2312"/>
          <w:color w:val="000000" w:themeColor="text1"/>
          <w:sz w:val="32"/>
          <w:szCs w:val="32"/>
          <w14:textFill>
            <w14:solidFill>
              <w14:schemeClr w14:val="tx1"/>
            </w14:solidFill>
          </w14:textFill>
        </w:rPr>
        <w:t>万元，主要包括：基本工资、津贴补贴、奖金、社会保险缴费、离休费、住房公积金、福利费、工会经费、其他交通费用等支出。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5.68</w:t>
      </w:r>
      <w:r>
        <w:rPr>
          <w:rFonts w:hint="eastAsia" w:ascii="仿宋_GB2312" w:hAnsi="黑体" w:eastAsia="仿宋_GB2312"/>
          <w:sz w:val="32"/>
          <w:szCs w:val="32"/>
        </w:rPr>
        <w:t>万元，主要包活：办公费、印刷费、水费、电费、邮电费、物业管理费、差旅费、会议费、培训费、公务接待费、劳务费、公务用车运行维护费、</w:t>
      </w:r>
      <w:r>
        <w:rPr>
          <w:rFonts w:hint="eastAsia" w:ascii="仿宋_GB2312" w:eastAsia="仿宋_GB2312"/>
          <w:sz w:val="32"/>
          <w:szCs w:val="32"/>
          <w:shd w:val="clear" w:color="auto" w:fill="FFFFFF"/>
        </w:rPr>
        <w:t>其他商品和服务支出</w:t>
      </w:r>
      <w:r>
        <w:rPr>
          <w:rFonts w:hint="eastAsia" w:ascii="仿宋_GB2312" w:hAnsi="黑体" w:eastAsia="仿宋_GB2312"/>
          <w:sz w:val="32"/>
          <w:szCs w:val="32"/>
        </w:rPr>
        <w:t>等支出。</w:t>
      </w:r>
    </w:p>
    <w:p>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退役军人服务中心202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年“三公”经费财政拨款预算数</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万元，公务用车购置及运行维护费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万元,因公出国（境）经费0万元。</w:t>
      </w:r>
    </w:p>
    <w:p>
      <w:pPr>
        <w:spacing w:line="560" w:lineRule="exact"/>
        <w:ind w:firstLine="652"/>
        <w:rPr>
          <w:rFonts w:ascii="仿宋_GB2312" w:hAnsi="黑体" w:eastAsia="仿宋_GB2312"/>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4</w:t>
      </w:r>
      <w:r>
        <w:rPr>
          <w:rFonts w:hint="eastAsia" w:ascii="楷体" w:hAnsi="楷体" w:eastAsia="楷体"/>
          <w:b/>
          <w:sz w:val="32"/>
          <w:szCs w:val="32"/>
        </w:rPr>
        <w:t>年预算持平</w:t>
      </w: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w:t>
      </w:r>
      <w:r>
        <w:rPr>
          <w:rFonts w:hint="eastAsia" w:ascii="楷体" w:hAnsi="楷体" w:eastAsia="楷体"/>
          <w:b/>
          <w:sz w:val="32"/>
          <w:szCs w:val="32"/>
          <w:lang w:val="en-US" w:eastAsia="zh-CN"/>
        </w:rPr>
        <w:t>4</w:t>
      </w:r>
      <w:r>
        <w:rPr>
          <w:rFonts w:hint="eastAsia" w:ascii="楷体" w:hAnsi="楷体" w:eastAsia="楷体"/>
          <w:b/>
          <w:sz w:val="32"/>
          <w:szCs w:val="32"/>
        </w:rPr>
        <w:t>年预算持平。</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单位现有公务用车</w:t>
      </w:r>
      <w:r>
        <w:rPr>
          <w:rFonts w:hint="eastAsia" w:ascii="仿宋_GB2312" w:hAnsi="黑体" w:eastAsia="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辆，其中：轿车0辆，旅行车（含商务车）0辆，越野车</w:t>
      </w:r>
      <w:r>
        <w:rPr>
          <w:rFonts w:hint="eastAsia" w:ascii="仿宋_GB2312" w:hAnsi="黑体" w:eastAsia="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shd w:val="clear" w:color="auto" w:fill="FFFFFF"/>
          <w14:textFill>
            <w14:solidFill>
              <w14:schemeClr w14:val="tx1"/>
            </w14:solidFill>
          </w14:textFill>
        </w:rPr>
        <w:t>多功能乘用车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14:textFill>
            <w14:solidFill>
              <w14:schemeClr w14:val="tx1"/>
            </w14:solidFill>
          </w14:textFill>
        </w:rPr>
        <w:t>辆</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年安排公务用车运行维护费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万元，用于</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工作调研、脱贫攻坚、监督检查、农村综合改革、财政支出绩效评价</w:t>
      </w:r>
      <w:r>
        <w:rPr>
          <w:rFonts w:hint="eastAsia" w:ascii="仿宋_GB2312" w:hAnsi="黑体" w:eastAsia="仿宋_GB2312"/>
          <w:sz w:val="32"/>
          <w:szCs w:val="32"/>
        </w:rPr>
        <w:t>等工作开展。</w:t>
      </w:r>
    </w:p>
    <w:p>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退役军人服务中心202</w:t>
      </w:r>
      <w:r>
        <w:rPr>
          <w:rFonts w:hint="eastAsia" w:ascii="仿宋_GB2312" w:hAnsi="黑体" w:eastAsia="仿宋_GB2312"/>
          <w:sz w:val="32"/>
          <w:szCs w:val="32"/>
          <w:lang w:val="en-US" w:eastAsia="zh-CN"/>
        </w:rPr>
        <w:t>5</w:t>
      </w:r>
      <w:r>
        <w:rPr>
          <w:rFonts w:hint="eastAsia" w:ascii="仿宋_GB2312" w:hAnsi="黑体" w:eastAsia="仿宋_GB2312"/>
          <w:sz w:val="32"/>
          <w:szCs w:val="32"/>
        </w:rPr>
        <w:t>没有使用政府性基金预算拨款安排的支出。</w:t>
      </w:r>
    </w:p>
    <w:p>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退役军人服务中心202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年没有使用国有资本经营预算拨款安排的支出。</w:t>
      </w:r>
    </w:p>
    <w:p>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w:t>
      </w:r>
      <w:r>
        <w:rPr>
          <w:rFonts w:hint="eastAsia" w:ascii="仿宋_GB2312" w:hAnsi="黑体" w:eastAsia="仿宋_GB2312"/>
          <w:sz w:val="32"/>
          <w:szCs w:val="32"/>
          <w:lang w:eastAsia="zh-CN"/>
        </w:rPr>
        <w:t>退役军人服务中心</w:t>
      </w:r>
      <w:r>
        <w:rPr>
          <w:rFonts w:hint="eastAsia" w:ascii="仿宋_GB2312" w:hAnsi="黑体" w:eastAsia="仿宋_GB2312"/>
          <w:sz w:val="32"/>
          <w:szCs w:val="32"/>
        </w:rPr>
        <w:t>机关运行经费财政拨款预算为</w:t>
      </w:r>
      <w:r>
        <w:rPr>
          <w:rFonts w:hint="eastAsia" w:ascii="仿宋_GB2312" w:hAnsi="黑体" w:eastAsia="仿宋_GB2312"/>
          <w:sz w:val="32"/>
          <w:szCs w:val="32"/>
          <w:lang w:val="en-US" w:eastAsia="zh-CN"/>
        </w:rPr>
        <w:t>5.68</w:t>
      </w:r>
      <w:r>
        <w:rPr>
          <w:rFonts w:hint="eastAsia" w:ascii="仿宋_GB2312" w:hAnsi="黑体" w:eastAsia="仿宋_GB2312"/>
          <w:sz w:val="32"/>
          <w:szCs w:val="32"/>
        </w:rPr>
        <w:t>万元，较202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2.98</w:t>
      </w:r>
      <w:r>
        <w:rPr>
          <w:rFonts w:hint="eastAsia" w:ascii="仿宋_GB2312" w:hAnsi="黑体" w:eastAsia="仿宋_GB2312"/>
          <w:sz w:val="32"/>
          <w:szCs w:val="32"/>
        </w:rPr>
        <w:t>万元。</w:t>
      </w:r>
    </w:p>
    <w:p>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w:t>
      </w:r>
      <w:r>
        <w:rPr>
          <w:rFonts w:hint="eastAsia" w:ascii="仿宋_GB2312" w:hAnsi="黑体" w:eastAsia="仿宋_GB2312"/>
          <w:sz w:val="32"/>
          <w:szCs w:val="32"/>
          <w:lang w:eastAsia="zh-CN"/>
        </w:rPr>
        <w:t>退役军人服务中心</w:t>
      </w:r>
      <w:r>
        <w:rPr>
          <w:rFonts w:hint="eastAsia" w:ascii="仿宋_GB2312" w:eastAsia="仿宋_GB2312"/>
          <w:sz w:val="32"/>
          <w:szCs w:val="32"/>
          <w:shd w:val="clear" w:color="auto" w:fill="FFFFFF"/>
        </w:rPr>
        <w:t>安排政府采购预算0万元。</w:t>
      </w:r>
    </w:p>
    <w:p>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截至202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年底，</w:t>
      </w:r>
      <w:r>
        <w:rPr>
          <w:rFonts w:hint="eastAsia" w:ascii="仿宋_GB2312" w:hAnsi="黑体" w:eastAsia="仿宋_GB2312"/>
          <w:sz w:val="32"/>
          <w:szCs w:val="32"/>
          <w:lang w:eastAsia="zh-CN"/>
        </w:rPr>
        <w:t>退役军人服务中心</w:t>
      </w:r>
      <w:r>
        <w:rPr>
          <w:rFonts w:hint="eastAsia" w:ascii="仿宋_GB2312" w:hAnsi="黑体" w:eastAsia="仿宋_GB2312"/>
          <w:sz w:val="32"/>
          <w:szCs w:val="32"/>
        </w:rPr>
        <w:t>所属各预算单位共</w:t>
      </w:r>
      <w:r>
        <w:rPr>
          <w:rFonts w:hint="eastAsia" w:ascii="仿宋_GB2312" w:hAnsi="黑体" w:eastAsia="仿宋_GB2312"/>
          <w:color w:val="000000" w:themeColor="text1"/>
          <w:sz w:val="32"/>
          <w:szCs w:val="32"/>
          <w14:textFill>
            <w14:solidFill>
              <w14:schemeClr w14:val="tx1"/>
            </w14:solidFill>
          </w14:textFill>
        </w:rPr>
        <w:t>有车辆</w:t>
      </w:r>
      <w:r>
        <w:rPr>
          <w:rFonts w:hint="eastAsia" w:ascii="仿宋_GB2312" w:hAnsi="黑体" w:eastAsia="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辆，</w:t>
      </w:r>
      <w:r>
        <w:rPr>
          <w:rFonts w:hint="eastAsia" w:ascii="仿宋_GB2312" w:hAnsi="黑体" w:eastAsia="仿宋_GB2312"/>
          <w:sz w:val="32"/>
          <w:szCs w:val="32"/>
        </w:rPr>
        <w:t>其中，</w:t>
      </w:r>
      <w:r>
        <w:rPr>
          <w:rFonts w:hint="eastAsia" w:ascii="仿宋_GB2312" w:eastAsia="仿宋_GB2312"/>
          <w:sz w:val="32"/>
          <w:szCs w:val="32"/>
          <w:shd w:val="clear" w:color="auto" w:fill="FFFFFF"/>
        </w:rPr>
        <w:t>省部级</w:t>
      </w:r>
      <w:r>
        <w:rPr>
          <w:rFonts w:hint="eastAsia" w:ascii="仿宋_GB2312" w:hAnsi="黑体" w:eastAsia="仿宋_GB2312"/>
          <w:sz w:val="32"/>
          <w:szCs w:val="32"/>
        </w:rPr>
        <w:t>领导干部用车0辆、定向保障用车0辆、执法执勤用车0辆，</w:t>
      </w:r>
      <w:r>
        <w:rPr>
          <w:rFonts w:hint="eastAsia" w:ascii="仿宋_GB2312" w:eastAsia="仿宋_GB2312"/>
          <w:sz w:val="32"/>
          <w:szCs w:val="32"/>
          <w:shd w:val="clear" w:color="auto" w:fill="FFFFFF"/>
        </w:rPr>
        <w:t>其他用车</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辆</w:t>
      </w:r>
      <w:r>
        <w:rPr>
          <w:rFonts w:hint="eastAsia" w:ascii="仿宋_GB2312" w:hAnsi="黑体" w:eastAsia="仿宋_GB2312"/>
          <w:sz w:val="32"/>
          <w:szCs w:val="32"/>
        </w:rPr>
        <w:t>。单位价值200万元以上大型设备0台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年部门预算未安排购置车辆及单位价值200万元以上大型设备。</w:t>
      </w:r>
    </w:p>
    <w:p>
      <w:pPr>
        <w:ind w:firstLine="643" w:firstLineChars="200"/>
        <w:rPr>
          <w:rFonts w:ascii="楷体" w:hAnsi="楷体" w:eastAsia="楷体"/>
          <w:b/>
          <w:sz w:val="32"/>
          <w:szCs w:val="32"/>
        </w:rPr>
      </w:pPr>
      <w:r>
        <w:rPr>
          <w:rFonts w:hint="eastAsia" w:ascii="楷体" w:hAnsi="楷体" w:eastAsia="楷体"/>
          <w:b/>
          <w:sz w:val="32"/>
          <w:szCs w:val="32"/>
        </w:rPr>
        <w:t>（四）预算绩效情况</w:t>
      </w:r>
    </w:p>
    <w:p>
      <w:pPr>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FF0000"/>
          <w:sz w:val="32"/>
          <w:szCs w:val="32"/>
        </w:rPr>
        <w:t xml:space="preserve">   </w:t>
      </w:r>
      <w:r>
        <w:rPr>
          <w:rFonts w:hint="eastAsia" w:ascii="仿宋_GB2312" w:hAnsi="黑体" w:eastAsia="仿宋_GB2312"/>
          <w:color w:val="000000" w:themeColor="text1"/>
          <w:sz w:val="32"/>
          <w:szCs w:val="32"/>
          <w:lang w:eastAsia="zh-CN"/>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sz w:val="32"/>
          <w:szCs w:val="32"/>
          <w:lang w:eastAsia="zh-CN"/>
        </w:rPr>
        <w:t>退役军人服务中心</w:t>
      </w:r>
      <w:r>
        <w:rPr>
          <w:rFonts w:hint="eastAsia" w:ascii="仿宋_GB2312" w:hAnsi="黑体" w:eastAsia="仿宋_GB2312"/>
          <w:color w:val="000000" w:themeColor="text1"/>
          <w:sz w:val="32"/>
          <w:szCs w:val="32"/>
          <w14:textFill>
            <w14:solidFill>
              <w14:schemeClr w14:val="tx1"/>
            </w14:solidFill>
          </w14:textFill>
        </w:rPr>
        <w:t>开展绩效目标管理的项目</w:t>
      </w:r>
      <w:r>
        <w:rPr>
          <w:rFonts w:hint="eastAsia" w:ascii="仿宋_GB2312" w:hAnsi="黑体" w:eastAsia="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个，涉及预算</w:t>
      </w:r>
      <w:r>
        <w:rPr>
          <w:rFonts w:hint="eastAsia" w:ascii="仿宋_GB2312" w:hAnsi="黑体" w:eastAsia="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pStyle w:val="4"/>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2"/>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2"/>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2"/>
        <w:rPr>
          <w:rFonts w:hint="eastAsia"/>
        </w:rPr>
      </w:pPr>
    </w:p>
    <w:p>
      <w:pPr>
        <w:pStyle w:val="4"/>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4"/>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4"/>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4"/>
        <w:rPr>
          <w:rFonts w:hint="eastAsia" w:ascii="仿宋_GB2312" w:hAnsi="黑体" w:eastAsia="仿宋_GB2312"/>
          <w:color w:val="000000" w:themeColor="text1"/>
          <w:sz w:val="32"/>
          <w:szCs w:val="32"/>
          <w14:textFill>
            <w14:solidFill>
              <w14:schemeClr w14:val="tx1"/>
            </w14:solidFill>
          </w14:textFill>
        </w:rPr>
      </w:pPr>
    </w:p>
    <w:p>
      <w:pPr>
        <w:rPr>
          <w:rFonts w:hint="eastAsia" w:ascii="仿宋_GB2312" w:hAnsi="黑体" w:eastAsia="仿宋_GB2312"/>
          <w:color w:val="000000" w:themeColor="text1"/>
          <w:sz w:val="32"/>
          <w:szCs w:val="32"/>
          <w14:textFill>
            <w14:solidFill>
              <w14:schemeClr w14:val="tx1"/>
            </w14:solidFill>
          </w14:textFill>
        </w:rPr>
      </w:pPr>
    </w:p>
    <w:p>
      <w:pPr>
        <w:pStyle w:val="4"/>
        <w:rPr>
          <w:rFonts w:hint="eastAsia" w:ascii="仿宋_GB2312" w:hAnsi="黑体" w:eastAsia="仿宋_GB2312"/>
          <w:color w:val="000000" w:themeColor="text1"/>
          <w:sz w:val="32"/>
          <w:szCs w:val="32"/>
          <w14:textFill>
            <w14:solidFill>
              <w14:schemeClr w14:val="tx1"/>
            </w14:solidFill>
          </w14:textFill>
        </w:rPr>
      </w:pPr>
    </w:p>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2.上年结转：指以前年度尚未完成，结转到本年仍按原规定用途继续使用的资金。</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）机关事业单位职业年金缴费支出（</w:t>
      </w:r>
      <w:r>
        <w:rPr>
          <w:rFonts w:hint="eastAsia" w:ascii="仿宋_GB2312" w:eastAsia="仿宋_GB2312"/>
          <w:sz w:val="32"/>
          <w:szCs w:val="32"/>
          <w:shd w:val="clear" w:color="auto" w:fill="FFFFFF"/>
          <w:lang w:val="en-US" w:eastAsia="zh-CN"/>
        </w:rPr>
        <w:t>06</w:t>
      </w:r>
      <w:r>
        <w:rPr>
          <w:rFonts w:hint="eastAsia" w:ascii="仿宋_GB2312" w:eastAsia="仿宋_GB2312"/>
          <w:sz w:val="32"/>
          <w:szCs w:val="32"/>
          <w:shd w:val="clear" w:color="auto" w:fill="FFFFFF"/>
        </w:rPr>
        <w:t>）:实施职业年金制度后，部门按规定由单位缴纳的职业年金支出。</w:t>
      </w:r>
    </w:p>
    <w:p>
      <w:pPr>
        <w:spacing w:line="560" w:lineRule="exact"/>
        <w:ind w:firstLine="694"/>
        <w:rPr>
          <w:rFonts w:ascii="仿宋_GB2312" w:eastAsia="仿宋_GB2312"/>
          <w:color w:val="FF0000"/>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事业运行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50</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行政单位的基本支出</w:t>
      </w:r>
      <w:r>
        <w:rPr>
          <w:rFonts w:hint="eastAsia" w:ascii="仿宋_GB2312" w:eastAsia="仿宋_GB2312"/>
          <w:color w:val="auto"/>
          <w:sz w:val="32"/>
          <w:szCs w:val="32"/>
          <w:shd w:val="clear" w:color="auto" w:fill="FFFFFF"/>
        </w:rPr>
        <w:t>。</w:t>
      </w:r>
    </w:p>
    <w:p>
      <w:pPr>
        <w:spacing w:line="560" w:lineRule="exact"/>
        <w:ind w:firstLine="694"/>
        <w:rPr>
          <w:rFonts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6.</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事业单位医疗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w:t>
      </w:r>
      <w:r>
        <w:rPr>
          <w:rFonts w:hint="eastAsia" w:ascii="仿宋_GB2312" w:eastAsia="仿宋_GB2312"/>
          <w:sz w:val="32"/>
          <w:szCs w:val="32"/>
          <w:shd w:val="clear" w:color="auto" w:fill="FFFFFF"/>
        </w:rPr>
        <w:t>机关及事业单位基本医疗保险缴费支出。</w:t>
      </w:r>
    </w:p>
    <w:p>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7</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其他行政事业单位医疗支出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99</w:t>
      </w:r>
      <w:r>
        <w:rPr>
          <w:rFonts w:hint="eastAsia" w:ascii="仿宋_GB2312" w:eastAsia="仿宋_GB2312"/>
          <w:sz w:val="32"/>
          <w:szCs w:val="32"/>
          <w:shd w:val="clear" w:color="auto" w:fill="FFFFFF"/>
        </w:rPr>
        <w:t>）:机关及事业单位集中缴纳公务员医疗补助支出。</w:t>
      </w:r>
    </w:p>
    <w:p>
      <w:pPr>
        <w:pStyle w:val="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8</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 xml:space="preserve">）:按人力资源和社会保障部、财政部规定的基本工资和津贴补贴以及规定比例为职工缴纳的住房公积金支出。  </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9</w:t>
      </w:r>
      <w:r>
        <w:rPr>
          <w:rFonts w:hint="eastAsia" w:ascii="仿宋_GB2312" w:eastAsia="仿宋_GB2312"/>
          <w:sz w:val="32"/>
          <w:szCs w:val="32"/>
          <w:shd w:val="clear" w:color="auto" w:fill="FFFFFF"/>
        </w:rPr>
        <w:t>.基本支出：指为保证机构正常运转，完成日常工作任务而发生的人员支出和公用支出。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10</w:t>
      </w:r>
      <w:r>
        <w:rPr>
          <w:rFonts w:hint="eastAsia" w:ascii="仿宋_GB2312" w:eastAsia="仿宋_GB2312"/>
          <w:sz w:val="32"/>
          <w:szCs w:val="32"/>
          <w:shd w:val="clear" w:color="auto" w:fill="FFFFFF"/>
        </w:rPr>
        <w:t>.项目支出：指在基本支出之外为完成特定行政任务和事业发展目标所发生的支出。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 w:hAnsi="仿宋" w:eastAsia="仿宋"/>
          <w:b/>
          <w:sz w:val="32"/>
          <w:szCs w:val="32"/>
        </w:rPr>
      </w:pPr>
      <w:r>
        <w:rPr>
          <w:rFonts w:hint="eastAsia" w:ascii="仿宋_GB2312" w:eastAsia="仿宋_GB2312"/>
          <w:sz w:val="32"/>
          <w:szCs w:val="32"/>
          <w:shd w:val="clear" w:color="auto" w:fill="FFFFFF"/>
        </w:rPr>
        <w:t>1</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rPr>
          <w:rFonts w:hint="eastAsia"/>
        </w:rPr>
      </w:pPr>
    </w:p>
    <w:p/>
    <w:p>
      <w:pPr>
        <w:pStyle w:val="4"/>
        <w:ind w:left="0" w:leftChars="0" w:firstLine="0" w:firstLineChars="0"/>
      </w:pPr>
    </w:p>
    <w:p/>
    <w:p/>
    <w:p>
      <w:pPr>
        <w:pStyle w:val="4"/>
      </w:pPr>
    </w:p>
    <w:p/>
    <w:p>
      <w:pPr>
        <w:pStyle w:val="4"/>
      </w:pPr>
    </w:p>
    <w:p/>
    <w:p>
      <w:pPr>
        <w:tabs>
          <w:tab w:val="left" w:pos="5769"/>
        </w:tabs>
        <w:ind w:firstLine="3840" w:firstLineChars="12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九寨沟县退役军人服务中心</w:t>
      </w:r>
    </w:p>
    <w:p>
      <w:pPr>
        <w:tabs>
          <w:tab w:val="left" w:pos="5919"/>
        </w:tabs>
        <w:ind w:firstLine="4480" w:firstLineChars="14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2025年1月22日</w:t>
      </w:r>
    </w:p>
    <w:p>
      <w:pPr>
        <w:jc w:val="both"/>
        <w:rPr>
          <w:rFonts w:ascii="仿宋" w:hAnsi="仿宋" w:eastAsia="仿宋"/>
          <w:b/>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right="284"/>
      <w:rPr>
        <w:rStyle w:val="10"/>
        <w:rFonts w:hint="eastAsia" w:eastAsia="宋体"/>
        <w:lang w:val="en-US" w:eastAsia="zh-CN"/>
      </w:rPr>
    </w:pPr>
    <w:r>
      <w:rPr>
        <w:rStyle w:val="10"/>
        <w:sz w:val="28"/>
      </w:rPr>
      <w:t xml:space="preserve"> </w:t>
    </w:r>
    <w:r>
      <w:rPr>
        <w:rStyle w:val="10"/>
        <w:rFonts w:hint="eastAsia" w:ascii="仿宋_GB2312" w:hAnsi="仿宋_GB2312" w:eastAsia="仿宋_GB2312" w:cs="仿宋_GB2312"/>
        <w:sz w:val="28"/>
        <w:lang w:eastAsia="zh-CN"/>
      </w:rPr>
      <w:t>—</w:t>
    </w:r>
    <w:r>
      <w:rPr>
        <w:rStyle w:val="10"/>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10"/>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10"/>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pPr>
      <w:pStyle w:val="5"/>
      <w:ind w:right="360" w:firstLine="360"/>
    </w:pP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C2255E"/>
    <w:multiLevelType w:val="singleLevel"/>
    <w:tmpl w:val="B6C2255E"/>
    <w:lvl w:ilvl="0" w:tentative="0">
      <w:start w:val="11"/>
      <w:numFmt w:val="chineseCounting"/>
      <w:suff w:val="nothing"/>
      <w:lvlText w:val="%1、"/>
      <w:lvlJc w:val="left"/>
      <w:rPr>
        <w:rFonts w:hint="eastAsia"/>
      </w:rPr>
    </w:lvl>
  </w:abstractNum>
  <w:abstractNum w:abstractNumId="1">
    <w:nsid w:val="0235578C"/>
    <w:multiLevelType w:val="singleLevel"/>
    <w:tmpl w:val="0235578C"/>
    <w:lvl w:ilvl="0" w:tentative="0">
      <w:start w:val="2"/>
      <w:numFmt w:val="chineseCounting"/>
      <w:suff w:val="nothing"/>
      <w:lvlText w:val="%1、"/>
      <w:lvlJc w:val="left"/>
      <w:pPr>
        <w:ind w:left="210"/>
      </w:pPr>
      <w:rPr>
        <w:rFonts w:hint="eastAsia"/>
      </w:rPr>
    </w:lvl>
  </w:abstractNum>
  <w:abstractNum w:abstractNumId="2">
    <w:nsid w:val="29B359B7"/>
    <w:multiLevelType w:val="singleLevel"/>
    <w:tmpl w:val="29B359B7"/>
    <w:lvl w:ilvl="0" w:tentative="0">
      <w:start w:val="5"/>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mZWMyYzVkZTA5ODQ1MGZjYjdjNGE4NGQ2NTU0OGUifQ=="/>
    <w:docVar w:name="KSO_WPS_MARK_KEY" w:val="d1ef4b25-6afa-48e5-a861-d2e77585255c"/>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00A29"/>
    <w:rsid w:val="00D76264"/>
    <w:rsid w:val="00E47120"/>
    <w:rsid w:val="00E52006"/>
    <w:rsid w:val="00E53859"/>
    <w:rsid w:val="00E57E2B"/>
    <w:rsid w:val="00E65C6C"/>
    <w:rsid w:val="00F241F0"/>
    <w:rsid w:val="00FC4747"/>
    <w:rsid w:val="00FC5BA6"/>
    <w:rsid w:val="00FF35AE"/>
    <w:rsid w:val="01264686"/>
    <w:rsid w:val="018D3F35"/>
    <w:rsid w:val="01FD609D"/>
    <w:rsid w:val="024401E8"/>
    <w:rsid w:val="035E581E"/>
    <w:rsid w:val="03BC11F2"/>
    <w:rsid w:val="058D49B4"/>
    <w:rsid w:val="05FEC680"/>
    <w:rsid w:val="06D10EE0"/>
    <w:rsid w:val="079D0B7B"/>
    <w:rsid w:val="07B46AB2"/>
    <w:rsid w:val="086556C2"/>
    <w:rsid w:val="0910429D"/>
    <w:rsid w:val="093873A1"/>
    <w:rsid w:val="09401754"/>
    <w:rsid w:val="0A063AD2"/>
    <w:rsid w:val="0AF27B25"/>
    <w:rsid w:val="0C770C50"/>
    <w:rsid w:val="0D610C17"/>
    <w:rsid w:val="0D6F5C9D"/>
    <w:rsid w:val="0DA41AC3"/>
    <w:rsid w:val="0DFB13C5"/>
    <w:rsid w:val="0EBB3118"/>
    <w:rsid w:val="0EC57F43"/>
    <w:rsid w:val="0ECDBE52"/>
    <w:rsid w:val="0F1869F3"/>
    <w:rsid w:val="0F3375A2"/>
    <w:rsid w:val="0F735BF1"/>
    <w:rsid w:val="0FE268D2"/>
    <w:rsid w:val="0FFFB353"/>
    <w:rsid w:val="10030812"/>
    <w:rsid w:val="103510F8"/>
    <w:rsid w:val="10D73F5D"/>
    <w:rsid w:val="11603762"/>
    <w:rsid w:val="119105B0"/>
    <w:rsid w:val="137D3FC6"/>
    <w:rsid w:val="138A01A8"/>
    <w:rsid w:val="143D2B15"/>
    <w:rsid w:val="14B5076E"/>
    <w:rsid w:val="15502D81"/>
    <w:rsid w:val="16032FD4"/>
    <w:rsid w:val="16F470EB"/>
    <w:rsid w:val="16F8513D"/>
    <w:rsid w:val="176D963B"/>
    <w:rsid w:val="178266F1"/>
    <w:rsid w:val="17EA128B"/>
    <w:rsid w:val="181B05D0"/>
    <w:rsid w:val="18A04353"/>
    <w:rsid w:val="1A551BB5"/>
    <w:rsid w:val="1AFF273F"/>
    <w:rsid w:val="1B7F798D"/>
    <w:rsid w:val="1BCF516C"/>
    <w:rsid w:val="1BF223F6"/>
    <w:rsid w:val="1BFC702F"/>
    <w:rsid w:val="1D3B0CE4"/>
    <w:rsid w:val="1DB52E23"/>
    <w:rsid w:val="1DCA7AC1"/>
    <w:rsid w:val="1DF02B79"/>
    <w:rsid w:val="1E1F743E"/>
    <w:rsid w:val="1E8346CE"/>
    <w:rsid w:val="1F326221"/>
    <w:rsid w:val="1F385DE2"/>
    <w:rsid w:val="1F3B0AC1"/>
    <w:rsid w:val="1F5E9DB6"/>
    <w:rsid w:val="1FC41C41"/>
    <w:rsid w:val="203252E3"/>
    <w:rsid w:val="20503338"/>
    <w:rsid w:val="20861AA1"/>
    <w:rsid w:val="209F24E8"/>
    <w:rsid w:val="2117AD81"/>
    <w:rsid w:val="214C00E7"/>
    <w:rsid w:val="21F75307"/>
    <w:rsid w:val="22754C04"/>
    <w:rsid w:val="23C76B8C"/>
    <w:rsid w:val="24D57C8A"/>
    <w:rsid w:val="24D81F08"/>
    <w:rsid w:val="24E16147"/>
    <w:rsid w:val="254A060F"/>
    <w:rsid w:val="25AD5E8A"/>
    <w:rsid w:val="2620366C"/>
    <w:rsid w:val="26C62652"/>
    <w:rsid w:val="270806C6"/>
    <w:rsid w:val="27582548"/>
    <w:rsid w:val="27FB2020"/>
    <w:rsid w:val="28236B82"/>
    <w:rsid w:val="2AD76BDC"/>
    <w:rsid w:val="2B7929C2"/>
    <w:rsid w:val="2BC13B61"/>
    <w:rsid w:val="2BC42182"/>
    <w:rsid w:val="2BE512DE"/>
    <w:rsid w:val="2BEE6E8A"/>
    <w:rsid w:val="2DCF12A7"/>
    <w:rsid w:val="2E4742D0"/>
    <w:rsid w:val="2E7ACAF3"/>
    <w:rsid w:val="2EFFE7AD"/>
    <w:rsid w:val="2F857DEF"/>
    <w:rsid w:val="2FEDA3F1"/>
    <w:rsid w:val="3257C860"/>
    <w:rsid w:val="32691D4C"/>
    <w:rsid w:val="33FFF3CD"/>
    <w:rsid w:val="346E3D35"/>
    <w:rsid w:val="348011FF"/>
    <w:rsid w:val="348F31FA"/>
    <w:rsid w:val="34C02A65"/>
    <w:rsid w:val="34C80EEF"/>
    <w:rsid w:val="34D42454"/>
    <w:rsid w:val="34F928A8"/>
    <w:rsid w:val="352A11F6"/>
    <w:rsid w:val="35316E2A"/>
    <w:rsid w:val="362D64A2"/>
    <w:rsid w:val="36462E68"/>
    <w:rsid w:val="36576592"/>
    <w:rsid w:val="366854D4"/>
    <w:rsid w:val="37042500"/>
    <w:rsid w:val="379C68EB"/>
    <w:rsid w:val="37ED2099"/>
    <w:rsid w:val="37FE0A31"/>
    <w:rsid w:val="380B24F4"/>
    <w:rsid w:val="388A03CE"/>
    <w:rsid w:val="38E81565"/>
    <w:rsid w:val="39946EB9"/>
    <w:rsid w:val="39D6614D"/>
    <w:rsid w:val="39D792D9"/>
    <w:rsid w:val="3A68758F"/>
    <w:rsid w:val="3AF70BD4"/>
    <w:rsid w:val="3AFBF1C6"/>
    <w:rsid w:val="3B622FEA"/>
    <w:rsid w:val="3B6358F4"/>
    <w:rsid w:val="3BBFDE14"/>
    <w:rsid w:val="3BDE0965"/>
    <w:rsid w:val="3C41162E"/>
    <w:rsid w:val="3C90734D"/>
    <w:rsid w:val="3CB393A4"/>
    <w:rsid w:val="3CFE796A"/>
    <w:rsid w:val="3DDE2F12"/>
    <w:rsid w:val="3DF3E130"/>
    <w:rsid w:val="3E412F3A"/>
    <w:rsid w:val="3E49060B"/>
    <w:rsid w:val="3EED8CAE"/>
    <w:rsid w:val="3EFFEFC0"/>
    <w:rsid w:val="3FB5E172"/>
    <w:rsid w:val="3FBE59FD"/>
    <w:rsid w:val="3FDF2925"/>
    <w:rsid w:val="3FDFA91F"/>
    <w:rsid w:val="3FE1DEFB"/>
    <w:rsid w:val="3FE5F325"/>
    <w:rsid w:val="3FEF3B35"/>
    <w:rsid w:val="3FFADC58"/>
    <w:rsid w:val="40231DAD"/>
    <w:rsid w:val="40260303"/>
    <w:rsid w:val="40F32306"/>
    <w:rsid w:val="41387309"/>
    <w:rsid w:val="43D11AB3"/>
    <w:rsid w:val="44E47F17"/>
    <w:rsid w:val="45180846"/>
    <w:rsid w:val="45433394"/>
    <w:rsid w:val="45A71B11"/>
    <w:rsid w:val="466D602E"/>
    <w:rsid w:val="46B77B15"/>
    <w:rsid w:val="46D544C0"/>
    <w:rsid w:val="4769004E"/>
    <w:rsid w:val="479A6E61"/>
    <w:rsid w:val="47F9590C"/>
    <w:rsid w:val="47FF5D5C"/>
    <w:rsid w:val="481C49BA"/>
    <w:rsid w:val="484511D1"/>
    <w:rsid w:val="492F0CD4"/>
    <w:rsid w:val="4B0C5FD6"/>
    <w:rsid w:val="4B2405A1"/>
    <w:rsid w:val="4B3E44B7"/>
    <w:rsid w:val="4BCF1C18"/>
    <w:rsid w:val="4C55061C"/>
    <w:rsid w:val="4CE51603"/>
    <w:rsid w:val="4CF973FB"/>
    <w:rsid w:val="4D3174D1"/>
    <w:rsid w:val="4D9C7C8B"/>
    <w:rsid w:val="4DAD1A9C"/>
    <w:rsid w:val="4DF04F25"/>
    <w:rsid w:val="4E22716A"/>
    <w:rsid w:val="4EAF1A9A"/>
    <w:rsid w:val="4FDE78CE"/>
    <w:rsid w:val="4FFFAA23"/>
    <w:rsid w:val="500B71A4"/>
    <w:rsid w:val="509C1BAA"/>
    <w:rsid w:val="509E5922"/>
    <w:rsid w:val="50FB7740"/>
    <w:rsid w:val="51080CE9"/>
    <w:rsid w:val="513F2F66"/>
    <w:rsid w:val="521560B8"/>
    <w:rsid w:val="52416EAD"/>
    <w:rsid w:val="52A200E3"/>
    <w:rsid w:val="53A88E30"/>
    <w:rsid w:val="53FAD87A"/>
    <w:rsid w:val="53FC6842"/>
    <w:rsid w:val="541C1980"/>
    <w:rsid w:val="5445003E"/>
    <w:rsid w:val="547F7007"/>
    <w:rsid w:val="54FFF2CF"/>
    <w:rsid w:val="55092F1D"/>
    <w:rsid w:val="554F368F"/>
    <w:rsid w:val="55572544"/>
    <w:rsid w:val="55C839D6"/>
    <w:rsid w:val="567D553A"/>
    <w:rsid w:val="56CD4D15"/>
    <w:rsid w:val="56DBADA4"/>
    <w:rsid w:val="57595292"/>
    <w:rsid w:val="579CE624"/>
    <w:rsid w:val="57DA31A5"/>
    <w:rsid w:val="581E5446"/>
    <w:rsid w:val="59920B6B"/>
    <w:rsid w:val="5A35532B"/>
    <w:rsid w:val="5A5D3DD6"/>
    <w:rsid w:val="5A7BF1E5"/>
    <w:rsid w:val="5AC35307"/>
    <w:rsid w:val="5ADF54B5"/>
    <w:rsid w:val="5BA78D5E"/>
    <w:rsid w:val="5BB87DBA"/>
    <w:rsid w:val="5BE762D4"/>
    <w:rsid w:val="5DD40BD5"/>
    <w:rsid w:val="5DDDD882"/>
    <w:rsid w:val="5DE7BCA1"/>
    <w:rsid w:val="5DFFBFAA"/>
    <w:rsid w:val="5E621598"/>
    <w:rsid w:val="5ECE3656"/>
    <w:rsid w:val="5EFFDDE2"/>
    <w:rsid w:val="5F04509D"/>
    <w:rsid w:val="5F4D4748"/>
    <w:rsid w:val="5F63011B"/>
    <w:rsid w:val="5F763C0F"/>
    <w:rsid w:val="5F7A982F"/>
    <w:rsid w:val="5FBF1457"/>
    <w:rsid w:val="5FED60AA"/>
    <w:rsid w:val="5FEFF4C2"/>
    <w:rsid w:val="61691F7C"/>
    <w:rsid w:val="616F6528"/>
    <w:rsid w:val="617B72FC"/>
    <w:rsid w:val="629C3FC4"/>
    <w:rsid w:val="62F678DE"/>
    <w:rsid w:val="63351F5F"/>
    <w:rsid w:val="63F385C0"/>
    <w:rsid w:val="63F5FE37"/>
    <w:rsid w:val="647F6670"/>
    <w:rsid w:val="65736F26"/>
    <w:rsid w:val="658C7F88"/>
    <w:rsid w:val="6613520A"/>
    <w:rsid w:val="6617451A"/>
    <w:rsid w:val="669730E8"/>
    <w:rsid w:val="66C26A47"/>
    <w:rsid w:val="67F5B1D0"/>
    <w:rsid w:val="68034170"/>
    <w:rsid w:val="68355EC5"/>
    <w:rsid w:val="68F5621A"/>
    <w:rsid w:val="69A71AE0"/>
    <w:rsid w:val="6A4FC826"/>
    <w:rsid w:val="6A620361"/>
    <w:rsid w:val="6A6B055E"/>
    <w:rsid w:val="6ADF4B0D"/>
    <w:rsid w:val="6AF76FF0"/>
    <w:rsid w:val="6B154D26"/>
    <w:rsid w:val="6B73620E"/>
    <w:rsid w:val="6B95175B"/>
    <w:rsid w:val="6BDF5376"/>
    <w:rsid w:val="6BE53CCB"/>
    <w:rsid w:val="6C471994"/>
    <w:rsid w:val="6C694F51"/>
    <w:rsid w:val="6C7964CA"/>
    <w:rsid w:val="6C7B5F76"/>
    <w:rsid w:val="6CA47A7F"/>
    <w:rsid w:val="6CEF960A"/>
    <w:rsid w:val="6D235CF7"/>
    <w:rsid w:val="6D6D48E9"/>
    <w:rsid w:val="6DDD5E88"/>
    <w:rsid w:val="6DDE03AF"/>
    <w:rsid w:val="6DE01F10"/>
    <w:rsid w:val="6DFD6765"/>
    <w:rsid w:val="6E736736"/>
    <w:rsid w:val="6E7E5440"/>
    <w:rsid w:val="6ED5ABCE"/>
    <w:rsid w:val="6EE251B7"/>
    <w:rsid w:val="6EFF482F"/>
    <w:rsid w:val="6F4B770D"/>
    <w:rsid w:val="6F632200"/>
    <w:rsid w:val="6F6DD354"/>
    <w:rsid w:val="6F850745"/>
    <w:rsid w:val="6FBBC877"/>
    <w:rsid w:val="6FF9921E"/>
    <w:rsid w:val="6FFC7CC5"/>
    <w:rsid w:val="6FFD7550"/>
    <w:rsid w:val="6FFDCB73"/>
    <w:rsid w:val="704C6346"/>
    <w:rsid w:val="70E87657"/>
    <w:rsid w:val="71405DDA"/>
    <w:rsid w:val="727A3994"/>
    <w:rsid w:val="72AF49AA"/>
    <w:rsid w:val="72DF0FFC"/>
    <w:rsid w:val="72E75F44"/>
    <w:rsid w:val="7396C1D0"/>
    <w:rsid w:val="739E5EA4"/>
    <w:rsid w:val="73C160AD"/>
    <w:rsid w:val="73EFEF94"/>
    <w:rsid w:val="73F99EB8"/>
    <w:rsid w:val="748DFD08"/>
    <w:rsid w:val="74C544EB"/>
    <w:rsid w:val="753C9906"/>
    <w:rsid w:val="75B7E1FE"/>
    <w:rsid w:val="75C335B1"/>
    <w:rsid w:val="75F06C92"/>
    <w:rsid w:val="75FEC521"/>
    <w:rsid w:val="76E61C4D"/>
    <w:rsid w:val="76FF1A62"/>
    <w:rsid w:val="776E1AB0"/>
    <w:rsid w:val="777ED2E6"/>
    <w:rsid w:val="77D7EAC5"/>
    <w:rsid w:val="77D96C95"/>
    <w:rsid w:val="77DFF40B"/>
    <w:rsid w:val="77E71F46"/>
    <w:rsid w:val="77FF6978"/>
    <w:rsid w:val="77FF9FAA"/>
    <w:rsid w:val="77FFA2D4"/>
    <w:rsid w:val="78175E36"/>
    <w:rsid w:val="782C15BC"/>
    <w:rsid w:val="785E7D72"/>
    <w:rsid w:val="78FF8B8B"/>
    <w:rsid w:val="79CC04CF"/>
    <w:rsid w:val="79E0054B"/>
    <w:rsid w:val="79FFA147"/>
    <w:rsid w:val="7A5C355F"/>
    <w:rsid w:val="7AFEFDCB"/>
    <w:rsid w:val="7B21592B"/>
    <w:rsid w:val="7B562975"/>
    <w:rsid w:val="7B7E99B8"/>
    <w:rsid w:val="7BBE4776"/>
    <w:rsid w:val="7BD32D96"/>
    <w:rsid w:val="7BE216A8"/>
    <w:rsid w:val="7BE51F1C"/>
    <w:rsid w:val="7BF3F8E7"/>
    <w:rsid w:val="7BFF7F25"/>
    <w:rsid w:val="7C4F5666"/>
    <w:rsid w:val="7C8810B1"/>
    <w:rsid w:val="7CB5F156"/>
    <w:rsid w:val="7CFFD8D7"/>
    <w:rsid w:val="7D2A660C"/>
    <w:rsid w:val="7D2D3A06"/>
    <w:rsid w:val="7D2FEEDE"/>
    <w:rsid w:val="7D5B7AD4"/>
    <w:rsid w:val="7D7EE79E"/>
    <w:rsid w:val="7D80622C"/>
    <w:rsid w:val="7DB99F6C"/>
    <w:rsid w:val="7DCA74A7"/>
    <w:rsid w:val="7DFDFA62"/>
    <w:rsid w:val="7E7D5E12"/>
    <w:rsid w:val="7E7F8246"/>
    <w:rsid w:val="7E974710"/>
    <w:rsid w:val="7E9C3261"/>
    <w:rsid w:val="7EAE59C4"/>
    <w:rsid w:val="7EBE603C"/>
    <w:rsid w:val="7ED208F3"/>
    <w:rsid w:val="7EF34040"/>
    <w:rsid w:val="7EF77572"/>
    <w:rsid w:val="7EFC883D"/>
    <w:rsid w:val="7EFFA64E"/>
    <w:rsid w:val="7F1D0102"/>
    <w:rsid w:val="7F455B3D"/>
    <w:rsid w:val="7F5BDE60"/>
    <w:rsid w:val="7F79C763"/>
    <w:rsid w:val="7F7FF441"/>
    <w:rsid w:val="7F8FE411"/>
    <w:rsid w:val="7FAC155A"/>
    <w:rsid w:val="7FAF7028"/>
    <w:rsid w:val="7FBBE177"/>
    <w:rsid w:val="7FBFD22B"/>
    <w:rsid w:val="7FE3BE53"/>
    <w:rsid w:val="7FEB5A38"/>
    <w:rsid w:val="7FEDD55A"/>
    <w:rsid w:val="7FEF6970"/>
    <w:rsid w:val="7FEFC594"/>
    <w:rsid w:val="7FF8FFBF"/>
    <w:rsid w:val="7FF96C06"/>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3">
    <w:name w:val="Body Text Indent"/>
    <w:basedOn w:val="1"/>
    <w:next w:val="4"/>
    <w:qFormat/>
    <w:uiPriority w:val="0"/>
    <w:pPr>
      <w:tabs>
        <w:tab w:val="left" w:pos="960"/>
      </w:tabs>
      <w:spacing w:line="540" w:lineRule="exact"/>
      <w:ind w:firstLine="5440" w:firstLineChars="1700"/>
    </w:pPr>
    <w:rPr>
      <w:sz w:val="32"/>
      <w:szCs w:val="32"/>
    </w:rPr>
  </w:style>
  <w:style w:type="paragraph" w:styleId="4">
    <w:name w:val="Body Text First Indent 2"/>
    <w:basedOn w:val="3"/>
    <w:next w:val="1"/>
    <w:qFormat/>
    <w:uiPriority w:val="0"/>
    <w:pPr>
      <w:ind w:firstLine="420" w:firstLineChars="200"/>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bCs/>
    </w:rPr>
  </w:style>
  <w:style w:type="character" w:styleId="10">
    <w:name w:val="page number"/>
    <w:basedOn w:val="8"/>
    <w:qFormat/>
    <w:uiPriority w:val="0"/>
  </w:style>
  <w:style w:type="paragraph" w:styleId="11">
    <w:name w:val="List Paragraph"/>
    <w:basedOn w:val="1"/>
    <w:qFormat/>
    <w:uiPriority w:val="34"/>
    <w:pPr>
      <w:ind w:firstLine="420" w:firstLineChars="200"/>
    </w:pPr>
  </w:style>
  <w:style w:type="character" w:customStyle="1" w:styleId="12">
    <w:name w:val="页眉 Char"/>
    <w:basedOn w:val="8"/>
    <w:link w:val="6"/>
    <w:qFormat/>
    <w:uiPriority w:val="99"/>
    <w:rPr>
      <w:sz w:val="18"/>
      <w:szCs w:val="18"/>
    </w:rPr>
  </w:style>
  <w:style w:type="character" w:customStyle="1" w:styleId="13">
    <w:name w:val="页脚 Char"/>
    <w:basedOn w:val="8"/>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15">
    <w:name w:val="font41"/>
    <w:basedOn w:val="8"/>
    <w:qFormat/>
    <w:uiPriority w:val="0"/>
    <w:rPr>
      <w:rFonts w:hint="eastAsia" w:ascii="宋体" w:hAnsi="宋体" w:eastAsia="宋体" w:cs="宋体"/>
      <w:color w:val="000000"/>
      <w:sz w:val="18"/>
      <w:szCs w:val="18"/>
      <w:u w:val="none"/>
    </w:rPr>
  </w:style>
  <w:style w:type="character" w:customStyle="1" w:styleId="16">
    <w:name w:val="font61"/>
    <w:basedOn w:val="8"/>
    <w:qFormat/>
    <w:uiPriority w:val="0"/>
    <w:rPr>
      <w:rFonts w:ascii="Dialog . plain" w:hAnsi="Dialog . plain" w:eastAsia="Dialog . plain" w:cs="Dialog . plain"/>
      <w:color w:val="000000"/>
      <w:sz w:val="22"/>
      <w:szCs w:val="22"/>
      <w:u w:val="none"/>
    </w:rPr>
  </w:style>
  <w:style w:type="character" w:customStyle="1" w:styleId="17">
    <w:name w:val="font81"/>
    <w:basedOn w:val="8"/>
    <w:qFormat/>
    <w:uiPriority w:val="0"/>
    <w:rPr>
      <w:rFonts w:ascii="Dialog . bold" w:hAnsi="Dialog . bold" w:eastAsia="Dialog . bold" w:cs="Dialog . bold"/>
      <w:b/>
      <w:bCs/>
      <w:color w:val="000000"/>
      <w:sz w:val="22"/>
      <w:szCs w:val="22"/>
      <w:u w:val="none"/>
    </w:rPr>
  </w:style>
  <w:style w:type="character" w:customStyle="1" w:styleId="18">
    <w:name w:val="font51"/>
    <w:basedOn w:val="8"/>
    <w:qFormat/>
    <w:uiPriority w:val="0"/>
    <w:rPr>
      <w:rFonts w:ascii="Dialog . plain" w:hAnsi="Dialog . plain" w:eastAsia="Dialog . plain" w:cs="Dialog . plain"/>
      <w:color w:val="000000"/>
      <w:sz w:val="22"/>
      <w:szCs w:val="22"/>
      <w:u w:val="none"/>
    </w:rPr>
  </w:style>
  <w:style w:type="character" w:customStyle="1" w:styleId="19">
    <w:name w:val="font71"/>
    <w:basedOn w:val="8"/>
    <w:qFormat/>
    <w:uiPriority w:val="0"/>
    <w:rPr>
      <w:rFonts w:ascii="Dialog . plain" w:hAnsi="Dialog . plain" w:eastAsia="Dialog . plain" w:cs="Dialog . plain"/>
      <w:color w:val="000000"/>
      <w:sz w:val="22"/>
      <w:szCs w:val="22"/>
      <w:u w:val="none"/>
    </w:rPr>
  </w:style>
  <w:style w:type="character" w:customStyle="1" w:styleId="20">
    <w:name w:val="font31"/>
    <w:basedOn w:val="8"/>
    <w:qFormat/>
    <w:uiPriority w:val="0"/>
    <w:rPr>
      <w:rFonts w:hint="eastAsia" w:ascii="宋体" w:hAnsi="宋体" w:eastAsia="宋体" w:cs="宋体"/>
      <w:color w:val="000000"/>
      <w:sz w:val="22"/>
      <w:szCs w:val="22"/>
      <w:u w:val="none"/>
    </w:rPr>
  </w:style>
  <w:style w:type="character" w:customStyle="1" w:styleId="21">
    <w:name w:val="font2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6164</Words>
  <Characters>7169</Characters>
  <Lines>35</Lines>
  <Paragraphs>9</Paragraphs>
  <TotalTime>1</TotalTime>
  <ScaleCrop>false</ScaleCrop>
  <LinksUpToDate>false</LinksUpToDate>
  <CharactersWithSpaces>7480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&amp;琼&amp;</cp:lastModifiedBy>
  <dcterms:modified xsi:type="dcterms:W3CDTF">2025-01-22T03:32:53Z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E5FE5DDB277E4D958AAFD2113447FA60_13</vt:lpwstr>
  </property>
</Properties>
</file>