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退役军人事务局</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ind w:firstLine="3520" w:firstLineChars="800"/>
        <w:jc w:val="both"/>
        <w:rPr>
          <w:rFonts w:hint="eastAsia" w:ascii="方正小标宋简体" w:eastAsia="方正小标宋简体"/>
          <w:sz w:val="44"/>
          <w:szCs w:val="44"/>
          <w:highlight w:val="none"/>
        </w:rPr>
      </w:pPr>
    </w:p>
    <w:p>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单位</w:t>
      </w:r>
      <w:r>
        <w:rPr>
          <w:rFonts w:hint="eastAsia" w:ascii="仿宋_GB2312" w:hAnsi="仿宋" w:eastAsia="仿宋_GB2312"/>
          <w:sz w:val="32"/>
          <w:szCs w:val="32"/>
          <w:highlight w:val="none"/>
        </w:rPr>
        <w:t>职能</w:t>
      </w:r>
      <w:r>
        <w:rPr>
          <w:rFonts w:hint="eastAsia" w:ascii="仿宋_GB2312" w:hAnsi="仿宋" w:eastAsia="仿宋_GB2312"/>
          <w:sz w:val="32"/>
          <w:szCs w:val="32"/>
          <w:highlight w:val="none"/>
          <w:lang w:eastAsia="zh-CN"/>
        </w:rPr>
        <w:t>及主要工作</w:t>
      </w:r>
    </w:p>
    <w:p>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退役军人事务局部门</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预算情况说明</w:t>
      </w:r>
    </w:p>
    <w:p>
      <w:pPr>
        <w:rPr>
          <w:rFonts w:ascii="方正小标宋简体" w:eastAsia="方正小标宋简体"/>
          <w:sz w:val="32"/>
          <w:szCs w:val="32"/>
          <w:highlight w:val="none"/>
        </w:rPr>
      </w:pPr>
      <w:r>
        <w:rPr>
          <w:rFonts w:hint="eastAsia" w:ascii="黑体" w:hAnsi="黑体" w:eastAsia="黑体"/>
          <w:sz w:val="32"/>
          <w:szCs w:val="32"/>
          <w:highlight w:val="none"/>
        </w:rPr>
        <w:t>第四部分  名词解释</w:t>
      </w:r>
    </w:p>
    <w:p>
      <w:pPr>
        <w:jc w:val="both"/>
        <w:rPr>
          <w:rFonts w:hint="eastAsia" w:ascii="黑体" w:hAnsi="黑体" w:eastAsia="黑体"/>
          <w:sz w:val="32"/>
          <w:szCs w:val="32"/>
          <w:highlight w:val="none"/>
        </w:rPr>
      </w:pPr>
    </w:p>
    <w:p>
      <w:pPr>
        <w:jc w:val="both"/>
        <w:rPr>
          <w:rFonts w:hint="eastAsia"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基本职能及主要工作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贯彻执行有关退役军人思想政治、管理保障和安置优抚等法律法规，拟订退役军人工作政策并组织实施，褒扬彰显退役军人为党、国家和人民牺牲奉献的精神风范和价值导向；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组织、指导退役军人教育培训工作，承担退役军人和随军随调家属就业创业扶持工作；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xml:space="preserve">贯彻执行有关退役军人特殊保障政策；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组织、协调落实移交地方的离休退休军人、符合条件的其他退役军人和无军籍退休退职职工的住房保障工作，以及退役军人医疗保障、社会保险等待遇保障工作；</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负责伤病残退役军人服务管理和抚恤工作，贯彻执行有关退役军人医疗、疗养、养老等机构的规划政策。承担不适宜继续服役的伤病残军人移交安置、退休安置、供养等工作。组织军供服务保障工作；</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组织、指导拥军优属工作，承担现役军人、退役军人、军队文职人员和军属的优待、抚恤等工作。贯彻执行有关国民党抗战老兵等有关人员优待政策；</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负责烈士及退役军人荣誉奖励、军人公墓和烈士纪念设施的建设管理、纪念活动等工作，依法承担英雄烈士保护相关工作，审核拟列入省、州、县重点保护单位的烈士纪念建筑物名录，总结表彰和宣扬退役军人、退役军人工作单位和个人先进典型事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指导并监督检查退役军人相关法律法规和政策措施的落实，组织开展退役军人权益维护和有关人员的帮扶援助工作；</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推动建立退役军人事务分级负责和突发事件应急联动机制，组织、指导退役军人综合服务体系建设；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负责职责范围内的安全生产和职业健康、生态环境保护、审批服务便民化工作；</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完成州委、州政府和县委、县政府及县人武部交办的其他任务。</w:t>
      </w:r>
    </w:p>
    <w:p>
      <w:pPr>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eastAsia="zh-CN"/>
        </w:rPr>
        <w:t>（二）主要</w:t>
      </w:r>
      <w:r>
        <w:rPr>
          <w:rFonts w:hint="eastAsia" w:ascii="仿宋_GB2312" w:hAnsi="仿宋" w:eastAsia="仿宋_GB2312"/>
          <w:color w:val="auto"/>
          <w:sz w:val="32"/>
          <w:szCs w:val="32"/>
          <w:highlight w:val="none"/>
        </w:rPr>
        <w:t>工作</w:t>
      </w:r>
    </w:p>
    <w:p>
      <w:pPr>
        <w:pStyle w:val="2"/>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w:t>
      </w:r>
      <w:bookmarkStart w:id="0" w:name="_GoBack"/>
      <w:r>
        <w:rPr>
          <w:rFonts w:hint="eastAsia" w:ascii="仿宋_GB2312" w:hAnsi="仿宋" w:eastAsia="仿宋_GB2312"/>
          <w:sz w:val="32"/>
          <w:szCs w:val="32"/>
          <w:highlight w:val="none"/>
        </w:rPr>
        <w:t>部门</w:t>
      </w:r>
      <w:bookmarkEnd w:id="0"/>
      <w:r>
        <w:rPr>
          <w:rFonts w:hint="eastAsia" w:ascii="仿宋_GB2312" w:hAnsi="仿宋" w:eastAsia="仿宋_GB2312"/>
          <w:sz w:val="32"/>
          <w:szCs w:val="32"/>
          <w:highlight w:val="none"/>
        </w:rPr>
        <w:t>预算单位构成</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本部门下属二级预算单位1个，其中内设机构 1 个。</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pPr>
        <w:ind w:firstLine="640" w:firstLineChars="200"/>
        <w:jc w:val="both"/>
        <w:rPr>
          <w:rFonts w:hint="eastAsia" w:ascii="仿宋_GB2312" w:eastAsia="仿宋_GB2312"/>
          <w:sz w:val="32"/>
          <w:szCs w:val="32"/>
          <w:shd w:val="clear" w:color="auto" w:fill="FFFFFF"/>
          <w:lang w:val="en-US" w:eastAsia="zh-CN"/>
        </w:rPr>
        <w:sectPr>
          <w:headerReference r:id="rId3" w:type="default"/>
          <w:footerReference r:id="rId4" w:type="default"/>
          <w:pgSz w:w="11906" w:h="16838"/>
          <w:pgMar w:top="1440" w:right="1803" w:bottom="1440" w:left="1803" w:header="851" w:footer="992" w:gutter="0"/>
          <w:cols w:space="0" w:num="1"/>
          <w:rtlGutter w:val="0"/>
          <w:docGrid w:type="lines" w:linePitch="319" w:charSpace="0"/>
        </w:sectPr>
      </w:pPr>
      <w:r>
        <w:rPr>
          <w:rFonts w:hint="eastAsia" w:ascii="仿宋_GB2312" w:eastAsia="仿宋_GB2312"/>
          <w:sz w:val="32"/>
          <w:szCs w:val="32"/>
          <w:shd w:val="clear" w:color="auto" w:fill="FFFFFF"/>
          <w:lang w:val="en-US" w:eastAsia="zh-CN"/>
        </w:rPr>
        <w:t>总编制10名,其中:行政编制5名,参照公务员法管理的事业编制0名，其他事业编制5名。在职人员总数8名，其中：行政人员4名，参照公务员法管理的事业人员0名，其他事业人员4名；军队离退休人员3人，工资在退役军人事务局按月发放；军转干部人员10人，工资在省退役军人事务厅发放，人员医疗保险单位缴费和每年体检费是地方财政承担；编外长期聘用的人员2名（与保安公司签订用工2人）。</w:t>
      </w:r>
    </w:p>
    <w:p>
      <w:pPr>
        <w:pStyle w:val="2"/>
      </w:pPr>
    </w:p>
    <w:p>
      <w:pPr>
        <w:ind w:firstLine="640" w:firstLineChars="200"/>
        <w:jc w:val="center"/>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6"/>
        <w:tblW w:w="4873" w:type="pct"/>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1"/>
        <w:gridCol w:w="1459"/>
        <w:gridCol w:w="4723"/>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0"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28"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09"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9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70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2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292.15</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二十四、预备费</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二十五、其他支出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二十六、转移性支出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二十七、债务还本支出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二十八、债务付息支出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二十九、债务发行费用支出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三十、抗疫特别国债安排的支出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lang w:val="en-US" w:eastAsia="zh-CN" w:bidi="ar"/>
              </w:rPr>
              <w:t>本 年 收 入 合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292.15</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lang w:val="en-US" w:eastAsia="zh-CN" w:bidi="ar"/>
              </w:rPr>
              <w:t>本 年 支 出 合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292.60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七、用事业基金弥补收支差额</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三十一、事业单位结余分配 </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0.45</w:t>
            </w:r>
          </w:p>
        </w:tc>
        <w:tc>
          <w:tcPr>
            <w:tcW w:w="17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其中：转入事业基金</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Hiragino Sans GB" w:hAnsi="Hiragino Sans GB" w:eastAsia="Hiragino Sans GB" w:cs="Hiragino Sans GB"/>
                <w:i w:val="0"/>
                <w:iCs w:val="0"/>
                <w:color w:val="000000"/>
                <w:sz w:val="18"/>
                <w:szCs w:val="18"/>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三十二、结转下年</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292.60</w:t>
            </w:r>
          </w:p>
        </w:tc>
        <w:tc>
          <w:tcPr>
            <w:tcW w:w="170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292.60</w:t>
            </w:r>
          </w:p>
        </w:tc>
      </w:tr>
    </w:tbl>
    <w:p>
      <w:pPr>
        <w:numPr>
          <w:ilvl w:val="0"/>
          <w:numId w:val="1"/>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pPr>
        <w:pStyle w:val="2"/>
        <w:numPr>
          <w:ilvl w:val="0"/>
          <w:numId w:val="0"/>
        </w:numPr>
        <w:ind w:left="8000" w:hanging="8000" w:hangingChars="2500"/>
        <w:rPr>
          <w:rFonts w:hint="eastAsia"/>
          <w:lang w:val="en-US" w:eastAsia="zh-CN"/>
        </w:rPr>
      </w:pPr>
      <w:r>
        <w:rPr>
          <w:rFonts w:hint="eastAsia"/>
          <w:lang w:val="en-US" w:eastAsia="zh-CN"/>
        </w:rPr>
        <w:t xml:space="preserve">                                         </w:t>
      </w:r>
    </w:p>
    <w:tbl>
      <w:tblPr>
        <w:tblStyle w:val="6"/>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881"/>
        <w:gridCol w:w="1331"/>
        <w:gridCol w:w="1110"/>
        <w:gridCol w:w="695"/>
        <w:gridCol w:w="638"/>
        <w:gridCol w:w="650"/>
        <w:gridCol w:w="984"/>
        <w:gridCol w:w="816"/>
        <w:gridCol w:w="900"/>
        <w:gridCol w:w="967"/>
        <w:gridCol w:w="1233"/>
        <w:gridCol w:w="1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7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3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6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6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9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1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9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9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2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9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81"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3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1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2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292.60</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292.15</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退役军人事务局</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6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3 部门支出总表</w:t>
      </w:r>
    </w:p>
    <w:tbl>
      <w:tblPr>
        <w:tblStyle w:val="6"/>
        <w:tblpPr w:leftFromText="180" w:rightFromText="180" w:vertAnchor="text" w:horzAnchor="page" w:tblpX="1576" w:tblpY="642"/>
        <w:tblOverlap w:val="never"/>
        <w:tblW w:w="48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915"/>
        <w:gridCol w:w="942"/>
        <w:gridCol w:w="1970"/>
        <w:gridCol w:w="2077"/>
        <w:gridCol w:w="1581"/>
        <w:gridCol w:w="1523"/>
        <w:gridCol w:w="1441"/>
        <w:gridCol w:w="1221"/>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478"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7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19"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1"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47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4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1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3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7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7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292.60</w:t>
            </w:r>
          </w:p>
        </w:tc>
        <w:tc>
          <w:tcPr>
            <w:tcW w:w="5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91.75</w:t>
            </w:r>
          </w:p>
        </w:tc>
        <w:tc>
          <w:tcPr>
            <w:tcW w:w="5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5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91.75</w:t>
            </w:r>
          </w:p>
        </w:tc>
        <w:tc>
          <w:tcPr>
            <w:tcW w:w="5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退役军人事务局</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54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91.75</w:t>
            </w:r>
          </w:p>
        </w:tc>
        <w:tc>
          <w:tcPr>
            <w:tcW w:w="51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机关事业单位基本养老保险缴费支出</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机关事业单位职业年金缴费支出</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义务兵优待</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其他优抚支出</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行政运行</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拥军优属</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行政单位医疗</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公务员医疗补助</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3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3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74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 xml:space="preserve"> 住房公积金</w:t>
            </w:r>
          </w:p>
        </w:tc>
        <w:tc>
          <w:tcPr>
            <w:tcW w:w="5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4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1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4 财政拨款收支预算总表</w:t>
      </w:r>
    </w:p>
    <w:tbl>
      <w:tblPr>
        <w:tblStyle w:val="6"/>
        <w:tblpPr w:leftFromText="180" w:rightFromText="180" w:vertAnchor="text" w:horzAnchor="page" w:tblpX="1559" w:tblpY="641"/>
        <w:tblOverlap w:val="never"/>
        <w:tblW w:w="49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5"/>
        <w:gridCol w:w="1490"/>
        <w:gridCol w:w="1916"/>
        <w:gridCol w:w="1578"/>
        <w:gridCol w:w="1828"/>
        <w:gridCol w:w="2454"/>
        <w:gridCol w:w="2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306"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88"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7"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56"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98"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0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69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68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6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88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89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292.15</w:t>
            </w:r>
          </w:p>
        </w:tc>
        <w:tc>
          <w:tcPr>
            <w:tcW w:w="68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292.60</w:t>
            </w: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一、上年结转</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0.45</w:t>
            </w: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0.45</w:t>
            </w: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280.10</w:t>
            </w: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280.10</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5.45</w:t>
            </w: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5.45</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7.05</w:t>
            </w: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7.05</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70"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88"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6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65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jc w:val="both"/>
        <w:rPr>
          <w:rFonts w:hint="default" w:ascii="仿宋_GB2312" w:hAnsi="仿宋" w:eastAsia="仿宋_GB2312"/>
          <w:sz w:val="32"/>
          <w:szCs w:val="32"/>
          <w:highlight w:val="none"/>
          <w:lang w:eastAsia="zh-Hans"/>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rPr>
          <w:rFonts w:hint="eastAsia" w:ascii="宋体" w:hAnsi="宋体" w:eastAsia="宋体" w:cs="宋体"/>
          <w:i w:val="0"/>
          <w:iCs w:val="0"/>
          <w:color w:val="000000"/>
          <w:sz w:val="22"/>
          <w:szCs w:val="22"/>
          <w:u w:val="none"/>
        </w:rPr>
        <w:sectPr>
          <w:pgSz w:w="16838" w:h="11906" w:orient="landscape"/>
          <w:pgMar w:top="1803" w:right="1440" w:bottom="1803" w:left="1440" w:header="851" w:footer="992" w:gutter="0"/>
          <w:cols w:space="0" w:num="1"/>
          <w:rtlGutter w:val="0"/>
          <w:docGrid w:type="lines" w:linePitch="319" w:charSpace="0"/>
        </w:sectPr>
      </w:pPr>
    </w:p>
    <w:tbl>
      <w:tblPr>
        <w:tblStyle w:val="6"/>
        <w:tblW w:w="318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8"/>
        <w:gridCol w:w="971"/>
        <w:gridCol w:w="871"/>
        <w:gridCol w:w="1116"/>
        <w:gridCol w:w="1100"/>
        <w:gridCol w:w="1100"/>
        <w:gridCol w:w="1100"/>
        <w:gridCol w:w="684"/>
        <w:gridCol w:w="250"/>
        <w:gridCol w:w="398"/>
        <w:gridCol w:w="972"/>
        <w:gridCol w:w="719"/>
        <w:gridCol w:w="1182"/>
        <w:gridCol w:w="972"/>
        <w:gridCol w:w="595"/>
        <w:gridCol w:w="594"/>
        <w:gridCol w:w="972"/>
        <w:gridCol w:w="972"/>
        <w:gridCol w:w="594"/>
        <w:gridCol w:w="972"/>
        <w:gridCol w:w="972"/>
        <w:gridCol w:w="719"/>
        <w:gridCol w:w="1182"/>
        <w:gridCol w:w="972"/>
        <w:gridCol w:w="595"/>
        <w:gridCol w:w="594"/>
        <w:gridCol w:w="972"/>
        <w:gridCol w:w="972"/>
        <w:gridCol w:w="594"/>
        <w:gridCol w:w="972"/>
        <w:gridCol w:w="972"/>
        <w:gridCol w:w="594"/>
        <w:gridCol w:w="972"/>
        <w:gridCol w:w="972"/>
        <w:gridCol w:w="594"/>
        <w:gridCol w:w="808"/>
        <w:gridCol w:w="164"/>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pStyle w:val="2"/>
              <w:spacing w:line="240" w:lineRule="auto"/>
              <w:ind w:left="0" w:leftChars="0" w:firstLine="0" w:firstLineChars="0"/>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-10795</wp:posOffset>
                  </wp:positionH>
                  <wp:positionV relativeFrom="paragraph">
                    <wp:posOffset>-41275</wp:posOffset>
                  </wp:positionV>
                  <wp:extent cx="9042400" cy="5195570"/>
                  <wp:effectExtent l="0" t="0" r="6350" b="5080"/>
                  <wp:wrapNone/>
                  <wp:docPr id="1" name="图片 1" descr="1737449576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7449576797"/>
                          <pic:cNvPicPr>
                            <a:picLocks noChangeAspect="1"/>
                          </pic:cNvPicPr>
                        </pic:nvPicPr>
                        <pic:blipFill>
                          <a:blip r:embed="rId6"/>
                          <a:stretch>
                            <a:fillRect/>
                          </a:stretch>
                        </pic:blipFill>
                        <pic:spPr>
                          <a:xfrm>
                            <a:off x="0" y="0"/>
                            <a:ext cx="9042400" cy="5195570"/>
                          </a:xfrm>
                          <a:prstGeom prst="rect">
                            <a:avLst/>
                          </a:prstGeom>
                        </pic:spPr>
                      </pic:pic>
                    </a:graphicData>
                  </a:graphic>
                </wp:anchor>
              </w:drawing>
            </w:r>
          </w:p>
        </w:tc>
        <w:tc>
          <w:tcPr>
            <w:tcW w:w="97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36" w:type="dxa"/>
          <w:trHeight w:val="398" w:hRule="atLeast"/>
        </w:trPr>
        <w:tc>
          <w:tcPr>
            <w:tcW w:w="30708" w:type="dxa"/>
            <w:gridSpan w:val="3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bl>
    <w:p>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一般公共预算基本支出预算表</w:t>
      </w:r>
    </w:p>
    <w:tbl>
      <w:tblPr>
        <w:tblStyle w:val="6"/>
        <w:tblW w:w="48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657"/>
        <w:gridCol w:w="661"/>
        <w:gridCol w:w="1556"/>
        <w:gridCol w:w="2758"/>
        <w:gridCol w:w="1854"/>
        <w:gridCol w:w="2305"/>
        <w:gridCol w:w="3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67"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6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74"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325"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69"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7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32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17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9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9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9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292.60</w:t>
            </w:r>
          </w:p>
        </w:tc>
        <w:tc>
          <w:tcPr>
            <w:tcW w:w="8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292.15</w:t>
            </w:r>
          </w:p>
        </w:tc>
        <w:tc>
          <w:tcPr>
            <w:tcW w:w="11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8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11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退役军人事务局部门</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292.60</w:t>
            </w:r>
          </w:p>
        </w:tc>
        <w:tc>
          <w:tcPr>
            <w:tcW w:w="83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292.15</w:t>
            </w:r>
          </w:p>
        </w:tc>
        <w:tc>
          <w:tcPr>
            <w:tcW w:w="11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拥军优属</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9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99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6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83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drawing>
          <wp:inline distT="0" distB="0" distL="114300" distR="114300">
            <wp:extent cx="5266690" cy="7240905"/>
            <wp:effectExtent l="0" t="0" r="10160" b="17145"/>
            <wp:docPr id="3" name="图片 3"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1"/>
                    <pic:cNvPicPr>
                      <a:picLocks noChangeAspect="1"/>
                    </pic:cNvPicPr>
                  </pic:nvPicPr>
                  <pic:blipFill>
                    <a:blip r:embed="rId7"/>
                    <a:stretch>
                      <a:fillRect/>
                    </a:stretch>
                  </pic:blipFill>
                  <pic:spPr>
                    <a:xfrm>
                      <a:off x="0" y="0"/>
                      <a:ext cx="5266690" cy="7240905"/>
                    </a:xfrm>
                    <a:prstGeom prst="rect">
                      <a:avLst/>
                    </a:prstGeom>
                  </pic:spPr>
                </pic:pic>
              </a:graphicData>
            </a:graphic>
          </wp:inline>
        </w:drawing>
      </w:r>
    </w:p>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sectPr>
          <w:pgSz w:w="11906" w:h="16838"/>
          <w:pgMar w:top="1440" w:right="1803" w:bottom="1440" w:left="1803" w:header="851" w:footer="992" w:gutter="0"/>
          <w:cols w:space="0" w:num="1"/>
          <w:rtlGutter w:val="0"/>
          <w:docGrid w:type="lines" w:linePitch="319" w:charSpace="0"/>
        </w:sect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910"/>
        <w:gridCol w:w="2111"/>
        <w:gridCol w:w="6516"/>
        <w:gridCol w:w="2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8"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921"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2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9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退役安置补助</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重点优抚对象抚恤补助经费</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拥军优属</w:t>
            </w:r>
          </w:p>
        </w:tc>
        <w:tc>
          <w:tcPr>
            <w:tcW w:w="26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7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298"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双拥工作专项工作经费</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6"/>
        <w:tblW w:w="139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3"/>
        <w:gridCol w:w="1384"/>
        <w:gridCol w:w="893"/>
        <w:gridCol w:w="1540"/>
        <w:gridCol w:w="1759"/>
        <w:gridCol w:w="1258"/>
        <w:gridCol w:w="2216"/>
        <w:gridCol w:w="3250"/>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8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950"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2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3284"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 w:type="dxa"/>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221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3250" w:type="dxa"/>
            <w:tcBorders>
              <w:top w:val="single" w:color="C2C3C4" w:sz="4" w:space="0"/>
              <w:left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退役军人事务局</w:t>
            </w:r>
          </w:p>
        </w:tc>
        <w:tc>
          <w:tcPr>
            <w:tcW w:w="89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1959"/>
        <w:gridCol w:w="3667"/>
        <w:gridCol w:w="1500"/>
        <w:gridCol w:w="1967"/>
        <w:gridCol w:w="3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3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5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9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6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5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34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3426"/>
        <w:gridCol w:w="1966"/>
        <w:gridCol w:w="1617"/>
        <w:gridCol w:w="2200"/>
        <w:gridCol w:w="3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7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6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4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4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4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6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4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tbl>
      <w:tblPr>
        <w:tblStyle w:val="6"/>
        <w:tblpPr w:leftFromText="180" w:rightFromText="180" w:vertAnchor="text" w:horzAnchor="page" w:tblpX="1721" w:tblpY="725"/>
        <w:tblOverlap w:val="never"/>
        <w:tblW w:w="13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1433"/>
        <w:gridCol w:w="665"/>
        <w:gridCol w:w="2571"/>
        <w:gridCol w:w="863"/>
        <w:gridCol w:w="1216"/>
        <w:gridCol w:w="1408"/>
        <w:gridCol w:w="857"/>
        <w:gridCol w:w="991"/>
        <w:gridCol w:w="920"/>
        <w:gridCol w:w="547"/>
        <w:gridCol w:w="8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518"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3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21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40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9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2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47"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310.15</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318001-退役军人事务局</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51322521T000000044724-双拥工作专项工作经费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"1.各类双拥标识：30*1000=30000元。2.做双拥宣传片：1*30000=30000元。3.双拥宣传资料：1*3000=3000元。4.双拥劳务费：1*20000元=20000元。5.双拥工作差旅费:1*40000元=40000元。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专户资金（万元）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上年预算（万元）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上年绩效考评结果：</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享受工作经费人数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服务双拥工作的开展</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使服务对象满意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工作经费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51322521T000000044745--清明祭扫活动经费；八一建军节慰问金、春节慰问金、9.30烈士纪念日慰问及专项工作经费</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17.55</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51322522T000006030183-优抚医疗补助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通过发放优抚对象医疗补助资金，对优抚对象参保缴费住院和门诊费用进行补助，有效帮助解决优抚对象医疗难问题。</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享受医疗补助人数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优抚对象医疗费缴纳合格率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每个月缴纳一次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保障优抚对象切身利益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提高优抚对象生活水平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医疗补助总成本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51322522T000006038903-新春慰问经费（退役军人事务局）</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51322525R000012400304-年度考核奖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51322521T000000046771-医疗费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24.80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14基本人医疗保险和公务员缴费</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享受军休和军转干部医疗人数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14人保险缴费保障</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每月缴纳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提高安置军人家庭收入水平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医疗费总成本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25.23</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51322523T000008579806-重点优抚对象抚恤补助经费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1.抚恤经费（160人）：（1）残疾军人等35人，残疾抚恤金平均31800元，计1113000万元；（2） 在乡老复员军人24900元/人（州：9960元，县：14940元）。14人计209160元。（3）带病回乡9810元/人，其中中央负担7560元，地方2250元（省：1125元，州：450，县675元），6人计4050元。（4）参战人员10080元/人，中央负担8060元/年，省：1010元，州：404元，县：606元。20人计12120元。   2.自然增长经费（县级财政全额承担）：其他重点优抚对象154人：（19802-18420）*20%=276元/人，154人计42504元；三属：（129537-121352）*5%=409元/人。6人计2454元；3.护理费：2023年职工平均工资为10795元/人。计算杨雷全年护理费按10795（1+10%）*30%*12个月=42748元；4.优抚对象提高标准经费：其他优抚对象提高标准金额16030元/年，其中省:8015,州：3206元，县：4809元。复员军人：9480元/年，州：3792元，县：5688元。5.重点优抚对象死亡丧葬费40000元。6.二乙伤残医疗费：3*700元/月*12*0.6=15120元。      </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51322523T000008581309-退役安置补助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1、2025年预测退役义务兵14人、士官11人。 县级承担：义务兵退伍14人：（14人*6000元*2年-14人*5000/年）*80%=9.8万元 ； 2、士官退伍11人：其中5年士官5人，（5人*5年*7000元-5*6000/年）*80%=11.6万元；8年士官6人，（6人*7000*8年-6人*6000/年*80%）=30万元，2025年预计18人退役共需安置费36.08万元。3、退役士兵待安排工作期间的生活补助费标准为：“退役士兵待安排工作期间，待安排工作期间的生活补助标准为当地上年度最低工资标准。”2025年预计安置4人，生活补助预计3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每6个月兑现一次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促进我县稳定发展,鼓励适龄青年积极参军保家卫国,</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51322523T000008581400-义务兵优待</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1.优待金：（1）2023年入伍第二年优待金标准：17842/年/人(其中：中央：10000元，省：4000元，县：3842元） ，21人：3842*21人=80682元；（2）2024年9月及2025年3月优待金预计30人：18840/年/人（中央：10000元，省：4000元，县4840元）共计：4840*30人=145200元；（3）消防兵优待金(2年）：2023年入职预计6人，17842元/年/人，计214104元； 2.大学生入伍奖励金：2024年9月及2025年3月预计20人：其中专科毕业生10人*20000元=200000元、专科在校生10人*10000元=100000元。3.现役军人立功受奖：立功受25人，其中二等功预计：8000*2=16000元；三等功预计：5000*6=30000元；优秀士兵预计：17*1000=17000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享受义务兵优待金人数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每6个月兑现一次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提高义务兵家庭收入水平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51322524R000010093953-聘用人员工资</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4.73</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51322525R000012772749-基础绩效奖</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14.58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51322525T000012615337-军休干部定期增资调资经费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2025年军休干部共计4人，全年共计需要10080元。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享受军休增资调资人数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军休人员工资发放合格率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每月发放一次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保障离退干部切身利益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提高军休干部收入</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军休增资调资经费项目总成本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bl>
    <w:p>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jc w:val="center"/>
        <w:rPr>
          <w:rFonts w:hint="eastAsia" w:ascii="黑体" w:hAnsi="黑体" w:eastAsia="黑体"/>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pPr>
        <w:rPr>
          <w:rFonts w:ascii="黑体" w:hAnsi="黑体" w:eastAsia="黑体"/>
          <w:sz w:val="32"/>
          <w:szCs w:val="32"/>
        </w:rPr>
      </w:pPr>
      <w:r>
        <w:rPr>
          <w:rFonts w:hint="eastAsia" w:ascii="黑体" w:hAnsi="黑体" w:eastAsia="黑体"/>
          <w:sz w:val="32"/>
          <w:szCs w:val="32"/>
        </w:rPr>
        <w:t>一、收支预算情况说明</w:t>
      </w:r>
    </w:p>
    <w:p>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退役军人事务局</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292.60</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292.15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上年结转0.45万元，占0.2%</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292.60</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91.75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31.3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200.85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68.7</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退役军人事务局</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292.60</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2024</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35.40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292.15</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0.45万元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280.10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5.45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7.05</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292.60</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35.40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280.10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95.70</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7.05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2.5</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8.39</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4.7</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80.30</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37.90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54.4</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24.80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66.61</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:2025年预算数为4.11</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0.88</w:t>
      </w:r>
      <w:r>
        <w:rPr>
          <w:rFonts w:hint="eastAsia" w:ascii="仿宋_GB2312" w:eastAsia="仿宋_GB2312"/>
          <w:sz w:val="32"/>
          <w:szCs w:val="32"/>
          <w:shd w:val="clear" w:color="auto" w:fill="FFFFFF"/>
        </w:rPr>
        <w:t>万元，主要用于：机关及事业单位集中缴纳公务员医疗补助支出。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0.45</w:t>
      </w:r>
      <w:r>
        <w:rPr>
          <w:rFonts w:hint="eastAsia" w:ascii="仿宋_GB2312" w:eastAsia="仿宋_GB2312"/>
          <w:sz w:val="32"/>
          <w:szCs w:val="32"/>
          <w:shd w:val="clear" w:color="auto" w:fill="FFFFFF"/>
        </w:rPr>
        <w:t>万元，主要用于：机关及事业单位集中缴纳公务员医疗补助支出。</w:t>
      </w:r>
    </w:p>
    <w:p>
      <w:pPr>
        <w:pStyle w:val="2"/>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7.05</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91.75</w:t>
      </w:r>
      <w:r>
        <w:rPr>
          <w:rFonts w:hint="eastAsia" w:ascii="仿宋_GB2312" w:hAnsi="黑体" w:eastAsia="仿宋_GB2312"/>
          <w:sz w:val="32"/>
          <w:szCs w:val="32"/>
        </w:rPr>
        <w:t>万元，其中：</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86.07</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2.04</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eastAsia="仿宋_GB2312"/>
          <w:sz w:val="32"/>
          <w:szCs w:val="32"/>
          <w:shd w:val="clear" w:color="auto" w:fill="FFFFFF"/>
        </w:rPr>
        <w:t>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退役军人事务局</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200.85</w:t>
      </w:r>
      <w:r>
        <w:rPr>
          <w:rFonts w:hint="eastAsia" w:ascii="仿宋_GB2312" w:hAnsi="黑体" w:eastAsia="仿宋_GB2312"/>
          <w:color w:val="000000" w:themeColor="text1"/>
          <w:sz w:val="32"/>
          <w:szCs w:val="32"/>
          <w14:textFill>
            <w14:solidFill>
              <w14:schemeClr w14:val="tx1"/>
            </w14:solidFill>
          </w14:textFill>
        </w:rPr>
        <w:t>万元。</w:t>
      </w: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）:机关及事业单位集中缴纳公务员医疗补助支出。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）:机关及事业单位集中缴纳公务员医疗补助支出。</w:t>
      </w:r>
    </w:p>
    <w:p>
      <w:pPr>
        <w:pStyle w:val="2"/>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rPr>
          <w:rFonts w:hint="eastAsia"/>
        </w:rPr>
      </w:pPr>
    </w:p>
    <w:p/>
    <w:p>
      <w:pPr>
        <w:pStyle w:val="2"/>
      </w:pPr>
    </w:p>
    <w:p/>
    <w:p>
      <w:pPr>
        <w:pStyle w:val="2"/>
      </w:pPr>
    </w:p>
    <w:p/>
    <w:p>
      <w:pPr>
        <w:pStyle w:val="2"/>
      </w:pPr>
    </w:p>
    <w:p/>
    <w:p>
      <w:pPr>
        <w:pStyle w:val="2"/>
      </w:pPr>
    </w:p>
    <w:p/>
    <w:p>
      <w:pPr>
        <w:pStyle w:val="2"/>
      </w:pPr>
    </w:p>
    <w:p/>
    <w:p>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九寨沟县退役军人事务局</w:t>
      </w:r>
    </w:p>
    <w:p>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2025年1月22日</w:t>
      </w:r>
    </w:p>
    <w:p>
      <w:pPr>
        <w:rPr>
          <w:rFonts w:ascii="仿宋" w:hAnsi="仿宋" w:eastAsia="仿宋"/>
          <w:b/>
          <w:sz w:val="32"/>
          <w:szCs w:val="32"/>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ialog . bold">
    <w:altName w:val="Segoe Print"/>
    <w:panose1 w:val="00000000000000000000"/>
    <w:charset w:val="00"/>
    <w:family w:val="auto"/>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2000000000000000000"/>
    <w:charset w:val="86"/>
    <w:family w:val="script"/>
    <w:pitch w:val="default"/>
    <w:sig w:usb0="00000000" w:usb1="00000000" w:usb2="00000000" w:usb3="00000000" w:csb0="00060000" w:csb1="00000000"/>
  </w:font>
  <w:font w:name="仿宋_GB2312">
    <w:altName w:val="仿宋"/>
    <w:panose1 w:val="02010609030101010101"/>
    <w:charset w:val="86"/>
    <w:family w:val="modern"/>
    <w:pitch w:val="default"/>
    <w:sig w:usb0="00000000" w:usb1="00000000" w:usb2="00000000" w:usb3="00000000" w:csb0="0006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4"/>
      <w:ind w:right="360" w:firstLine="360"/>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29D39"/>
    <w:multiLevelType w:val="singleLevel"/>
    <w:tmpl w:val="96429D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1bc3bb26-b114-453b-9bb1-eafef3a09557"/>
  </w:docVars>
  <w:rsids>
    <w:rsidRoot w:val="00540C06"/>
    <w:rsid w:val="0004358F"/>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615F6"/>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A031C9"/>
    <w:rsid w:val="02223D56"/>
    <w:rsid w:val="031B6485"/>
    <w:rsid w:val="03D5118C"/>
    <w:rsid w:val="04FD1786"/>
    <w:rsid w:val="05FEC680"/>
    <w:rsid w:val="086D2EE6"/>
    <w:rsid w:val="087F15CC"/>
    <w:rsid w:val="0910429D"/>
    <w:rsid w:val="0A063AD2"/>
    <w:rsid w:val="0A8A7C95"/>
    <w:rsid w:val="0BA024DC"/>
    <w:rsid w:val="0BC319BB"/>
    <w:rsid w:val="0C662A91"/>
    <w:rsid w:val="0C770C50"/>
    <w:rsid w:val="0CFB5DF7"/>
    <w:rsid w:val="0DA41AC3"/>
    <w:rsid w:val="0E7D469E"/>
    <w:rsid w:val="0E997825"/>
    <w:rsid w:val="0EAB6491"/>
    <w:rsid w:val="0EC05AD5"/>
    <w:rsid w:val="0EC67B4C"/>
    <w:rsid w:val="0ECDBE52"/>
    <w:rsid w:val="0F0E4F56"/>
    <w:rsid w:val="0FFFB353"/>
    <w:rsid w:val="10030812"/>
    <w:rsid w:val="1095683E"/>
    <w:rsid w:val="10997FE2"/>
    <w:rsid w:val="10B416E8"/>
    <w:rsid w:val="10BD1BA7"/>
    <w:rsid w:val="11A5158E"/>
    <w:rsid w:val="12591CAC"/>
    <w:rsid w:val="1346119F"/>
    <w:rsid w:val="14B5076E"/>
    <w:rsid w:val="16726E2C"/>
    <w:rsid w:val="16F8513D"/>
    <w:rsid w:val="176D963B"/>
    <w:rsid w:val="1822758C"/>
    <w:rsid w:val="19BB023B"/>
    <w:rsid w:val="1A4D304E"/>
    <w:rsid w:val="1A791932"/>
    <w:rsid w:val="1A815666"/>
    <w:rsid w:val="1AFD0A64"/>
    <w:rsid w:val="1B7F798D"/>
    <w:rsid w:val="1B955704"/>
    <w:rsid w:val="1DB52E23"/>
    <w:rsid w:val="1DCA7AC1"/>
    <w:rsid w:val="1E1A147C"/>
    <w:rsid w:val="1E581FDB"/>
    <w:rsid w:val="1E9D39E6"/>
    <w:rsid w:val="1F161AA9"/>
    <w:rsid w:val="1F385DE2"/>
    <w:rsid w:val="1F3B0AC1"/>
    <w:rsid w:val="1F562480"/>
    <w:rsid w:val="1F5E9DB6"/>
    <w:rsid w:val="20F5151F"/>
    <w:rsid w:val="2117AD81"/>
    <w:rsid w:val="214C00E7"/>
    <w:rsid w:val="219C36DF"/>
    <w:rsid w:val="21C61DF9"/>
    <w:rsid w:val="21F75307"/>
    <w:rsid w:val="236E4ADF"/>
    <w:rsid w:val="23700025"/>
    <w:rsid w:val="23DC1A9A"/>
    <w:rsid w:val="243449EB"/>
    <w:rsid w:val="25AA29BA"/>
    <w:rsid w:val="25AD5E8A"/>
    <w:rsid w:val="25C85E16"/>
    <w:rsid w:val="25D2706E"/>
    <w:rsid w:val="26152813"/>
    <w:rsid w:val="270806C6"/>
    <w:rsid w:val="27544B2C"/>
    <w:rsid w:val="27582548"/>
    <w:rsid w:val="276B5944"/>
    <w:rsid w:val="27AA3AF6"/>
    <w:rsid w:val="27E923ED"/>
    <w:rsid w:val="27FB2020"/>
    <w:rsid w:val="28236B82"/>
    <w:rsid w:val="28D972B4"/>
    <w:rsid w:val="2A862114"/>
    <w:rsid w:val="2AD30B2A"/>
    <w:rsid w:val="2ADC76FD"/>
    <w:rsid w:val="2B856638"/>
    <w:rsid w:val="2BE512DE"/>
    <w:rsid w:val="2BEE6E8A"/>
    <w:rsid w:val="2D8C6352"/>
    <w:rsid w:val="2D96384A"/>
    <w:rsid w:val="2E7ACAF3"/>
    <w:rsid w:val="2EFFE7AD"/>
    <w:rsid w:val="2F3A781F"/>
    <w:rsid w:val="2F663218"/>
    <w:rsid w:val="2F857DEF"/>
    <w:rsid w:val="2FC00586"/>
    <w:rsid w:val="2FEDA3F1"/>
    <w:rsid w:val="30CB2FB5"/>
    <w:rsid w:val="3257C860"/>
    <w:rsid w:val="325A3968"/>
    <w:rsid w:val="337561E8"/>
    <w:rsid w:val="33FFF3CD"/>
    <w:rsid w:val="345D5DD5"/>
    <w:rsid w:val="348F31FA"/>
    <w:rsid w:val="34F928A8"/>
    <w:rsid w:val="352A11F6"/>
    <w:rsid w:val="35392130"/>
    <w:rsid w:val="36F23567"/>
    <w:rsid w:val="375D309C"/>
    <w:rsid w:val="376D4301"/>
    <w:rsid w:val="379C68EB"/>
    <w:rsid w:val="37ED2099"/>
    <w:rsid w:val="37FE0A31"/>
    <w:rsid w:val="386977F7"/>
    <w:rsid w:val="39946EB9"/>
    <w:rsid w:val="39D32D28"/>
    <w:rsid w:val="39D792D9"/>
    <w:rsid w:val="3A9157C5"/>
    <w:rsid w:val="3ADC7405"/>
    <w:rsid w:val="3AFBF1C6"/>
    <w:rsid w:val="3BBFDE14"/>
    <w:rsid w:val="3BC24297"/>
    <w:rsid w:val="3C5739F9"/>
    <w:rsid w:val="3C6D4546"/>
    <w:rsid w:val="3CB393A4"/>
    <w:rsid w:val="3CE6634A"/>
    <w:rsid w:val="3CFE796A"/>
    <w:rsid w:val="3DF3E130"/>
    <w:rsid w:val="3EED8CAE"/>
    <w:rsid w:val="3EFFEFC0"/>
    <w:rsid w:val="3FB5E172"/>
    <w:rsid w:val="3FDC468F"/>
    <w:rsid w:val="3FDF2925"/>
    <w:rsid w:val="3FDFA91F"/>
    <w:rsid w:val="3FE1DEFB"/>
    <w:rsid w:val="3FE5F325"/>
    <w:rsid w:val="3FEF3B35"/>
    <w:rsid w:val="3FFADC58"/>
    <w:rsid w:val="40231DAD"/>
    <w:rsid w:val="40260303"/>
    <w:rsid w:val="403E51E3"/>
    <w:rsid w:val="42622506"/>
    <w:rsid w:val="4265476F"/>
    <w:rsid w:val="432713CE"/>
    <w:rsid w:val="433C187A"/>
    <w:rsid w:val="43C74CE4"/>
    <w:rsid w:val="43CD04E9"/>
    <w:rsid w:val="442F7757"/>
    <w:rsid w:val="4430514A"/>
    <w:rsid w:val="44613C8E"/>
    <w:rsid w:val="44CD3745"/>
    <w:rsid w:val="45433394"/>
    <w:rsid w:val="45730A20"/>
    <w:rsid w:val="4612473E"/>
    <w:rsid w:val="466D602E"/>
    <w:rsid w:val="473D614F"/>
    <w:rsid w:val="47FF5D5C"/>
    <w:rsid w:val="484511D1"/>
    <w:rsid w:val="48E14D8B"/>
    <w:rsid w:val="49004F13"/>
    <w:rsid w:val="4ADE1190"/>
    <w:rsid w:val="4B3E44B7"/>
    <w:rsid w:val="4B483AC7"/>
    <w:rsid w:val="4C3428F1"/>
    <w:rsid w:val="4CB737CA"/>
    <w:rsid w:val="4CF973FB"/>
    <w:rsid w:val="4D432018"/>
    <w:rsid w:val="4D5819A6"/>
    <w:rsid w:val="4D65648F"/>
    <w:rsid w:val="4DA75B6B"/>
    <w:rsid w:val="4EE400F6"/>
    <w:rsid w:val="4F2A7C14"/>
    <w:rsid w:val="4F9376C3"/>
    <w:rsid w:val="4FDE78CE"/>
    <w:rsid w:val="4FFFAA23"/>
    <w:rsid w:val="503E058F"/>
    <w:rsid w:val="505623AD"/>
    <w:rsid w:val="51E036BA"/>
    <w:rsid w:val="521560B8"/>
    <w:rsid w:val="52A12B15"/>
    <w:rsid w:val="52A200E3"/>
    <w:rsid w:val="53563B95"/>
    <w:rsid w:val="53A88E30"/>
    <w:rsid w:val="53FAD87A"/>
    <w:rsid w:val="53FC6842"/>
    <w:rsid w:val="54D9691A"/>
    <w:rsid w:val="54FFF2CF"/>
    <w:rsid w:val="55B47766"/>
    <w:rsid w:val="567D553A"/>
    <w:rsid w:val="568968A1"/>
    <w:rsid w:val="56AC2055"/>
    <w:rsid w:val="56C254B7"/>
    <w:rsid w:val="56DBADA4"/>
    <w:rsid w:val="57055882"/>
    <w:rsid w:val="571D00BA"/>
    <w:rsid w:val="579CE624"/>
    <w:rsid w:val="57AC301B"/>
    <w:rsid w:val="58D923F1"/>
    <w:rsid w:val="594D2EB9"/>
    <w:rsid w:val="595219B7"/>
    <w:rsid w:val="5A35532B"/>
    <w:rsid w:val="5A7BF1E5"/>
    <w:rsid w:val="5BA78D5E"/>
    <w:rsid w:val="5BB87DBA"/>
    <w:rsid w:val="5BDD07C4"/>
    <w:rsid w:val="5BE762D4"/>
    <w:rsid w:val="5CD50109"/>
    <w:rsid w:val="5DC82082"/>
    <w:rsid w:val="5DD40BD5"/>
    <w:rsid w:val="5DDB1F64"/>
    <w:rsid w:val="5DDDD882"/>
    <w:rsid w:val="5DE7BCA1"/>
    <w:rsid w:val="5DFFBFAA"/>
    <w:rsid w:val="5E011D44"/>
    <w:rsid w:val="5E8924F5"/>
    <w:rsid w:val="5EFFDDE2"/>
    <w:rsid w:val="5F1104A7"/>
    <w:rsid w:val="5F63011B"/>
    <w:rsid w:val="5F763C0F"/>
    <w:rsid w:val="5F7A982F"/>
    <w:rsid w:val="5FBF1457"/>
    <w:rsid w:val="5FED60AA"/>
    <w:rsid w:val="5FEFF4C2"/>
    <w:rsid w:val="61691F7C"/>
    <w:rsid w:val="61A1006B"/>
    <w:rsid w:val="625B18C5"/>
    <w:rsid w:val="63F385C0"/>
    <w:rsid w:val="63F5FE37"/>
    <w:rsid w:val="647F6670"/>
    <w:rsid w:val="6613520A"/>
    <w:rsid w:val="66C26A47"/>
    <w:rsid w:val="670725AE"/>
    <w:rsid w:val="67EF6A2D"/>
    <w:rsid w:val="67F5B1D0"/>
    <w:rsid w:val="69A71AE0"/>
    <w:rsid w:val="69D02B99"/>
    <w:rsid w:val="6A4FC826"/>
    <w:rsid w:val="6A6B055E"/>
    <w:rsid w:val="6ABB4935"/>
    <w:rsid w:val="6AD20775"/>
    <w:rsid w:val="6ADF4B0D"/>
    <w:rsid w:val="6AF76FF0"/>
    <w:rsid w:val="6B95175B"/>
    <w:rsid w:val="6BDF5376"/>
    <w:rsid w:val="6BE53CCB"/>
    <w:rsid w:val="6BF96C79"/>
    <w:rsid w:val="6C7964CA"/>
    <w:rsid w:val="6C7B5F76"/>
    <w:rsid w:val="6CEF960A"/>
    <w:rsid w:val="6D235CF7"/>
    <w:rsid w:val="6DD93FE6"/>
    <w:rsid w:val="6DDE03AF"/>
    <w:rsid w:val="6DE25248"/>
    <w:rsid w:val="6DFD6765"/>
    <w:rsid w:val="6E091601"/>
    <w:rsid w:val="6E2B5CF7"/>
    <w:rsid w:val="6E7E5440"/>
    <w:rsid w:val="6ED5ABCE"/>
    <w:rsid w:val="6EFF482F"/>
    <w:rsid w:val="6F632200"/>
    <w:rsid w:val="6F6DD354"/>
    <w:rsid w:val="6F850745"/>
    <w:rsid w:val="6FBBC877"/>
    <w:rsid w:val="6FF9921E"/>
    <w:rsid w:val="6FFC7CC5"/>
    <w:rsid w:val="6FFD7550"/>
    <w:rsid w:val="6FFDCB73"/>
    <w:rsid w:val="70D56CBF"/>
    <w:rsid w:val="70ED6B4B"/>
    <w:rsid w:val="713008DA"/>
    <w:rsid w:val="713734FD"/>
    <w:rsid w:val="71B202CE"/>
    <w:rsid w:val="71E74F23"/>
    <w:rsid w:val="72103E48"/>
    <w:rsid w:val="72260836"/>
    <w:rsid w:val="72AF49AA"/>
    <w:rsid w:val="72D36AF2"/>
    <w:rsid w:val="72DF0FFC"/>
    <w:rsid w:val="72E75F44"/>
    <w:rsid w:val="7396C1D0"/>
    <w:rsid w:val="73DD6FC3"/>
    <w:rsid w:val="73EFEF94"/>
    <w:rsid w:val="73F99EB8"/>
    <w:rsid w:val="742F206A"/>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4030B5"/>
    <w:rsid w:val="798678FC"/>
    <w:rsid w:val="79AB2CDA"/>
    <w:rsid w:val="79F61D8B"/>
    <w:rsid w:val="79FFA147"/>
    <w:rsid w:val="7A7E4875"/>
    <w:rsid w:val="7AF311F8"/>
    <w:rsid w:val="7AFEFDCB"/>
    <w:rsid w:val="7B617D36"/>
    <w:rsid w:val="7B7E99B8"/>
    <w:rsid w:val="7B846309"/>
    <w:rsid w:val="7BBE4776"/>
    <w:rsid w:val="7BD32D96"/>
    <w:rsid w:val="7BE51F1C"/>
    <w:rsid w:val="7BF3F8E7"/>
    <w:rsid w:val="7BFF7F25"/>
    <w:rsid w:val="7C912CC8"/>
    <w:rsid w:val="7CA26617"/>
    <w:rsid w:val="7CB5F156"/>
    <w:rsid w:val="7CC302A7"/>
    <w:rsid w:val="7CFFD8D7"/>
    <w:rsid w:val="7D2FEEDE"/>
    <w:rsid w:val="7D7EE79E"/>
    <w:rsid w:val="7DB36D0E"/>
    <w:rsid w:val="7DB62B57"/>
    <w:rsid w:val="7DB99F6C"/>
    <w:rsid w:val="7DC435A4"/>
    <w:rsid w:val="7DD1451E"/>
    <w:rsid w:val="7DFDFA62"/>
    <w:rsid w:val="7E7A0BCC"/>
    <w:rsid w:val="7E7D5E12"/>
    <w:rsid w:val="7E7F8246"/>
    <w:rsid w:val="7E974710"/>
    <w:rsid w:val="7EAB552B"/>
    <w:rsid w:val="7EBE603C"/>
    <w:rsid w:val="7ED208F3"/>
    <w:rsid w:val="7EF34040"/>
    <w:rsid w:val="7EFC883D"/>
    <w:rsid w:val="7EFFA64E"/>
    <w:rsid w:val="7F1D0102"/>
    <w:rsid w:val="7F385010"/>
    <w:rsid w:val="7F455B3D"/>
    <w:rsid w:val="7F5BDE60"/>
    <w:rsid w:val="7F6377BC"/>
    <w:rsid w:val="7F79C763"/>
    <w:rsid w:val="7F7FF441"/>
    <w:rsid w:val="7F8FE411"/>
    <w:rsid w:val="7FAC155A"/>
    <w:rsid w:val="7FAF7028"/>
    <w:rsid w:val="7FBBE177"/>
    <w:rsid w:val="7FBFD22B"/>
    <w:rsid w:val="7FE3BE53"/>
    <w:rsid w:val="7FE51EA2"/>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4">
    <w:name w:val="font21"/>
    <w:basedOn w:val="7"/>
    <w:qFormat/>
    <w:uiPriority w:val="0"/>
    <w:rPr>
      <w:rFonts w:hint="eastAsia" w:ascii="宋体" w:hAnsi="宋体" w:eastAsia="宋体" w:cs="宋体"/>
      <w:color w:val="000000"/>
      <w:sz w:val="18"/>
      <w:szCs w:val="18"/>
      <w:u w:val="none"/>
    </w:rPr>
  </w:style>
  <w:style w:type="character" w:customStyle="1" w:styleId="15">
    <w:name w:val="font81"/>
    <w:basedOn w:val="7"/>
    <w:qFormat/>
    <w:uiPriority w:val="0"/>
    <w:rPr>
      <w:rFonts w:ascii="Dialog . bold" w:hAnsi="Dialog . bold" w:eastAsia="Dialog . bold" w:cs="Dialog . bold"/>
      <w:b/>
      <w:bCs/>
      <w:color w:val="000000"/>
      <w:sz w:val="22"/>
      <w:szCs w:val="22"/>
      <w:u w:val="none"/>
    </w:rPr>
  </w:style>
  <w:style w:type="character" w:customStyle="1" w:styleId="16">
    <w:name w:val="font31"/>
    <w:basedOn w:val="7"/>
    <w:qFormat/>
    <w:uiPriority w:val="0"/>
    <w:rPr>
      <w:rFonts w:ascii="Dialog . plain" w:hAnsi="Dialog . plain" w:eastAsia="Dialog . plain" w:cs="Dialog . plain"/>
      <w:color w:val="000000"/>
      <w:sz w:val="22"/>
      <w:szCs w:val="22"/>
      <w:u w:val="none"/>
    </w:rPr>
  </w:style>
  <w:style w:type="character" w:customStyle="1" w:styleId="17">
    <w:name w:val="font51"/>
    <w:basedOn w:val="7"/>
    <w:qFormat/>
    <w:uiPriority w:val="0"/>
    <w:rPr>
      <w:rFonts w:ascii="Dialog . plain" w:hAnsi="Dialog . plain" w:eastAsia="Dialog . plain" w:cs="Dialog . plain"/>
      <w:color w:val="000000"/>
      <w:sz w:val="22"/>
      <w:szCs w:val="22"/>
      <w:u w:val="none"/>
    </w:rPr>
  </w:style>
  <w:style w:type="character" w:customStyle="1" w:styleId="18">
    <w:name w:val="font41"/>
    <w:basedOn w:val="7"/>
    <w:qFormat/>
    <w:uiPriority w:val="0"/>
    <w:rPr>
      <w:rFonts w:ascii="Dialog . plain" w:hAnsi="Dialog . plain" w:eastAsia="Dialog . plain" w:cs="Dialog . plain"/>
      <w:color w:val="000000"/>
      <w:sz w:val="22"/>
      <w:szCs w:val="22"/>
      <w:u w:val="none"/>
    </w:rPr>
  </w:style>
  <w:style w:type="character" w:customStyle="1" w:styleId="19">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10273</Words>
  <Characters>12368</Characters>
  <Lines>35</Lines>
  <Paragraphs>9</Paragraphs>
  <TotalTime>2</TotalTime>
  <ScaleCrop>false</ScaleCrop>
  <LinksUpToDate>false</LinksUpToDate>
  <CharactersWithSpaces>12702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2025-01-22T06:43:22Z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720ADFD0568D40BC9533921A9FFA8475</vt:lpwstr>
  </property>
</Properties>
</file>