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600" w:lineRule="exact"/>
        <w:jc w:val="center"/>
        <w:outlineLvl w:val="0"/>
        <w:rPr>
          <w:rFonts w:ascii="方正小标宋简体" w:hAnsi="宋体" w:eastAsia="方正小标宋简体"/>
          <w:color w:val="000000"/>
          <w:sz w:val="72"/>
          <w:szCs w:val="72"/>
        </w:rPr>
      </w:pPr>
      <w:bookmarkStart w:id="0" w:name="_Toc15306267"/>
    </w:p>
    <w:p>
      <w:pPr>
        <w:pageBreakBefore w:val="0"/>
        <w:kinsoku/>
        <w:wordWrap/>
        <w:overflowPunct/>
        <w:topLinePunct w:val="0"/>
        <w:bidi w:val="0"/>
        <w:spacing w:line="600" w:lineRule="exact"/>
        <w:jc w:val="center"/>
        <w:outlineLvl w:val="0"/>
        <w:rPr>
          <w:rFonts w:ascii="方正小标宋简体" w:hAnsi="宋体" w:eastAsia="方正小标宋简体"/>
          <w:color w:val="000000"/>
          <w:sz w:val="72"/>
          <w:szCs w:val="72"/>
        </w:rPr>
      </w:pPr>
    </w:p>
    <w:p>
      <w:pPr>
        <w:pageBreakBefore w:val="0"/>
        <w:kinsoku/>
        <w:wordWrap/>
        <w:overflowPunct/>
        <w:topLinePunct w:val="0"/>
        <w:bidi w:val="0"/>
        <w:spacing w:line="600" w:lineRule="exact"/>
        <w:jc w:val="center"/>
        <w:outlineLvl w:val="0"/>
        <w:rPr>
          <w:rFonts w:ascii="方正小标宋简体" w:hAnsi="宋体" w:eastAsia="方正小标宋简体"/>
          <w:color w:val="000000"/>
          <w:sz w:val="72"/>
          <w:szCs w:val="72"/>
        </w:rPr>
      </w:pPr>
    </w:p>
    <w:p>
      <w:pPr>
        <w:pageBreakBefore w:val="0"/>
        <w:kinsoku/>
        <w:wordWrap/>
        <w:overflowPunct/>
        <w:topLinePunct w:val="0"/>
        <w:bidi w:val="0"/>
        <w:spacing w:line="600" w:lineRule="exact"/>
        <w:jc w:val="center"/>
        <w:outlineLvl w:val="0"/>
        <w:rPr>
          <w:rFonts w:ascii="方正小标宋简体" w:hAnsi="宋体" w:eastAsia="方正小标宋简体"/>
          <w:color w:val="000000"/>
          <w:sz w:val="72"/>
          <w:szCs w:val="72"/>
        </w:rPr>
      </w:pPr>
    </w:p>
    <w:p>
      <w:pPr>
        <w:pageBreakBefore w:val="0"/>
        <w:kinsoku/>
        <w:wordWrap/>
        <w:overflowPunct/>
        <w:topLinePunct w:val="0"/>
        <w:bidi w:val="0"/>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193"/>
      <w:bookmarkStart w:id="3" w:name="_Toc15377425"/>
      <w:bookmarkStart w:id="4" w:name="_Toc15396475"/>
      <w:bookmarkStart w:id="5"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Start w:id="6" w:name="_Toc15378442"/>
      <w:bookmarkStart w:id="7" w:name="_Toc15377426"/>
      <w:bookmarkStart w:id="8" w:name="_Toc15396598"/>
      <w:bookmarkStart w:id="9" w:name="_Toc15377194"/>
      <w:bookmarkStart w:id="10" w:name="_Toc1539647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val="en-US" w:eastAsia="zh-CN"/>
        </w:rPr>
        <w:t>九寨沟县卫生和计划生育监督执法大队部门</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pPr>
        <w:pageBreakBefore w:val="0"/>
        <w:widowControl/>
        <w:kinsoku/>
        <w:wordWrap/>
        <w:overflowPunct/>
        <w:topLinePunct w:val="0"/>
        <w:bidi w:val="0"/>
        <w:jc w:val="both"/>
        <w:rPr>
          <w:rFonts w:ascii="方正小标宋简体" w:hAnsi="宋体" w:eastAsia="方正小标宋简体"/>
          <w:color w:val="000000"/>
          <w:sz w:val="36"/>
          <w:szCs w:val="36"/>
        </w:rPr>
      </w:pPr>
    </w:p>
    <w:p>
      <w:pPr>
        <w:pageBreakBefore w:val="0"/>
        <w:kinsoku/>
        <w:wordWrap/>
        <w:overflowPunct/>
        <w:topLinePunct w:val="0"/>
        <w:bidi w:val="0"/>
        <w:rPr>
          <w:rFonts w:ascii="方正小标宋简体" w:hAnsi="宋体" w:eastAsia="方正小标宋简体"/>
          <w:sz w:val="36"/>
          <w:szCs w:val="36"/>
        </w:rPr>
      </w:pPr>
    </w:p>
    <w:p>
      <w:pPr>
        <w:pageBreakBefore w:val="0"/>
        <w:kinsoku/>
        <w:wordWrap/>
        <w:overflowPunct/>
        <w:topLinePunct w:val="0"/>
        <w:bidi w:val="0"/>
        <w:rPr>
          <w:rFonts w:ascii="方正小标宋简体" w:hAnsi="宋体" w:eastAsia="方正小标宋简体"/>
          <w:sz w:val="36"/>
          <w:szCs w:val="36"/>
        </w:rPr>
      </w:pPr>
    </w:p>
    <w:p>
      <w:pPr>
        <w:pageBreakBefore w:val="0"/>
        <w:kinsoku/>
        <w:wordWrap/>
        <w:overflowPunct/>
        <w:topLinePunct w:val="0"/>
        <w:bidi w:val="0"/>
        <w:rPr>
          <w:rFonts w:ascii="方正小标宋简体" w:hAnsi="宋体" w:eastAsia="方正小标宋简体"/>
          <w:sz w:val="36"/>
          <w:szCs w:val="36"/>
        </w:rPr>
      </w:pPr>
    </w:p>
    <w:p>
      <w:pPr>
        <w:pStyle w:val="11"/>
        <w:pageBreakBefore w:val="0"/>
        <w:kinsoku/>
        <w:wordWrap/>
        <w:overflowPunct/>
        <w:topLinePunct w:val="0"/>
        <w:bidi w:val="0"/>
        <w:spacing w:after="0"/>
        <w:rPr>
          <w:rFonts w:ascii="方正小标宋简体" w:hAnsi="宋体" w:eastAsia="方正小标宋简体"/>
          <w:sz w:val="36"/>
          <w:szCs w:val="36"/>
        </w:rPr>
      </w:pPr>
    </w:p>
    <w:p>
      <w:pPr>
        <w:pageBreakBefore w:val="0"/>
        <w:kinsoku/>
        <w:wordWrap/>
        <w:overflowPunct/>
        <w:topLinePunct w:val="0"/>
        <w:bidi w:val="0"/>
        <w:rPr>
          <w:rFonts w:ascii="方正小标宋简体" w:hAnsi="宋体" w:eastAsia="方正小标宋简体"/>
          <w:sz w:val="36"/>
          <w:szCs w:val="36"/>
        </w:rPr>
      </w:pPr>
    </w:p>
    <w:p>
      <w:pPr>
        <w:pStyle w:val="11"/>
        <w:pageBreakBefore w:val="0"/>
        <w:kinsoku/>
        <w:wordWrap/>
        <w:overflowPunct/>
        <w:topLinePunct w:val="0"/>
        <w:bidi w:val="0"/>
        <w:spacing w:after="0"/>
      </w:pPr>
    </w:p>
    <w:p>
      <w:pPr>
        <w:pageBreakBefore w:val="0"/>
        <w:kinsoku/>
        <w:wordWrap/>
        <w:overflowPunct/>
        <w:topLinePunct w:val="0"/>
        <w:autoSpaceDE w:val="0"/>
        <w:autoSpaceDN w:val="0"/>
        <w:bidi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pageBreakBefore w:val="0"/>
        <w:kinsoku/>
        <w:wordWrap/>
        <w:overflowPunct/>
        <w:topLinePunct w:val="0"/>
        <w:autoSpaceDE w:val="0"/>
        <w:autoSpaceDN w:val="0"/>
        <w:bidi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pageBreakBefore w:val="0"/>
        <w:widowControl/>
        <w:kinsoku/>
        <w:wordWrap/>
        <w:overflowPunct/>
        <w:topLinePunct w:val="0"/>
        <w:bidi w:val="0"/>
        <w:jc w:val="center"/>
        <w:rPr>
          <w:rFonts w:ascii="方正小标宋简体" w:hAnsi="宋体" w:eastAsia="方正小标宋简体"/>
          <w:sz w:val="36"/>
          <w:szCs w:val="36"/>
        </w:rPr>
      </w:pPr>
    </w:p>
    <w:p>
      <w:pPr>
        <w:pageBreakBefore w:val="0"/>
        <w:widowControl/>
        <w:kinsoku/>
        <w:wordWrap/>
        <w:overflowPunct/>
        <w:topLinePunct w:val="0"/>
        <w:bidi w:val="0"/>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ageBreakBefore w:val="0"/>
        <w:widowControl/>
        <w:kinsoku/>
        <w:wordWrap/>
        <w:overflowPunct/>
        <w:topLinePunct w:val="0"/>
        <w:bidi w:val="0"/>
        <w:jc w:val="center"/>
        <w:rPr>
          <w:rFonts w:ascii="黑体" w:hAnsi="黑体" w:eastAsia="黑体" w:cstheme="minorBidi"/>
          <w:sz w:val="28"/>
          <w:szCs w:val="28"/>
        </w:rPr>
      </w:pPr>
    </w:p>
    <w:p>
      <w:pPr>
        <w:pStyle w:val="13"/>
        <w:pageBreakBefore w:val="0"/>
        <w:kinsoku/>
        <w:wordWrap/>
        <w:overflowPunct/>
        <w:topLinePunct w:val="0"/>
        <w:bidi w:val="0"/>
        <w:spacing w:before="0"/>
      </w:pPr>
      <w:r>
        <w:rPr>
          <w:rFonts w:hint="eastAsia"/>
        </w:rPr>
        <w:t>公开时间：2020年</w:t>
      </w:r>
      <w:r>
        <w:rPr>
          <w:rFonts w:hint="eastAsia"/>
          <w:lang w:val="en-US" w:eastAsia="zh-CN"/>
        </w:rPr>
        <w:t>8</w:t>
      </w:r>
      <w:r>
        <w:rPr>
          <w:rFonts w:hint="eastAsia"/>
        </w:rPr>
        <w:t>月</w:t>
      </w:r>
      <w:r>
        <w:t>25</w:t>
      </w:r>
      <w:r>
        <w:rPr>
          <w:rFonts w:hint="eastAsia"/>
        </w:rPr>
        <w:t>日</w:t>
      </w:r>
    </w:p>
    <w:p>
      <w:pPr>
        <w:pageBreakBefore w:val="0"/>
        <w:kinsoku/>
        <w:wordWrap/>
        <w:overflowPunct/>
        <w:topLinePunct w:val="0"/>
        <w:bidi w:val="0"/>
      </w:pPr>
    </w:p>
    <w:p>
      <w:pPr>
        <w:pStyle w:val="13"/>
        <w:pageBreakBefore w:val="0"/>
        <w:kinsoku/>
        <w:wordWrap/>
        <w:overflowPunct/>
        <w:topLinePunct w:val="0"/>
        <w:bidi w:val="0"/>
        <w:adjustRightInd w:val="0"/>
        <w:snapToGrid w:val="0"/>
        <w:spacing w:before="0" w:line="440" w:lineRule="exact"/>
        <w:jc w:val="left"/>
        <w:rPr>
          <w:rFonts w:hint="default" w:cstheme="minorBidi"/>
          <w:sz w:val="24"/>
          <w:szCs w:val="24"/>
          <w:lang w:val="en-US"/>
        </w:rPr>
      </w:pPr>
      <w:r>
        <w:rPr>
          <w:rFonts w:hint="eastAsia"/>
          <w:sz w:val="24"/>
        </w:rPr>
        <w:t>第一部分</w:t>
      </w:r>
      <w:r>
        <w:rPr>
          <w:sz w:val="24"/>
        </w:rPr>
        <w:t xml:space="preserve"> </w:t>
      </w:r>
      <w:r>
        <w:rPr>
          <w:rFonts w:hint="eastAsia"/>
          <w:sz w:val="24"/>
        </w:rPr>
        <w:t>部门概况</w:t>
      </w:r>
      <w:r>
        <w:rPr>
          <w:rFonts w:hint="eastAsia"/>
          <w:sz w:val="24"/>
          <w:lang w:val="en-US" w:eastAsia="zh-CN"/>
        </w:rPr>
        <w:t>...................................................4</w:t>
      </w:r>
    </w:p>
    <w:p>
      <w:pPr>
        <w:pStyle w:val="14"/>
        <w:pageBreakBefore w:val="0"/>
        <w:kinsoku/>
        <w:wordWrap/>
        <w:overflowPunct/>
        <w:topLinePunct w:val="0"/>
        <w:bidi w:val="0"/>
        <w:adjustRightInd w:val="0"/>
        <w:snapToGrid w:val="0"/>
        <w:spacing w:line="440" w:lineRule="exact"/>
        <w:jc w:val="left"/>
        <w:rPr>
          <w:rFonts w:hint="default" w:ascii="仿宋" w:hAnsi="仿宋" w:eastAsia="仿宋"/>
          <w:sz w:val="24"/>
          <w:lang w:val="en-US"/>
        </w:rPr>
      </w:pPr>
      <w:r>
        <w:rPr>
          <w:rFonts w:hint="eastAsia"/>
          <w:sz w:val="24"/>
        </w:rPr>
        <w:t>一、基本职能及主要工作</w:t>
      </w:r>
      <w:r>
        <w:rPr>
          <w:rFonts w:hint="eastAsia"/>
          <w:sz w:val="24"/>
          <w:lang w:val="en-US" w:eastAsia="zh-CN"/>
        </w:rPr>
        <w:t>.......................................................................................4</w:t>
      </w:r>
    </w:p>
    <w:p>
      <w:pPr>
        <w:pStyle w:val="14"/>
        <w:pageBreakBefore w:val="0"/>
        <w:kinsoku/>
        <w:wordWrap/>
        <w:overflowPunct/>
        <w:topLinePunct w:val="0"/>
        <w:bidi w:val="0"/>
        <w:adjustRightInd w:val="0"/>
        <w:snapToGrid w:val="0"/>
        <w:spacing w:line="440" w:lineRule="exact"/>
        <w:jc w:val="left"/>
        <w:rPr>
          <w:rFonts w:hint="default" w:ascii="仿宋" w:hAnsi="仿宋" w:eastAsia="仿宋" w:cstheme="minorBidi"/>
          <w:sz w:val="24"/>
          <w:lang w:val="en-US"/>
        </w:rPr>
      </w:pPr>
      <w:r>
        <w:rPr>
          <w:rFonts w:hint="eastAsia"/>
          <w:sz w:val="24"/>
        </w:rPr>
        <w:t>二、机构设置</w:t>
      </w:r>
      <w:r>
        <w:rPr>
          <w:rFonts w:hint="eastAsia"/>
          <w:sz w:val="24"/>
          <w:lang w:val="en-US" w:eastAsia="zh-CN"/>
        </w:rPr>
        <w:t>...........................................................................................................4</w:t>
      </w:r>
    </w:p>
    <w:p>
      <w:pPr>
        <w:pStyle w:val="13"/>
        <w:pageBreakBefore w:val="0"/>
        <w:kinsoku/>
        <w:wordWrap/>
        <w:overflowPunct/>
        <w:topLinePunct w:val="0"/>
        <w:bidi w:val="0"/>
        <w:adjustRightInd w:val="0"/>
        <w:snapToGrid w:val="0"/>
        <w:spacing w:before="0" w:line="440" w:lineRule="exact"/>
        <w:jc w:val="left"/>
        <w:rPr>
          <w:rFonts w:hint="default"/>
          <w:sz w:val="24"/>
          <w:szCs w:val="24"/>
          <w:lang w:val="en-US"/>
        </w:rPr>
      </w:pPr>
      <w:r>
        <w:rPr>
          <w:rFonts w:hint="eastAsia"/>
          <w:sz w:val="24"/>
        </w:rPr>
        <w:t>第二部分度部门决算情况说明</w:t>
      </w:r>
      <w:r>
        <w:rPr>
          <w:rFonts w:hint="eastAsia"/>
          <w:sz w:val="24"/>
          <w:lang w:val="en-US" w:eastAsia="zh-CN"/>
        </w:rPr>
        <w:t>..........................................6</w:t>
      </w:r>
    </w:p>
    <w:p>
      <w:pPr>
        <w:pStyle w:val="14"/>
        <w:pageBreakBefore w:val="0"/>
        <w:kinsoku/>
        <w:wordWrap/>
        <w:overflowPunct/>
        <w:topLinePunct w:val="0"/>
        <w:bidi w:val="0"/>
        <w:adjustRightInd w:val="0"/>
        <w:snapToGrid w:val="0"/>
        <w:spacing w:line="440" w:lineRule="exact"/>
        <w:jc w:val="left"/>
        <w:rPr>
          <w:rFonts w:hint="default" w:ascii="仿宋" w:hAnsi="仿宋" w:eastAsia="仿宋" w:cstheme="minorBidi"/>
          <w:sz w:val="24"/>
          <w:lang w:val="en-US"/>
        </w:rPr>
      </w:pPr>
      <w:r>
        <w:rPr>
          <w:rFonts w:hint="eastAsia"/>
          <w:sz w:val="24"/>
        </w:rPr>
        <w:t>一、收入支出决算总体情况说明</w:t>
      </w:r>
      <w:r>
        <w:rPr>
          <w:rFonts w:hint="eastAsia"/>
          <w:sz w:val="24"/>
          <w:lang w:val="en-US" w:eastAsia="zh-CN"/>
        </w:rPr>
        <w:t>...........................................................................6</w:t>
      </w:r>
    </w:p>
    <w:p>
      <w:pPr>
        <w:pStyle w:val="14"/>
        <w:pageBreakBefore w:val="0"/>
        <w:kinsoku/>
        <w:wordWrap/>
        <w:overflowPunct/>
        <w:topLinePunct w:val="0"/>
        <w:bidi w:val="0"/>
        <w:adjustRightInd w:val="0"/>
        <w:snapToGrid w:val="0"/>
        <w:spacing w:line="440" w:lineRule="exact"/>
        <w:jc w:val="left"/>
        <w:rPr>
          <w:rFonts w:hint="default" w:ascii="仿宋" w:hAnsi="仿宋" w:eastAsia="仿宋" w:cstheme="minorBidi"/>
          <w:sz w:val="24"/>
          <w:lang w:val="en-US"/>
        </w:rPr>
      </w:pPr>
      <w:r>
        <w:rPr>
          <w:rFonts w:hint="eastAsia"/>
          <w:sz w:val="24"/>
        </w:rPr>
        <w:t>二、收入决算情况说明</w:t>
      </w:r>
      <w:r>
        <w:rPr>
          <w:rFonts w:hint="eastAsia"/>
          <w:sz w:val="24"/>
          <w:lang w:val="en-US" w:eastAsia="zh-CN"/>
        </w:rPr>
        <w:t>..........................................................................................6</w:t>
      </w:r>
    </w:p>
    <w:p>
      <w:pPr>
        <w:pStyle w:val="14"/>
        <w:pageBreakBefore w:val="0"/>
        <w:kinsoku/>
        <w:wordWrap/>
        <w:overflowPunct/>
        <w:topLinePunct w:val="0"/>
        <w:bidi w:val="0"/>
        <w:adjustRightInd w:val="0"/>
        <w:snapToGrid w:val="0"/>
        <w:spacing w:line="440" w:lineRule="exact"/>
        <w:jc w:val="left"/>
        <w:rPr>
          <w:rFonts w:hint="default" w:ascii="仿宋" w:hAnsi="仿宋" w:eastAsia="仿宋" w:cstheme="minorBidi"/>
          <w:sz w:val="24"/>
          <w:lang w:val="en-US"/>
        </w:rPr>
      </w:pPr>
      <w:r>
        <w:rPr>
          <w:rFonts w:hint="eastAsia"/>
          <w:sz w:val="24"/>
        </w:rPr>
        <w:t>三、支出决算情况说明</w:t>
      </w:r>
      <w:r>
        <w:rPr>
          <w:rFonts w:hint="eastAsia"/>
          <w:sz w:val="24"/>
          <w:lang w:val="en-US" w:eastAsia="zh-CN"/>
        </w:rPr>
        <w:t>..........................................................................................7</w:t>
      </w:r>
    </w:p>
    <w:p>
      <w:pPr>
        <w:pStyle w:val="14"/>
        <w:pageBreakBefore w:val="0"/>
        <w:kinsoku/>
        <w:wordWrap/>
        <w:overflowPunct/>
        <w:topLinePunct w:val="0"/>
        <w:bidi w:val="0"/>
        <w:adjustRightInd w:val="0"/>
        <w:snapToGrid w:val="0"/>
        <w:spacing w:line="440" w:lineRule="exact"/>
        <w:jc w:val="left"/>
        <w:rPr>
          <w:rFonts w:hint="default" w:ascii="仿宋" w:hAnsi="仿宋" w:eastAsia="仿宋" w:cstheme="minorBidi"/>
          <w:sz w:val="24"/>
          <w:lang w:val="en-US"/>
        </w:rPr>
      </w:pPr>
      <w:r>
        <w:rPr>
          <w:rFonts w:hint="eastAsia"/>
          <w:sz w:val="24"/>
        </w:rPr>
        <w:t>四、财政拨款收入支出决算总体情况说明</w:t>
      </w:r>
      <w:r>
        <w:rPr>
          <w:rFonts w:hint="eastAsia"/>
          <w:sz w:val="24"/>
          <w:lang w:val="en-US" w:eastAsia="zh-CN"/>
        </w:rPr>
        <w:t>..........................................................8</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r>
        <w:rPr>
          <w:rFonts w:hint="eastAsia"/>
          <w:sz w:val="24"/>
          <w:lang w:val="en-US" w:eastAsia="zh-CN"/>
        </w:rPr>
        <w:t>..................................................8</w:t>
      </w:r>
    </w:p>
    <w:p>
      <w:pPr>
        <w:pStyle w:val="14"/>
        <w:pageBreakBefore w:val="0"/>
        <w:kinsoku/>
        <w:wordWrap/>
        <w:overflowPunct/>
        <w:topLinePunct w:val="0"/>
        <w:bidi w:val="0"/>
        <w:adjustRightInd w:val="0"/>
        <w:snapToGrid w:val="0"/>
        <w:spacing w:line="440" w:lineRule="exact"/>
        <w:jc w:val="left"/>
        <w:rPr>
          <w:rFonts w:hint="default" w:ascii="仿宋" w:hAnsi="仿宋" w:eastAsia="仿宋" w:cstheme="minorBidi"/>
          <w:sz w:val="24"/>
          <w:lang w:val="en-US"/>
        </w:rPr>
      </w:pPr>
      <w:r>
        <w:rPr>
          <w:rFonts w:hint="eastAsia"/>
          <w:sz w:val="24"/>
        </w:rPr>
        <w:t>六、一般公共预算财政拨款基本支出决算情况说明</w:t>
      </w:r>
      <w:r>
        <w:rPr>
          <w:rFonts w:hint="eastAsia"/>
          <w:sz w:val="24"/>
          <w:lang w:val="en-US" w:eastAsia="zh-CN"/>
        </w:rPr>
        <w:t>.........................................11</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.....................................................12</w:t>
      </w:r>
    </w:p>
    <w:p>
      <w:pPr>
        <w:pStyle w:val="14"/>
        <w:pageBreakBefore w:val="0"/>
        <w:kinsoku/>
        <w:wordWrap/>
        <w:overflowPunct/>
        <w:topLinePunct w:val="0"/>
        <w:bidi w:val="0"/>
        <w:adjustRightInd w:val="0"/>
        <w:snapToGrid w:val="0"/>
        <w:spacing w:line="440" w:lineRule="exact"/>
        <w:jc w:val="left"/>
        <w:rPr>
          <w:rFonts w:hint="default" w:ascii="仿宋" w:hAnsi="仿宋" w:eastAsia="仿宋" w:cstheme="minorBidi"/>
          <w:sz w:val="24"/>
          <w:lang w:val="en-US"/>
        </w:rPr>
      </w:pPr>
      <w:r>
        <w:rPr>
          <w:rFonts w:hint="eastAsia"/>
          <w:sz w:val="24"/>
        </w:rPr>
        <w:t>八、政府性基金预算支出决算情况说明</w:t>
      </w:r>
      <w:r>
        <w:rPr>
          <w:rFonts w:hint="eastAsia"/>
          <w:sz w:val="24"/>
          <w:lang w:val="en-US" w:eastAsia="zh-CN"/>
        </w:rPr>
        <w:t>.............................................................13</w:t>
      </w:r>
    </w:p>
    <w:p>
      <w:pPr>
        <w:pStyle w:val="14"/>
        <w:pageBreakBefore w:val="0"/>
        <w:kinsoku/>
        <w:wordWrap/>
        <w:overflowPunct/>
        <w:topLinePunct w:val="0"/>
        <w:bidi w:val="0"/>
        <w:adjustRightInd w:val="0"/>
        <w:snapToGrid w:val="0"/>
        <w:spacing w:line="440" w:lineRule="exact"/>
        <w:ind w:leftChars="0"/>
        <w:jc w:val="left"/>
        <w:rPr>
          <w:rFonts w:hint="default" w:ascii="仿宋" w:hAnsi="仿宋" w:eastAsia="仿宋"/>
          <w:sz w:val="24"/>
          <w:lang w:val="en-US"/>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lang w:val="en-US" w:eastAsia="zh-CN"/>
        </w:rPr>
        <w:t>.......................................................14</w:t>
      </w:r>
    </w:p>
    <w:p>
      <w:pPr>
        <w:pageBreakBefore w:val="0"/>
        <w:kinsoku/>
        <w:wordWrap/>
        <w:overflowPunct/>
        <w:topLinePunct w:val="0"/>
        <w:bidi w:val="0"/>
        <w:adjustRightInd w:val="0"/>
        <w:snapToGrid w:val="0"/>
        <w:spacing w:line="440" w:lineRule="exact"/>
        <w:ind w:firstLine="480" w:firstLineChars="200"/>
        <w:jc w:val="left"/>
        <w:rPr>
          <w:rFonts w:hint="default" w:ascii="仿宋" w:hAnsi="仿宋" w:eastAsia="仿宋" w:cstheme="minorBidi"/>
          <w:sz w:val="24"/>
          <w:lang w:val="en-US"/>
        </w:rPr>
      </w:pPr>
      <w:r>
        <w:rPr>
          <w:rStyle w:val="18"/>
          <w:rFonts w:hint="eastAsia" w:ascii="仿宋" w:hAnsi="仿宋" w:eastAsia="仿宋"/>
          <w:color w:val="000000" w:themeColor="text1"/>
          <w:sz w:val="24"/>
          <w:u w:val="none"/>
        </w:rPr>
        <w:t>十、</w:t>
      </w:r>
      <w:r>
        <w:rPr>
          <w:rFonts w:hint="eastAsia"/>
          <w:sz w:val="24"/>
        </w:rPr>
        <w:t>其他重要事项的情况说明</w:t>
      </w:r>
      <w:r>
        <w:rPr>
          <w:rFonts w:hint="eastAsia"/>
          <w:sz w:val="24"/>
          <w:lang w:val="en-US" w:eastAsia="zh-CN"/>
        </w:rPr>
        <w:t>............................................................................14</w:t>
      </w:r>
    </w:p>
    <w:p>
      <w:pPr>
        <w:pStyle w:val="13"/>
        <w:pageBreakBefore w:val="0"/>
        <w:kinsoku/>
        <w:wordWrap/>
        <w:overflowPunct/>
        <w:topLinePunct w:val="0"/>
        <w:bidi w:val="0"/>
        <w:adjustRightInd w:val="0"/>
        <w:snapToGrid w:val="0"/>
        <w:spacing w:before="0" w:line="440" w:lineRule="exact"/>
        <w:jc w:val="left"/>
        <w:rPr>
          <w:rFonts w:hint="default" w:cstheme="minorBidi"/>
          <w:sz w:val="24"/>
          <w:szCs w:val="24"/>
          <w:lang w:val="en-US"/>
        </w:rPr>
      </w:pPr>
      <w:r>
        <w:rPr>
          <w:rFonts w:hint="eastAsia"/>
          <w:sz w:val="24"/>
        </w:rPr>
        <w:t>第三部分</w:t>
      </w:r>
      <w:r>
        <w:rPr>
          <w:sz w:val="24"/>
        </w:rPr>
        <w:t xml:space="preserve"> </w:t>
      </w:r>
      <w:r>
        <w:rPr>
          <w:rFonts w:hint="eastAsia"/>
          <w:sz w:val="24"/>
        </w:rPr>
        <w:t>名词解释</w:t>
      </w:r>
      <w:r>
        <w:rPr>
          <w:rFonts w:hint="eastAsia"/>
          <w:sz w:val="24"/>
          <w:lang w:val="en-US" w:eastAsia="zh-CN"/>
        </w:rPr>
        <w:t>..................................................19</w:t>
      </w:r>
    </w:p>
    <w:p>
      <w:pPr>
        <w:pStyle w:val="13"/>
        <w:pageBreakBefore w:val="0"/>
        <w:kinsoku/>
        <w:wordWrap/>
        <w:overflowPunct/>
        <w:topLinePunct w:val="0"/>
        <w:bidi w:val="0"/>
        <w:adjustRightInd w:val="0"/>
        <w:snapToGrid w:val="0"/>
        <w:spacing w:before="0" w:line="440" w:lineRule="exact"/>
        <w:jc w:val="left"/>
        <w:rPr>
          <w:rFonts w:hint="default" w:cstheme="minorBidi"/>
          <w:sz w:val="24"/>
          <w:szCs w:val="24"/>
          <w:lang w:val="en-US"/>
        </w:rPr>
      </w:pPr>
      <w:r>
        <w:rPr>
          <w:rFonts w:hint="eastAsia"/>
          <w:sz w:val="24"/>
        </w:rPr>
        <w:t>第四部分</w:t>
      </w:r>
      <w:r>
        <w:rPr>
          <w:sz w:val="24"/>
        </w:rPr>
        <w:t xml:space="preserve"> </w:t>
      </w:r>
      <w:r>
        <w:rPr>
          <w:rFonts w:hint="eastAsia"/>
          <w:sz w:val="24"/>
        </w:rPr>
        <w:t>附件</w:t>
      </w:r>
      <w:r>
        <w:rPr>
          <w:rFonts w:hint="eastAsia"/>
          <w:sz w:val="24"/>
          <w:lang w:val="en-US" w:eastAsia="zh-CN"/>
        </w:rPr>
        <w:t>......................................................23</w:t>
      </w:r>
    </w:p>
    <w:p>
      <w:pPr>
        <w:pStyle w:val="14"/>
        <w:pageBreakBefore w:val="0"/>
        <w:kinsoku/>
        <w:wordWrap/>
        <w:overflowPunct/>
        <w:topLinePunct w:val="0"/>
        <w:bidi w:val="0"/>
        <w:adjustRightInd w:val="0"/>
        <w:snapToGrid w:val="0"/>
        <w:spacing w:line="440" w:lineRule="exact"/>
        <w:jc w:val="left"/>
        <w:rPr>
          <w:rFonts w:hint="default"/>
          <w:sz w:val="24"/>
          <w:lang w:val="en-US" w:eastAsia="zh-CN"/>
        </w:rPr>
      </w:pPr>
      <w:r>
        <w:rPr>
          <w:rFonts w:hint="eastAsia"/>
          <w:sz w:val="24"/>
        </w:rPr>
        <w:t>附件</w:t>
      </w:r>
      <w:r>
        <w:rPr>
          <w:sz w:val="24"/>
        </w:rPr>
        <w:t>1</w:t>
      </w:r>
      <w:r>
        <w:rPr>
          <w:rFonts w:hint="eastAsia"/>
          <w:sz w:val="24"/>
          <w:lang w:val="en-US" w:eastAsia="zh-CN"/>
        </w:rPr>
        <w:t>....................................................................................................................23</w:t>
      </w:r>
    </w:p>
    <w:p>
      <w:pPr>
        <w:pStyle w:val="14"/>
        <w:pageBreakBefore w:val="0"/>
        <w:kinsoku/>
        <w:wordWrap/>
        <w:overflowPunct/>
        <w:topLinePunct w:val="0"/>
        <w:bidi w:val="0"/>
        <w:adjustRightInd w:val="0"/>
        <w:snapToGrid w:val="0"/>
        <w:spacing w:line="440" w:lineRule="exact"/>
        <w:jc w:val="left"/>
        <w:rPr>
          <w:rFonts w:hint="eastAsia"/>
          <w:sz w:val="24"/>
          <w:lang w:val="en-US" w:eastAsia="zh-CN"/>
        </w:rPr>
      </w:pPr>
      <w:r>
        <w:rPr>
          <w:rFonts w:hint="eastAsia"/>
          <w:sz w:val="24"/>
        </w:rPr>
        <w:t>附件</w:t>
      </w:r>
      <w:r>
        <w:rPr>
          <w:sz w:val="24"/>
        </w:rPr>
        <w:t>2</w:t>
      </w:r>
      <w:r>
        <w:rPr>
          <w:rFonts w:hint="eastAsia"/>
          <w:sz w:val="24"/>
          <w:lang w:val="en-US" w:eastAsia="zh-CN"/>
        </w:rPr>
        <w:t>....................................................................................................................28</w:t>
      </w:r>
    </w:p>
    <w:p>
      <w:pPr>
        <w:pStyle w:val="14"/>
        <w:pageBreakBefore w:val="0"/>
        <w:kinsoku/>
        <w:wordWrap/>
        <w:overflowPunct/>
        <w:topLinePunct w:val="0"/>
        <w:bidi w:val="0"/>
        <w:adjustRightInd w:val="0"/>
        <w:snapToGrid w:val="0"/>
        <w:spacing w:line="440" w:lineRule="exact"/>
        <w:jc w:val="left"/>
        <w:rPr>
          <w:rFonts w:hint="default"/>
          <w:lang w:val="en-US" w:eastAsia="zh-CN"/>
        </w:rPr>
      </w:pPr>
      <w:r>
        <w:rPr>
          <w:rFonts w:hint="eastAsia"/>
          <w:sz w:val="24"/>
        </w:rPr>
        <w:t>附件</w:t>
      </w:r>
      <w:r>
        <w:rPr>
          <w:rFonts w:hint="eastAsia"/>
          <w:sz w:val="24"/>
          <w:lang w:val="en-US" w:eastAsia="zh-CN"/>
        </w:rPr>
        <w:t>3....................................................................................................................32</w:t>
      </w:r>
    </w:p>
    <w:p>
      <w:pPr>
        <w:pStyle w:val="14"/>
        <w:pageBreakBefore w:val="0"/>
        <w:kinsoku/>
        <w:wordWrap/>
        <w:overflowPunct/>
        <w:topLinePunct w:val="0"/>
        <w:bidi w:val="0"/>
        <w:adjustRightInd w:val="0"/>
        <w:snapToGrid w:val="0"/>
        <w:spacing w:line="440" w:lineRule="exact"/>
        <w:jc w:val="left"/>
        <w:rPr>
          <w:rFonts w:hint="default" w:cstheme="minorBidi"/>
          <w:sz w:val="24"/>
          <w:szCs w:val="24"/>
          <w:lang w:val="en-US"/>
        </w:rPr>
      </w:pPr>
      <w:r>
        <w:rPr>
          <w:rFonts w:hint="eastAsia"/>
          <w:sz w:val="24"/>
        </w:rPr>
        <w:t>第五部分</w:t>
      </w:r>
      <w:r>
        <w:rPr>
          <w:sz w:val="24"/>
        </w:rPr>
        <w:t xml:space="preserve"> </w:t>
      </w:r>
      <w:r>
        <w:rPr>
          <w:rFonts w:hint="eastAsia"/>
          <w:sz w:val="24"/>
        </w:rPr>
        <w:t>附表</w:t>
      </w:r>
      <w:r>
        <w:rPr>
          <w:rFonts w:hint="eastAsia"/>
          <w:sz w:val="24"/>
          <w:lang w:val="en-US" w:eastAsia="zh-CN"/>
        </w:rPr>
        <w:t>.....................................................................................................35</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4"/>
        <w:pageBreakBefore w:val="0"/>
        <w:kinsoku/>
        <w:wordWrap/>
        <w:overflowPunct/>
        <w:topLinePunct w:val="0"/>
        <w:bidi w:val="0"/>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4"/>
        <w:pageBreakBefore w:val="0"/>
        <w:kinsoku/>
        <w:wordWrap/>
        <w:overflowPunct/>
        <w:topLinePunct w:val="0"/>
        <w:bidi w:val="0"/>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pageBreakBefore w:val="0"/>
        <w:widowControl/>
        <w:kinsoku/>
        <w:wordWrap/>
        <w:overflowPunct/>
        <w:topLinePunct w:val="0"/>
        <w:bidi w:val="0"/>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pageBreakBefore w:val="0"/>
        <w:kinsoku/>
        <w:wordWrap/>
        <w:overflowPunct/>
        <w:topLinePunct w:val="0"/>
        <w:bidi w:val="0"/>
        <w:spacing w:before="0" w:after="0"/>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pageBreakBefore w:val="0"/>
        <w:widowControl/>
        <w:kinsoku/>
        <w:wordWrap/>
        <w:overflowPunct/>
        <w:topLinePunct w:val="0"/>
        <w:bidi w:val="0"/>
        <w:jc w:val="left"/>
        <w:rPr>
          <w:rFonts w:ascii="黑体" w:eastAsia="黑体"/>
          <w:color w:val="000000"/>
          <w:sz w:val="32"/>
          <w:szCs w:val="32"/>
        </w:rPr>
      </w:pPr>
    </w:p>
    <w:p>
      <w:pPr>
        <w:pStyle w:val="4"/>
        <w:pageBreakBefore w:val="0"/>
        <w:kinsoku/>
        <w:wordWrap/>
        <w:overflowPunct/>
        <w:topLinePunct w:val="0"/>
        <w:bidi w:val="0"/>
        <w:spacing w:before="0" w:after="0"/>
        <w:rPr>
          <w:rStyle w:val="29"/>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pPr>
        <w:pStyle w:val="6"/>
        <w:pageBreakBefore w:val="0"/>
        <w:kinsoku/>
        <w:wordWrap/>
        <w:overflowPunct/>
        <w:topLinePunct w:val="0"/>
        <w:bidi w:val="0"/>
        <w:adjustRightInd w:val="0"/>
        <w:snapToGrid w:val="0"/>
        <w:spacing w:beforeLines="0"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p>
    <w:p>
      <w:pPr>
        <w:pageBreakBefore w:val="0"/>
        <w:kinsoku/>
        <w:wordWrap/>
        <w:overflowPunct/>
        <w:topLinePunct w:val="0"/>
        <w:bidi w:val="0"/>
        <w:ind w:firstLine="630"/>
        <w:rPr>
          <w:rFonts w:hint="eastAsia" w:ascii="宋体" w:hAnsi="宋体"/>
          <w:sz w:val="30"/>
          <w:szCs w:val="30"/>
          <w:lang w:val="en-US" w:eastAsia="zh-CN"/>
        </w:rPr>
      </w:pPr>
      <w:bookmarkStart w:id="18" w:name="_Toc15378446"/>
      <w:bookmarkStart w:id="19" w:name="_Toc15377199"/>
      <w:r>
        <w:rPr>
          <w:rFonts w:ascii="宋体" w:hAnsi="宋体"/>
          <w:sz w:val="30"/>
          <w:szCs w:val="30"/>
        </w:rPr>
        <w:t>为人民群众身体健康提供卫生监督保障、负责卫生许可证的申请受理和组织审核；依法对公共场所卫生、生活饮用水卫生、传染病防治、计划生育、消毒产品、放射卫生、学校卫生和医疗卫生机构及临床安全用血开展执法监督；整顿和规范医疗服务市场，组织查处卫生计生违法行为、督办重大医疗卫生计生违法案件；对公共卫生中毒事件、重大疫情和突发事件进行调查取证、现场监督并提出处理意见；对相关人员进行业务指导和培训工作</w:t>
      </w:r>
      <w:r>
        <w:rPr>
          <w:rFonts w:hint="eastAsia" w:ascii="宋体" w:hAnsi="宋体"/>
          <w:sz w:val="30"/>
          <w:szCs w:val="30"/>
          <w:lang w:eastAsia="zh-CN"/>
        </w:rPr>
        <w:t>。</w:t>
      </w:r>
      <w:r>
        <w:rPr>
          <w:rFonts w:hint="eastAsia" w:ascii="宋体" w:hAnsi="宋体"/>
          <w:sz w:val="30"/>
          <w:szCs w:val="30"/>
          <w:lang w:val="en-US" w:eastAsia="zh-CN"/>
        </w:rPr>
        <w:t xml:space="preserve">  </w:t>
      </w:r>
    </w:p>
    <w:p>
      <w:pPr>
        <w:pStyle w:val="6"/>
        <w:pageBreakBefore w:val="0"/>
        <w:kinsoku/>
        <w:wordWrap/>
        <w:overflowPunct/>
        <w:topLinePunct w:val="0"/>
        <w:bidi w:val="0"/>
        <w:adjustRightInd w:val="0"/>
        <w:snapToGrid w:val="0"/>
        <w:spacing w:beforeLines="0"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pageBreakBefore w:val="0"/>
        <w:kinsoku/>
        <w:wordWrap/>
        <w:overflowPunct/>
        <w:topLinePunct w:val="0"/>
        <w:bidi w:val="0"/>
        <w:ind w:firstLine="630"/>
        <w:rPr>
          <w:rFonts w:ascii="仿宋_GB2312" w:eastAsia="仿宋_GB2312"/>
          <w:color w:val="333333"/>
          <w:sz w:val="32"/>
          <w:szCs w:val="32"/>
        </w:rPr>
      </w:pPr>
      <w:bookmarkStart w:id="20" w:name="_Toc15377200"/>
      <w:bookmarkStart w:id="21" w:name="_Toc15396601"/>
      <w:r>
        <w:rPr>
          <w:rFonts w:hint="eastAsia" w:ascii="仿宋_GB2312" w:eastAsia="仿宋_GB2312"/>
          <w:color w:val="333333"/>
          <w:sz w:val="32"/>
          <w:szCs w:val="32"/>
          <w:lang w:val="en-US" w:eastAsia="zh-CN"/>
        </w:rPr>
        <w:t>一是</w:t>
      </w:r>
      <w:r>
        <w:rPr>
          <w:rFonts w:hint="eastAsia" w:ascii="仿宋_GB2312" w:eastAsia="仿宋_GB2312"/>
          <w:color w:val="333333"/>
          <w:sz w:val="32"/>
          <w:szCs w:val="32"/>
        </w:rPr>
        <w:t>负责制定卫生和计生执法监督计划，依照法律法规，组织实施开展预防性和经常性卫生计生执法监督工作。</w:t>
      </w:r>
    </w:p>
    <w:p>
      <w:pPr>
        <w:pageBreakBefore w:val="0"/>
        <w:kinsoku/>
        <w:wordWrap/>
        <w:overflowPunct/>
        <w:topLinePunct w:val="0"/>
        <w:bidi w:val="0"/>
        <w:ind w:firstLine="630"/>
        <w:rPr>
          <w:rFonts w:ascii="仿宋_GB2312" w:eastAsia="仿宋_GB2312"/>
          <w:color w:val="333333"/>
          <w:sz w:val="32"/>
          <w:szCs w:val="32"/>
        </w:rPr>
      </w:pPr>
      <w:r>
        <w:rPr>
          <w:rFonts w:hint="eastAsia" w:ascii="仿宋_GB2312" w:eastAsia="仿宋_GB2312"/>
          <w:color w:val="333333"/>
          <w:sz w:val="32"/>
          <w:szCs w:val="32"/>
          <w:lang w:val="en-US" w:eastAsia="zh-CN"/>
        </w:rPr>
        <w:t>二是</w:t>
      </w:r>
      <w:r>
        <w:rPr>
          <w:rFonts w:hint="eastAsia" w:ascii="仿宋_GB2312" w:eastAsia="仿宋_GB2312"/>
          <w:color w:val="333333"/>
          <w:sz w:val="32"/>
          <w:szCs w:val="32"/>
        </w:rPr>
        <w:t>负责依法对公共场所卫生、生活饮用水卫生、传染病防治、计划生育、消毒产品、放射卫生、学校卫生和医疗卫生机构及临床安全用血开展执法监督；整顿和规范医疗服务市场，组织查处卫生计生违法行为，督办重大医疗卫生计生违法案件。</w:t>
      </w:r>
    </w:p>
    <w:p>
      <w:pPr>
        <w:pageBreakBefore w:val="0"/>
        <w:kinsoku/>
        <w:wordWrap/>
        <w:overflowPunct/>
        <w:topLinePunct w:val="0"/>
        <w:bidi w:val="0"/>
        <w:ind w:firstLine="630"/>
        <w:rPr>
          <w:rFonts w:ascii="仿宋_GB2312" w:eastAsia="仿宋_GB2312"/>
          <w:color w:val="333333"/>
          <w:sz w:val="32"/>
          <w:szCs w:val="32"/>
        </w:rPr>
      </w:pPr>
      <w:r>
        <w:rPr>
          <w:rFonts w:hint="eastAsia" w:ascii="仿宋_GB2312" w:eastAsia="仿宋_GB2312"/>
          <w:color w:val="333333"/>
          <w:sz w:val="32"/>
          <w:szCs w:val="32"/>
          <w:lang w:val="en-US" w:eastAsia="zh-CN"/>
        </w:rPr>
        <w:t>三是</w:t>
      </w:r>
      <w:r>
        <w:rPr>
          <w:rFonts w:hint="eastAsia" w:ascii="仿宋_GB2312" w:eastAsia="仿宋_GB2312"/>
          <w:color w:val="333333"/>
          <w:sz w:val="32"/>
          <w:szCs w:val="32"/>
        </w:rPr>
        <w:t>负责卫生许可证的申请受理、初审、上报和批准后证书或批准文书发放工作。</w:t>
      </w:r>
    </w:p>
    <w:p>
      <w:pPr>
        <w:pageBreakBefore w:val="0"/>
        <w:kinsoku/>
        <w:wordWrap/>
        <w:overflowPunct/>
        <w:topLinePunct w:val="0"/>
        <w:bidi w:val="0"/>
        <w:ind w:firstLine="630"/>
        <w:rPr>
          <w:rFonts w:ascii="仿宋_GB2312" w:eastAsia="仿宋_GB2312"/>
          <w:color w:val="333333"/>
          <w:sz w:val="32"/>
          <w:szCs w:val="32"/>
        </w:rPr>
      </w:pPr>
      <w:r>
        <w:rPr>
          <w:rFonts w:hint="eastAsia" w:ascii="仿宋_GB2312" w:eastAsia="仿宋_GB2312"/>
          <w:color w:val="333333"/>
          <w:sz w:val="32"/>
          <w:szCs w:val="32"/>
          <w:lang w:val="en-US" w:eastAsia="zh-CN"/>
        </w:rPr>
        <w:t>四是</w:t>
      </w:r>
      <w:r>
        <w:rPr>
          <w:rFonts w:hint="eastAsia" w:ascii="仿宋_GB2312" w:eastAsia="仿宋_GB2312"/>
          <w:color w:val="333333"/>
          <w:sz w:val="32"/>
          <w:szCs w:val="32"/>
        </w:rPr>
        <w:t>负责卫生计生行政处罚案件的调查取证，并提出处罚建议及执行行政处罚决定；受理违反卫生计生法律法规案件的投诉、举报。</w:t>
      </w:r>
    </w:p>
    <w:p>
      <w:pPr>
        <w:pageBreakBefore w:val="0"/>
        <w:kinsoku/>
        <w:wordWrap/>
        <w:overflowPunct/>
        <w:topLinePunct w:val="0"/>
        <w:bidi w:val="0"/>
        <w:ind w:firstLine="630"/>
        <w:rPr>
          <w:rFonts w:ascii="仿宋_GB2312" w:eastAsia="仿宋_GB2312"/>
          <w:color w:val="333333"/>
          <w:sz w:val="32"/>
          <w:szCs w:val="32"/>
        </w:rPr>
      </w:pPr>
      <w:r>
        <w:rPr>
          <w:rFonts w:hint="eastAsia" w:ascii="仿宋_GB2312" w:eastAsia="仿宋_GB2312"/>
          <w:color w:val="333333"/>
          <w:sz w:val="32"/>
          <w:szCs w:val="32"/>
          <w:lang w:val="en-US" w:eastAsia="zh-CN"/>
        </w:rPr>
        <w:t>五是</w:t>
      </w:r>
      <w:r>
        <w:rPr>
          <w:rFonts w:hint="eastAsia" w:ascii="仿宋_GB2312" w:eastAsia="仿宋_GB2312"/>
          <w:color w:val="333333"/>
          <w:sz w:val="32"/>
          <w:szCs w:val="32"/>
        </w:rPr>
        <w:t>负责对公共卫生中毒事故、重大疫情和突发事件进行调查取证，采取必要的控制措施，提出处理意见。</w:t>
      </w:r>
    </w:p>
    <w:p>
      <w:pPr>
        <w:pageBreakBefore w:val="0"/>
        <w:kinsoku/>
        <w:wordWrap/>
        <w:overflowPunct/>
        <w:topLinePunct w:val="0"/>
        <w:bidi w:val="0"/>
        <w:ind w:firstLine="630"/>
        <w:rPr>
          <w:rFonts w:ascii="仿宋_GB2312" w:eastAsia="仿宋_GB2312"/>
          <w:color w:val="333333"/>
          <w:sz w:val="32"/>
          <w:szCs w:val="32"/>
        </w:rPr>
      </w:pPr>
      <w:r>
        <w:rPr>
          <w:rFonts w:hint="eastAsia" w:ascii="仿宋_GB2312" w:eastAsia="仿宋_GB2312"/>
          <w:color w:val="333333"/>
          <w:sz w:val="32"/>
          <w:szCs w:val="32"/>
        </w:rPr>
        <w:t>六</w:t>
      </w:r>
      <w:r>
        <w:rPr>
          <w:rFonts w:hint="eastAsia" w:ascii="仿宋_GB2312" w:eastAsia="仿宋_GB2312"/>
          <w:color w:val="333333"/>
          <w:sz w:val="32"/>
          <w:szCs w:val="32"/>
          <w:lang w:val="en-US" w:eastAsia="zh-CN"/>
        </w:rPr>
        <w:t>是</w:t>
      </w:r>
      <w:r>
        <w:rPr>
          <w:rFonts w:hint="eastAsia" w:ascii="仿宋_GB2312" w:eastAsia="仿宋_GB2312"/>
          <w:color w:val="333333"/>
          <w:sz w:val="32"/>
          <w:szCs w:val="32"/>
        </w:rPr>
        <w:t>负责卫生计生监督信息的收集、整理、分析和上报。</w:t>
      </w:r>
    </w:p>
    <w:p>
      <w:pPr>
        <w:pageBreakBefore w:val="0"/>
        <w:kinsoku/>
        <w:wordWrap/>
        <w:overflowPunct/>
        <w:topLinePunct w:val="0"/>
        <w:bidi w:val="0"/>
        <w:ind w:firstLine="630"/>
        <w:rPr>
          <w:rFonts w:ascii="仿宋_GB2312" w:eastAsia="仿宋_GB2312"/>
          <w:color w:val="333333"/>
          <w:sz w:val="32"/>
          <w:szCs w:val="32"/>
        </w:rPr>
      </w:pPr>
      <w:r>
        <w:rPr>
          <w:rFonts w:hint="eastAsia" w:ascii="仿宋_GB2312" w:eastAsia="仿宋_GB2312"/>
          <w:color w:val="333333"/>
          <w:sz w:val="32"/>
          <w:szCs w:val="32"/>
        </w:rPr>
        <w:t>七</w:t>
      </w:r>
      <w:r>
        <w:rPr>
          <w:rFonts w:hint="eastAsia" w:ascii="仿宋_GB2312" w:eastAsia="仿宋_GB2312"/>
          <w:color w:val="333333"/>
          <w:sz w:val="32"/>
          <w:szCs w:val="32"/>
          <w:lang w:val="en-US" w:eastAsia="zh-CN"/>
        </w:rPr>
        <w:t>是</w:t>
      </w:r>
      <w:r>
        <w:rPr>
          <w:rFonts w:hint="eastAsia" w:ascii="仿宋_GB2312" w:eastAsia="仿宋_GB2312"/>
          <w:color w:val="333333"/>
          <w:sz w:val="32"/>
          <w:szCs w:val="32"/>
        </w:rPr>
        <w:t>负责对辖区内公共场所从业人员、生活饮用水管供水人员、放射卫生执业人员、学校卫生管理人员和卫生计生机构执业人员开展相关卫生法律法规知识培训。</w:t>
      </w:r>
    </w:p>
    <w:p>
      <w:pPr>
        <w:pStyle w:val="4"/>
        <w:pageBreakBefore w:val="0"/>
        <w:kinsoku/>
        <w:wordWrap/>
        <w:overflowPunct/>
        <w:topLinePunct w:val="0"/>
        <w:bidi w:val="0"/>
        <w:spacing w:before="0" w:after="0"/>
        <w:ind w:firstLine="640" w:firstLineChars="200"/>
        <w:rPr>
          <w:rStyle w:val="29"/>
          <w:rFonts w:hint="eastAsia" w:ascii="黑体" w:hAnsi="黑体" w:eastAsia="黑体"/>
          <w:b w:val="0"/>
          <w:bCs w:val="0"/>
        </w:rPr>
      </w:pPr>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pPr>
        <w:pageBreakBefore w:val="0"/>
        <w:kinsoku/>
        <w:wordWrap/>
        <w:overflowPunct/>
        <w:topLinePunct w:val="0"/>
        <w:bidi w:val="0"/>
        <w:ind w:firstLine="630"/>
        <w:rPr>
          <w:rFonts w:hint="eastAsia" w:ascii="仿宋_GB2312" w:eastAsia="仿宋_GB2312"/>
          <w:color w:val="333333"/>
          <w:sz w:val="32"/>
          <w:szCs w:val="32"/>
        </w:rPr>
      </w:pPr>
      <w:bookmarkStart w:id="22" w:name="_Toc15396602"/>
      <w:bookmarkStart w:id="23" w:name="_Toc15377204"/>
      <w:r>
        <w:rPr>
          <w:rFonts w:hint="eastAsia" w:ascii="仿宋_GB2312" w:eastAsia="仿宋_GB2312"/>
          <w:color w:val="333333"/>
          <w:sz w:val="32"/>
          <w:szCs w:val="32"/>
        </w:rPr>
        <w:t>我大队成立于2003年，现有行政执法编制8名，工勤编制1名。下设4个科室</w:t>
      </w:r>
      <w:r>
        <w:rPr>
          <w:rFonts w:hint="eastAsia" w:ascii="仿宋_GB2312" w:eastAsia="仿宋_GB2312"/>
          <w:color w:val="333333"/>
          <w:sz w:val="32"/>
          <w:szCs w:val="32"/>
          <w:lang w:eastAsia="zh-CN"/>
        </w:rPr>
        <w:t>，</w:t>
      </w:r>
      <w:r>
        <w:rPr>
          <w:rFonts w:hint="eastAsia" w:ascii="仿宋_GB2312" w:eastAsia="仿宋_GB2312"/>
          <w:color w:val="333333"/>
          <w:sz w:val="32"/>
          <w:szCs w:val="32"/>
          <w:lang w:val="en-US" w:eastAsia="zh-CN"/>
        </w:rPr>
        <w:t>无下属二级单位</w:t>
      </w:r>
      <w:r>
        <w:rPr>
          <w:rFonts w:hint="eastAsia" w:ascii="仿宋_GB2312" w:eastAsia="仿宋_GB2312"/>
          <w:color w:val="333333"/>
          <w:sz w:val="32"/>
          <w:szCs w:val="32"/>
        </w:rPr>
        <w:t>。</w:t>
      </w:r>
    </w:p>
    <w:p>
      <w:pPr>
        <w:pStyle w:val="3"/>
        <w:pageBreakBefore w:val="0"/>
        <w:kinsoku/>
        <w:wordWrap/>
        <w:overflowPunct/>
        <w:topLinePunct w:val="0"/>
        <w:bidi w:val="0"/>
        <w:spacing w:before="0" w:after="0"/>
        <w:ind w:right="440"/>
        <w:jc w:val="right"/>
        <w:rPr>
          <w:rFonts w:hint="eastAsia" w:ascii="黑体" w:hAnsi="黑体" w:eastAsia="黑体"/>
          <w:b w:val="0"/>
          <w:color w:val="000000"/>
        </w:rPr>
      </w:pPr>
    </w:p>
    <w:p>
      <w:pPr>
        <w:pStyle w:val="3"/>
        <w:pageBreakBefore w:val="0"/>
        <w:kinsoku/>
        <w:wordWrap/>
        <w:overflowPunct/>
        <w:topLinePunct w:val="0"/>
        <w:bidi w:val="0"/>
        <w:spacing w:before="0" w:after="0"/>
        <w:ind w:right="440"/>
        <w:jc w:val="right"/>
        <w:rPr>
          <w:rFonts w:hint="eastAsia" w:ascii="黑体" w:hAnsi="黑体" w:eastAsia="黑体"/>
          <w:b w:val="0"/>
          <w:color w:val="000000"/>
        </w:rPr>
      </w:pPr>
    </w:p>
    <w:p>
      <w:pPr>
        <w:pStyle w:val="3"/>
        <w:pageBreakBefore w:val="0"/>
        <w:kinsoku/>
        <w:wordWrap/>
        <w:overflowPunct/>
        <w:topLinePunct w:val="0"/>
        <w:bidi w:val="0"/>
        <w:spacing w:before="0" w:after="0"/>
        <w:ind w:right="440"/>
        <w:jc w:val="both"/>
        <w:rPr>
          <w:rFonts w:hint="eastAsia" w:ascii="黑体" w:hAnsi="黑体" w:eastAsia="黑体"/>
          <w:b w:val="0"/>
          <w:color w:val="000000"/>
        </w:rPr>
      </w:pPr>
    </w:p>
    <w:p>
      <w:pPr>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Style w:val="2"/>
        <w:rPr>
          <w:rFonts w:hint="eastAsia" w:ascii="黑体" w:hAnsi="黑体" w:eastAsia="黑体"/>
          <w:b w:val="0"/>
          <w:color w:val="000000"/>
        </w:rPr>
      </w:pPr>
    </w:p>
    <w:p>
      <w:pPr>
        <w:pageBreakBefore w:val="0"/>
        <w:kinsoku/>
        <w:wordWrap/>
        <w:overflowPunct/>
        <w:topLinePunct w:val="0"/>
        <w:bidi w:val="0"/>
        <w:rPr>
          <w:rFonts w:hint="eastAsia"/>
        </w:rPr>
      </w:pPr>
    </w:p>
    <w:p>
      <w:pPr>
        <w:pStyle w:val="3"/>
        <w:pageBreakBefore w:val="0"/>
        <w:kinsoku/>
        <w:wordWrap/>
        <w:overflowPunct/>
        <w:topLinePunct w:val="0"/>
        <w:bidi w:val="0"/>
        <w:spacing w:before="0" w:after="0"/>
        <w:ind w:right="440"/>
        <w:jc w:val="center"/>
        <w:rPr>
          <w:rStyle w:val="28"/>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2019年度部门决算情况说明</w:t>
      </w:r>
      <w:bookmarkEnd w:id="22"/>
      <w:bookmarkEnd w:id="23"/>
    </w:p>
    <w:p>
      <w:pPr>
        <w:pageBreakBefore w:val="0"/>
        <w:kinsoku/>
        <w:wordWrap/>
        <w:overflowPunct/>
        <w:topLinePunct w:val="0"/>
        <w:bidi w:val="0"/>
      </w:pPr>
    </w:p>
    <w:p>
      <w:pPr>
        <w:pStyle w:val="27"/>
        <w:pageBreakBefore w:val="0"/>
        <w:numPr>
          <w:ilvl w:val="0"/>
          <w:numId w:val="1"/>
        </w:numPr>
        <w:kinsoku/>
        <w:wordWrap/>
        <w:overflowPunct/>
        <w:topLinePunct w:val="0"/>
        <w:bidi w:val="0"/>
        <w:spacing w:line="600" w:lineRule="exact"/>
        <w:ind w:firstLineChars="0"/>
        <w:outlineLvl w:val="1"/>
        <w:rPr>
          <w:rStyle w:val="29"/>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4"/>
      <w:bookmarkEnd w:id="25"/>
    </w:p>
    <w:p>
      <w:pPr>
        <w:pageBreakBefore w:val="0"/>
        <w:kinsoku/>
        <w:wordWrap/>
        <w:overflowPunct/>
        <w:topLinePunct w:val="0"/>
        <w:bidi w:val="0"/>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118.62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支出总计123.81</w:t>
      </w:r>
      <w:r>
        <w:rPr>
          <w:rFonts w:hint="eastAsia" w:ascii="仿宋" w:hAnsi="仿宋" w:eastAsia="仿宋"/>
          <w:color w:val="000000"/>
          <w:sz w:val="32"/>
          <w:szCs w:val="32"/>
        </w:rPr>
        <w:t>。与2018年相比，收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增加12.96</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增长12.3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支出总计增加21.85万元，增长21.4%。</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2019年我县项目检查增加。</w:t>
      </w:r>
    </w:p>
    <w:p>
      <w:pPr>
        <w:pStyle w:val="27"/>
        <w:pageBreakBefore w:val="0"/>
        <w:numPr>
          <w:ilvl w:val="0"/>
          <w:numId w:val="1"/>
        </w:numPr>
        <w:kinsoku/>
        <w:wordWrap/>
        <w:overflowPunct/>
        <w:topLinePunct w:val="0"/>
        <w:bidi w:val="0"/>
        <w:spacing w:line="600" w:lineRule="exact"/>
        <w:ind w:firstLineChars="0"/>
        <w:outlineLvl w:val="1"/>
        <w:rPr>
          <w:rStyle w:val="29"/>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9"/>
          <w:rFonts w:hint="eastAsia" w:ascii="黑体" w:hAnsi="黑体" w:eastAsia="黑体"/>
          <w:b w:val="0"/>
        </w:rPr>
        <w:t>入决算情况说明</w:t>
      </w:r>
      <w:bookmarkEnd w:id="26"/>
      <w:bookmarkEnd w:id="27"/>
    </w:p>
    <w:p>
      <w:pPr>
        <w:pageBreakBefore w:val="0"/>
        <w:kinsoku/>
        <w:wordWrap/>
        <w:overflowPunct/>
        <w:topLinePunct w:val="0"/>
        <w:bidi w:val="0"/>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118.62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118.62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w:t>
      </w:r>
      <w:r>
        <w:rPr>
          <w:rFonts w:hint="eastAsia" w:ascii="仿宋" w:hAnsi="仿宋" w:eastAsia="仿宋"/>
          <w:color w:val="000000" w:themeColor="text1"/>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7"/>
        <w:pageBreakBefore w:val="0"/>
        <w:numPr>
          <w:ilvl w:val="0"/>
          <w:numId w:val="1"/>
        </w:numPr>
        <w:kinsoku/>
        <w:wordWrap/>
        <w:overflowPunct/>
        <w:topLinePunct w:val="0"/>
        <w:bidi w:val="0"/>
        <w:spacing w:line="600" w:lineRule="exact"/>
        <w:ind w:firstLineChars="0"/>
        <w:outlineLvl w:val="1"/>
        <w:rPr>
          <w:rStyle w:val="29"/>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9"/>
          <w:rFonts w:hint="eastAsia" w:ascii="黑体" w:hAnsi="黑体" w:eastAsia="黑体"/>
          <w:b w:val="0"/>
        </w:rPr>
        <w:t>出决算情况说明</w:t>
      </w:r>
      <w:bookmarkEnd w:id="28"/>
      <w:bookmarkEnd w:id="29"/>
    </w:p>
    <w:p>
      <w:pPr>
        <w:pageBreakBefore w:val="0"/>
        <w:kinsoku/>
        <w:wordWrap/>
        <w:overflowPunct/>
        <w:topLinePunct w:val="0"/>
        <w:bidi w:val="0"/>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123.81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122.95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99.3</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0.86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0.7</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kinsoku/>
        <w:wordWrap/>
        <w:overflowPunct/>
        <w:topLinePunct w:val="0"/>
        <w:bidi w:val="0"/>
        <w:spacing w:line="600" w:lineRule="exact"/>
        <w:ind w:firstLine="640" w:firstLineChars="200"/>
        <w:outlineLvl w:val="1"/>
        <w:rPr>
          <w:rStyle w:val="29"/>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0"/>
      <w:bookmarkEnd w:id="31"/>
    </w:p>
    <w:p>
      <w:pPr>
        <w:pageBreakBefore w:val="0"/>
        <w:kinsoku/>
        <w:wordWrap/>
        <w:overflowPunct/>
        <w:topLinePunct w:val="0"/>
        <w:bidi w:val="0"/>
        <w:spacing w:line="600" w:lineRule="exact"/>
        <w:ind w:firstLine="64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val="en-US" w:eastAsia="zh-CN"/>
        </w:rPr>
        <w:t>入总计118.62万元、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123.81</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val="en-US" w:eastAsia="zh-CN"/>
        </w:rPr>
        <w:t>入增加12.96万元，增长12.3%；</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21.85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21.4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2019年项目检查增加。</w:t>
      </w:r>
    </w:p>
    <w:p>
      <w:pPr>
        <w:pageBreakBefore w:val="0"/>
        <w:kinsoku/>
        <w:wordWrap/>
        <w:overflowPunct/>
        <w:topLinePunct w:val="0"/>
        <w:bidi w:val="0"/>
        <w:spacing w:line="600" w:lineRule="exact"/>
        <w:ind w:firstLine="640" w:firstLineChars="200"/>
        <w:outlineLvl w:val="1"/>
        <w:rPr>
          <w:rStyle w:val="29"/>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2"/>
      <w:bookmarkEnd w:id="33"/>
    </w:p>
    <w:p>
      <w:pPr>
        <w:pageBreakBefore w:val="0"/>
        <w:kinsoku/>
        <w:wordWrap/>
        <w:overflowPunct/>
        <w:topLinePunct w:val="0"/>
        <w:bidi w:val="0"/>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pageBreakBefore w:val="0"/>
        <w:kinsoku/>
        <w:wordWrap/>
        <w:overflowPunct/>
        <w:topLinePunct w:val="0"/>
        <w:bidi w:val="0"/>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123.81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21.85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21.4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2019年项目检查增加。</w:t>
      </w:r>
    </w:p>
    <w:p>
      <w:pPr>
        <w:pageBreakBefore w:val="0"/>
        <w:kinsoku/>
        <w:wordWrap/>
        <w:overflowPunct/>
        <w:topLinePunct w:val="0"/>
        <w:bidi w:val="0"/>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pageBreakBefore w:val="0"/>
        <w:kinsoku/>
        <w:wordWrap/>
        <w:overflowPunct/>
        <w:topLinePunct w:val="0"/>
        <w:bidi w:val="0"/>
        <w:spacing w:line="600" w:lineRule="exact"/>
        <w:ind w:firstLine="640"/>
        <w:rPr>
          <w:rFonts w:ascii="仿宋" w:hAnsi="仿宋" w:eastAsia="仿宋"/>
          <w:b/>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123.81</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lang w:val="en-US" w:eastAsia="zh-CN"/>
        </w:rPr>
        <w:t>行政支行（201类）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3.58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2.89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w:t>
      </w:r>
      <w:r>
        <w:rPr>
          <w:rFonts w:hint="eastAsia" w:ascii="仿宋" w:hAnsi="仿宋" w:eastAsia="仿宋"/>
          <w:b/>
          <w:color w:val="000000" w:themeColor="text1"/>
          <w:sz w:val="32"/>
          <w:szCs w:val="32"/>
          <w:lang w:val="en-US" w:eastAsia="zh-CN"/>
        </w:rPr>
        <w:t>208</w:t>
      </w:r>
      <w:r>
        <w:rPr>
          <w:rFonts w:hint="eastAsia" w:ascii="仿宋" w:hAnsi="仿宋" w:eastAsia="仿宋"/>
          <w:b/>
          <w:color w:val="000000" w:themeColor="text1"/>
          <w:sz w:val="32"/>
          <w:szCs w:val="32"/>
        </w:rPr>
        <w:t>类）</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10.18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8.22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210</w:t>
      </w:r>
      <w:r>
        <w:rPr>
          <w:rFonts w:hint="eastAsia" w:ascii="仿宋" w:hAnsi="仿宋" w:eastAsia="仿宋"/>
          <w:b/>
          <w:color w:val="000000" w:themeColor="text1"/>
          <w:sz w:val="32"/>
          <w:szCs w:val="32"/>
        </w:rPr>
        <w:t>类）</w:t>
      </w:r>
      <w:r>
        <w:rPr>
          <w:rFonts w:hint="eastAsia" w:ascii="仿宋" w:hAnsi="仿宋" w:eastAsia="仿宋"/>
          <w:b/>
          <w:color w:val="000000" w:themeColor="text1"/>
          <w:sz w:val="32"/>
          <w:szCs w:val="32"/>
          <w:lang w:val="en-US" w:eastAsia="zh-CN"/>
        </w:rPr>
        <w:t>101.24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81.77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住房保障支出</w:t>
      </w:r>
      <w:r>
        <w:rPr>
          <w:rFonts w:hint="eastAsia" w:ascii="仿宋" w:hAnsi="仿宋" w:eastAsia="仿宋"/>
          <w:b/>
          <w:color w:val="000000" w:themeColor="text1"/>
          <w:sz w:val="32"/>
          <w:szCs w:val="32"/>
        </w:rPr>
        <w:t>（</w:t>
      </w:r>
      <w:r>
        <w:rPr>
          <w:rFonts w:hint="eastAsia" w:ascii="仿宋" w:hAnsi="仿宋" w:eastAsia="仿宋"/>
          <w:b/>
          <w:color w:val="000000" w:themeColor="text1"/>
          <w:sz w:val="32"/>
          <w:szCs w:val="32"/>
          <w:lang w:val="en-US" w:eastAsia="zh-CN"/>
        </w:rPr>
        <w:t>221</w:t>
      </w:r>
      <w:r>
        <w:rPr>
          <w:rFonts w:hint="eastAsia" w:ascii="仿宋" w:hAnsi="仿宋" w:eastAsia="仿宋"/>
          <w:b/>
          <w:color w:val="000000" w:themeColor="text1"/>
          <w:sz w:val="32"/>
          <w:szCs w:val="32"/>
        </w:rPr>
        <w:t>类）</w:t>
      </w:r>
      <w:r>
        <w:rPr>
          <w:rFonts w:hint="eastAsia" w:ascii="仿宋" w:hAnsi="仿宋" w:eastAsia="仿宋"/>
          <w:b/>
          <w:color w:val="000000" w:themeColor="text1"/>
          <w:sz w:val="32"/>
          <w:szCs w:val="32"/>
          <w:lang w:val="en-US" w:eastAsia="zh-CN"/>
        </w:rPr>
        <w:t>8.8</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7.1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pageBreakBefore w:val="0"/>
        <w:kinsoku/>
        <w:wordWrap/>
        <w:overflowPunct/>
        <w:topLinePunct w:val="0"/>
        <w:bidi w:val="0"/>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pageBreakBefore w:val="0"/>
        <w:kinsoku/>
        <w:wordWrap/>
        <w:overflowPunct/>
        <w:topLinePunct w:val="0"/>
        <w:bidi w:val="0"/>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rPr>
        <w:t>2019年</w:t>
      </w:r>
      <w:r>
        <w:rPr>
          <w:rFonts w:hint="eastAsia" w:ascii="仿宋" w:hAnsi="仿宋" w:eastAsia="仿宋"/>
          <w:b/>
          <w:color w:val="000000" w:themeColor="text1"/>
          <w:sz w:val="32"/>
          <w:szCs w:val="32"/>
          <w:lang w:val="en-US" w:eastAsia="zh-CN"/>
        </w:rPr>
        <w:t>一</w:t>
      </w:r>
      <w:r>
        <w:rPr>
          <w:rFonts w:hint="eastAsia" w:ascii="仿宋" w:hAnsi="仿宋" w:eastAsia="仿宋"/>
          <w:b/>
          <w:color w:val="000000" w:themeColor="text1"/>
          <w:sz w:val="32"/>
          <w:szCs w:val="32"/>
        </w:rPr>
        <w:t>般公共预算支出决算数为</w:t>
      </w:r>
      <w:r>
        <w:rPr>
          <w:rFonts w:hint="eastAsia" w:ascii="仿宋" w:hAnsi="仿宋" w:eastAsia="仿宋"/>
          <w:b/>
          <w:color w:val="000000" w:themeColor="text1"/>
          <w:sz w:val="32"/>
          <w:szCs w:val="32"/>
          <w:lang w:val="en-US" w:eastAsia="zh-CN"/>
        </w:rPr>
        <w:t>123.81</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7"/>
      <w:bookmarkEnd w:id="38"/>
      <w:bookmarkEnd w:id="39"/>
    </w:p>
    <w:p>
      <w:pPr>
        <w:spacing w:line="600" w:lineRule="exact"/>
        <w:ind w:firstLine="643" w:firstLineChars="200"/>
        <w:rPr>
          <w:rStyle w:val="17"/>
          <w:rFonts w:ascii="仿宋" w:hAnsi="仿宋" w:eastAsia="仿宋"/>
          <w:b w:val="0"/>
          <w:bCs/>
          <w:color w:val="000000"/>
          <w:sz w:val="32"/>
          <w:szCs w:val="32"/>
        </w:rPr>
      </w:pPr>
      <w:bookmarkStart w:id="40" w:name="_Toc15377214"/>
      <w:bookmarkStart w:id="41" w:name="_Toc15396608"/>
      <w:r>
        <w:rPr>
          <w:rStyle w:val="17"/>
          <w:rFonts w:hint="eastAsia" w:ascii="仿宋" w:hAnsi="仿宋" w:eastAsia="仿宋"/>
          <w:bCs/>
          <w:color w:val="000000"/>
          <w:sz w:val="32"/>
          <w:szCs w:val="32"/>
        </w:rPr>
        <w:t>1.社会保障和就业（208）</w:t>
      </w:r>
      <w:r>
        <w:rPr>
          <w:rStyle w:val="17"/>
          <w:rFonts w:hint="eastAsia" w:ascii="仿宋" w:hAnsi="仿宋" w:eastAsia="仿宋"/>
          <w:bCs/>
          <w:color w:val="000000"/>
          <w:sz w:val="32"/>
          <w:szCs w:val="32"/>
          <w:lang w:val="en-US" w:eastAsia="zh-CN"/>
        </w:rPr>
        <w:t>行政事业单位离退休</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val="en-US" w:eastAsia="zh-CN"/>
        </w:rPr>
        <w:t>05</w:t>
      </w:r>
      <w:r>
        <w:rPr>
          <w:rStyle w:val="17"/>
          <w:rFonts w:hint="eastAsia" w:ascii="仿宋" w:hAnsi="仿宋" w:eastAsia="仿宋"/>
          <w:bCs/>
          <w:color w:val="000000"/>
          <w:sz w:val="32"/>
          <w:szCs w:val="32"/>
        </w:rPr>
        <w:t>）机关事业单位基本养老保险缴费支出（05）</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9.32</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86.5</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3" w:firstLineChars="200"/>
        <w:rPr>
          <w:rFonts w:hint="eastAsia" w:ascii="仿宋" w:hAnsi="仿宋" w:eastAsia="仿宋"/>
          <w:color w:val="000000"/>
          <w:sz w:val="32"/>
          <w:szCs w:val="32"/>
        </w:rPr>
      </w:pPr>
      <w:r>
        <w:rPr>
          <w:rStyle w:val="17"/>
          <w:rFonts w:hint="eastAsia" w:ascii="仿宋" w:hAnsi="仿宋" w:eastAsia="仿宋"/>
          <w:bCs/>
          <w:color w:val="000000"/>
          <w:sz w:val="32"/>
          <w:szCs w:val="32"/>
        </w:rPr>
        <w:t>2.社会保障和就业（208）抚恤（08）死亡抚恤（01）</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支出决算为0.</w:t>
      </w:r>
      <w:r>
        <w:rPr>
          <w:rStyle w:val="17"/>
          <w:rFonts w:hint="eastAsia" w:ascii="仿宋" w:hAnsi="仿宋" w:eastAsia="仿宋"/>
          <w:b w:val="0"/>
          <w:bCs/>
          <w:color w:val="000000"/>
          <w:sz w:val="32"/>
          <w:szCs w:val="32"/>
          <w:lang w:val="en-US" w:eastAsia="zh-CN"/>
        </w:rPr>
        <w:t>86</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143</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 w:hAnsi="仿宋" w:eastAsia="仿宋"/>
          <w:color w:val="000000"/>
          <w:sz w:val="32"/>
          <w:szCs w:val="32"/>
          <w:lang w:val="en-US" w:eastAsia="zh-CN"/>
        </w:rPr>
        <w:t>原因是测量标准增加</w:t>
      </w:r>
      <w:r>
        <w:rPr>
          <w:rFonts w:hint="eastAsia" w:ascii="仿宋" w:hAnsi="仿宋" w:eastAsia="仿宋"/>
          <w:color w:val="000000"/>
          <w:sz w:val="32"/>
          <w:szCs w:val="32"/>
        </w:rPr>
        <w:t>。</w:t>
      </w:r>
    </w:p>
    <w:p>
      <w:p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rPr>
        <w:t>3</w:t>
      </w:r>
      <w:r>
        <w:rPr>
          <w:rStyle w:val="17"/>
          <w:rFonts w:ascii="仿宋" w:hAnsi="仿宋" w:eastAsia="仿宋"/>
          <w:bCs/>
          <w:color w:val="000000"/>
          <w:sz w:val="32"/>
          <w:szCs w:val="32"/>
        </w:rPr>
        <w:t>.</w:t>
      </w:r>
      <w:r>
        <w:rPr>
          <w:rStyle w:val="17"/>
          <w:rFonts w:hint="eastAsia" w:ascii="仿宋" w:hAnsi="仿宋" w:eastAsia="仿宋"/>
          <w:bCs/>
          <w:color w:val="000000"/>
          <w:sz w:val="32"/>
          <w:szCs w:val="32"/>
          <w:lang w:val="en-US" w:eastAsia="zh-CN"/>
        </w:rPr>
        <w:t>卫生健康支出</w:t>
      </w:r>
      <w:r>
        <w:rPr>
          <w:rStyle w:val="17"/>
          <w:rFonts w:hint="eastAsia" w:ascii="仿宋" w:hAnsi="仿宋" w:eastAsia="仿宋"/>
          <w:bCs/>
          <w:color w:val="000000"/>
          <w:sz w:val="32"/>
          <w:szCs w:val="32"/>
        </w:rPr>
        <w:t>（210）</w:t>
      </w:r>
      <w:r>
        <w:rPr>
          <w:rStyle w:val="17"/>
          <w:rFonts w:hint="eastAsia" w:ascii="仿宋" w:hAnsi="仿宋" w:eastAsia="仿宋"/>
          <w:bCs/>
          <w:color w:val="000000"/>
          <w:sz w:val="32"/>
          <w:szCs w:val="32"/>
          <w:lang w:val="en-US" w:eastAsia="zh-CN"/>
        </w:rPr>
        <w:t>卫生健康管理事务（01）：行政支行（01）：</w:t>
      </w:r>
      <w:r>
        <w:rPr>
          <w:rStyle w:val="17"/>
          <w:rFonts w:hint="eastAsia" w:ascii="仿宋" w:hAnsi="仿宋" w:eastAsia="仿宋"/>
          <w:b w:val="0"/>
          <w:bCs/>
          <w:color w:val="000000"/>
          <w:sz w:val="32"/>
          <w:szCs w:val="32"/>
          <w:lang w:eastAsia="zh-CN"/>
        </w:rPr>
        <w:t>支出决算</w:t>
      </w:r>
      <w:r>
        <w:rPr>
          <w:rStyle w:val="17"/>
          <w:rFonts w:hint="eastAsia" w:ascii="仿宋" w:hAnsi="仿宋" w:eastAsia="仿宋"/>
          <w:b w:val="0"/>
          <w:bCs/>
          <w:color w:val="000000"/>
          <w:sz w:val="32"/>
          <w:szCs w:val="32"/>
        </w:rPr>
        <w:t>为</w:t>
      </w:r>
      <w:r>
        <w:rPr>
          <w:rStyle w:val="17"/>
          <w:rFonts w:hint="eastAsia" w:ascii="仿宋" w:hAnsi="仿宋" w:eastAsia="仿宋"/>
          <w:b w:val="0"/>
          <w:bCs/>
          <w:color w:val="000000"/>
          <w:sz w:val="32"/>
          <w:szCs w:val="32"/>
          <w:lang w:val="en-US" w:eastAsia="zh-CN"/>
        </w:rPr>
        <w:t>63.43</w:t>
      </w:r>
      <w:r>
        <w:rPr>
          <w:rStyle w:val="17"/>
          <w:rFonts w:hint="eastAsia" w:ascii="仿宋" w:hAnsi="仿宋" w:eastAsia="仿宋"/>
          <w:b w:val="0"/>
          <w:bCs/>
          <w:color w:val="000000"/>
          <w:sz w:val="32"/>
          <w:szCs w:val="32"/>
        </w:rPr>
        <w:t>元，完成预算</w:t>
      </w:r>
      <w:r>
        <w:rPr>
          <w:rStyle w:val="17"/>
          <w:rFonts w:hint="eastAsia" w:ascii="仿宋" w:hAnsi="仿宋" w:eastAsia="仿宋"/>
          <w:b w:val="0"/>
          <w:bCs/>
          <w:color w:val="000000"/>
          <w:sz w:val="32"/>
          <w:szCs w:val="32"/>
          <w:lang w:val="en-US" w:eastAsia="zh-CN"/>
        </w:rPr>
        <w:t>98</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Style w:val="17"/>
          <w:rFonts w:hint="eastAsia" w:ascii="仿宋" w:hAnsi="仿宋" w:eastAsia="仿宋"/>
          <w:b/>
          <w:bCs w:val="0"/>
          <w:color w:val="000000"/>
          <w:sz w:val="32"/>
          <w:szCs w:val="32"/>
          <w:lang w:val="en-US" w:eastAsia="zh-CN"/>
        </w:rPr>
        <w:t>其他卫生健康管理事务支出（99）</w:t>
      </w:r>
      <w:r>
        <w:rPr>
          <w:rStyle w:val="17"/>
          <w:rFonts w:hint="eastAsia" w:ascii="仿宋" w:hAnsi="仿宋" w:eastAsia="仿宋"/>
          <w:b w:val="0"/>
          <w:bCs/>
          <w:color w:val="000000"/>
          <w:sz w:val="32"/>
          <w:szCs w:val="32"/>
          <w:lang w:val="en-US" w:eastAsia="zh-CN"/>
        </w:rPr>
        <w:t>：</w:t>
      </w:r>
      <w:r>
        <w:rPr>
          <w:rStyle w:val="17"/>
          <w:rFonts w:hint="eastAsia" w:ascii="仿宋" w:hAnsi="仿宋" w:eastAsia="仿宋"/>
          <w:b w:val="0"/>
          <w:bCs/>
          <w:color w:val="000000"/>
          <w:sz w:val="32"/>
          <w:szCs w:val="32"/>
          <w:lang w:eastAsia="zh-CN"/>
        </w:rPr>
        <w:t>支出决算</w:t>
      </w:r>
      <w:r>
        <w:rPr>
          <w:rStyle w:val="17"/>
          <w:rFonts w:hint="eastAsia" w:ascii="仿宋" w:hAnsi="仿宋" w:eastAsia="仿宋"/>
          <w:b w:val="0"/>
          <w:bCs/>
          <w:color w:val="000000"/>
          <w:sz w:val="32"/>
          <w:szCs w:val="32"/>
        </w:rPr>
        <w:t>为</w:t>
      </w:r>
      <w:r>
        <w:rPr>
          <w:rStyle w:val="17"/>
          <w:rFonts w:hint="eastAsia" w:ascii="仿宋" w:hAnsi="仿宋" w:eastAsia="仿宋"/>
          <w:b w:val="0"/>
          <w:bCs/>
          <w:color w:val="000000"/>
          <w:sz w:val="32"/>
          <w:szCs w:val="32"/>
          <w:lang w:val="en-US" w:eastAsia="zh-CN"/>
        </w:rPr>
        <w:t>3.68万元</w:t>
      </w:r>
      <w:r>
        <w:rPr>
          <w:rStyle w:val="17"/>
          <w:rFonts w:hint="eastAsia" w:ascii="仿宋" w:hAnsi="仿宋" w:eastAsia="仿宋"/>
          <w:b w:val="0"/>
          <w:bCs/>
          <w:color w:val="000000"/>
          <w:sz w:val="32"/>
          <w:szCs w:val="32"/>
          <w:lang w:eastAsia="zh-CN"/>
        </w:rPr>
        <w:t>。</w:t>
      </w:r>
    </w:p>
    <w:p>
      <w:p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lang w:val="en-US" w:eastAsia="zh-CN"/>
        </w:rPr>
        <w:t>卫生健康支出</w:t>
      </w:r>
      <w:r>
        <w:rPr>
          <w:rStyle w:val="17"/>
          <w:rFonts w:hint="eastAsia" w:ascii="仿宋" w:hAnsi="仿宋" w:eastAsia="仿宋"/>
          <w:bCs/>
          <w:color w:val="000000"/>
          <w:sz w:val="32"/>
          <w:szCs w:val="32"/>
        </w:rPr>
        <w:t>（210）</w:t>
      </w:r>
      <w:r>
        <w:rPr>
          <w:rStyle w:val="17"/>
          <w:rFonts w:hint="eastAsia" w:ascii="仿宋" w:hAnsi="仿宋" w:eastAsia="仿宋"/>
          <w:bCs/>
          <w:color w:val="000000"/>
          <w:sz w:val="32"/>
          <w:szCs w:val="32"/>
          <w:lang w:val="en-US" w:eastAsia="zh-CN"/>
        </w:rPr>
        <w:t>公共卫生（04）卫生监督机构（02）：</w:t>
      </w:r>
      <w:r>
        <w:rPr>
          <w:rStyle w:val="17"/>
          <w:rFonts w:hint="eastAsia" w:ascii="仿宋" w:hAnsi="仿宋" w:eastAsia="仿宋"/>
          <w:b w:val="0"/>
          <w:bCs/>
          <w:color w:val="000000"/>
          <w:sz w:val="32"/>
          <w:szCs w:val="32"/>
          <w:lang w:eastAsia="zh-CN"/>
        </w:rPr>
        <w:t>支出决算</w:t>
      </w:r>
      <w:r>
        <w:rPr>
          <w:rStyle w:val="17"/>
          <w:rFonts w:hint="eastAsia" w:ascii="仿宋" w:hAnsi="仿宋" w:eastAsia="仿宋"/>
          <w:b w:val="0"/>
          <w:bCs/>
          <w:color w:val="000000"/>
          <w:sz w:val="32"/>
          <w:szCs w:val="32"/>
        </w:rPr>
        <w:t>为</w:t>
      </w:r>
      <w:r>
        <w:rPr>
          <w:rStyle w:val="17"/>
          <w:rFonts w:hint="eastAsia" w:ascii="仿宋" w:hAnsi="仿宋" w:eastAsia="仿宋"/>
          <w:b w:val="0"/>
          <w:bCs/>
          <w:color w:val="000000"/>
          <w:sz w:val="32"/>
          <w:szCs w:val="32"/>
          <w:lang w:val="en-US" w:eastAsia="zh-CN"/>
        </w:rPr>
        <w:t>27.95</w:t>
      </w:r>
      <w:r>
        <w:rPr>
          <w:rStyle w:val="17"/>
          <w:rFonts w:hint="eastAsia" w:ascii="仿宋" w:hAnsi="仿宋" w:eastAsia="仿宋"/>
          <w:b w:val="0"/>
          <w:bCs/>
          <w:color w:val="000000"/>
          <w:sz w:val="32"/>
          <w:szCs w:val="32"/>
        </w:rPr>
        <w:t>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lang w:val="en-US" w:eastAsia="zh-CN"/>
        </w:rPr>
        <w:t>卫生健康支出</w:t>
      </w:r>
      <w:r>
        <w:rPr>
          <w:rStyle w:val="17"/>
          <w:rFonts w:hint="eastAsia" w:ascii="仿宋" w:hAnsi="仿宋" w:eastAsia="仿宋"/>
          <w:bCs/>
          <w:color w:val="000000"/>
          <w:sz w:val="32"/>
          <w:szCs w:val="32"/>
        </w:rPr>
        <w:t>（210）行政事业单位医疗（</w:t>
      </w:r>
      <w:r>
        <w:rPr>
          <w:rStyle w:val="17"/>
          <w:rFonts w:hint="eastAsia" w:ascii="仿宋" w:hAnsi="仿宋" w:eastAsia="仿宋"/>
          <w:bCs/>
          <w:color w:val="000000"/>
          <w:sz w:val="32"/>
          <w:szCs w:val="32"/>
          <w:lang w:val="en-US" w:eastAsia="zh-CN"/>
        </w:rPr>
        <w:t>11</w:t>
      </w:r>
      <w:r>
        <w:rPr>
          <w:rStyle w:val="17"/>
          <w:rFonts w:hint="eastAsia" w:ascii="仿宋" w:hAnsi="仿宋" w:eastAsia="仿宋"/>
          <w:bCs/>
          <w:color w:val="000000"/>
          <w:sz w:val="32"/>
          <w:szCs w:val="32"/>
        </w:rPr>
        <w:t>）</w:t>
      </w:r>
      <w:r>
        <w:rPr>
          <w:rStyle w:val="17"/>
          <w:rFonts w:hint="eastAsia" w:ascii="仿宋" w:hAnsi="仿宋" w:eastAsia="仿宋"/>
          <w:bCs/>
          <w:color w:val="000000"/>
          <w:sz w:val="32"/>
          <w:szCs w:val="32"/>
          <w:lang w:eastAsia="zh-CN"/>
        </w:rPr>
        <w:t>：</w:t>
      </w:r>
      <w:r>
        <w:rPr>
          <w:rStyle w:val="17"/>
          <w:rFonts w:hint="eastAsia" w:ascii="仿宋" w:hAnsi="仿宋" w:eastAsia="仿宋"/>
          <w:bCs/>
          <w:color w:val="000000"/>
          <w:sz w:val="32"/>
          <w:szCs w:val="32"/>
          <w:lang w:val="en-US" w:eastAsia="zh-CN"/>
        </w:rPr>
        <w:t>事业</w:t>
      </w:r>
      <w:r>
        <w:rPr>
          <w:rStyle w:val="17"/>
          <w:rFonts w:hint="eastAsia" w:ascii="仿宋" w:hAnsi="仿宋" w:eastAsia="仿宋"/>
          <w:bCs/>
          <w:color w:val="000000"/>
          <w:sz w:val="32"/>
          <w:szCs w:val="32"/>
        </w:rPr>
        <w:t>单位医疗（</w:t>
      </w:r>
      <w:r>
        <w:rPr>
          <w:rStyle w:val="17"/>
          <w:rFonts w:hint="eastAsia" w:ascii="仿宋" w:hAnsi="仿宋" w:eastAsia="仿宋"/>
          <w:bCs/>
          <w:color w:val="000000"/>
          <w:sz w:val="32"/>
          <w:szCs w:val="32"/>
          <w:lang w:val="en-US" w:eastAsia="zh-CN"/>
        </w:rPr>
        <w:t>02</w:t>
      </w:r>
      <w:r>
        <w:rPr>
          <w:rStyle w:val="17"/>
          <w:rFonts w:hint="eastAsia" w:ascii="仿宋" w:hAnsi="仿宋" w:eastAsia="仿宋"/>
          <w:bCs/>
          <w:color w:val="000000"/>
          <w:sz w:val="32"/>
          <w:szCs w:val="32"/>
        </w:rPr>
        <w:t>）</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lang w:eastAsia="zh-CN"/>
        </w:rPr>
        <w:t>支出决算</w:t>
      </w:r>
      <w:r>
        <w:rPr>
          <w:rStyle w:val="17"/>
          <w:rFonts w:hint="eastAsia" w:ascii="仿宋" w:hAnsi="仿宋" w:eastAsia="仿宋"/>
          <w:b w:val="0"/>
          <w:bCs/>
          <w:color w:val="000000"/>
          <w:sz w:val="32"/>
          <w:szCs w:val="32"/>
        </w:rPr>
        <w:t>为</w:t>
      </w:r>
      <w:r>
        <w:rPr>
          <w:rStyle w:val="17"/>
          <w:rFonts w:hint="eastAsia" w:ascii="仿宋" w:hAnsi="仿宋" w:eastAsia="仿宋"/>
          <w:b w:val="0"/>
          <w:bCs/>
          <w:color w:val="000000"/>
          <w:sz w:val="32"/>
          <w:szCs w:val="32"/>
          <w:lang w:val="en-US" w:eastAsia="zh-CN"/>
        </w:rPr>
        <w:t>5.04万元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134</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Style w:val="17"/>
          <w:rFonts w:hint="eastAsia" w:ascii="仿宋_GB2312" w:hAnsi="仿宋_GB2312" w:eastAsia="仿宋_GB2312" w:cs="仿宋_GB2312"/>
          <w:b/>
          <w:bCs/>
          <w:color w:val="000000"/>
          <w:sz w:val="32"/>
          <w:szCs w:val="32"/>
        </w:rPr>
        <w:t>公务员医疗补助（03）：</w:t>
      </w:r>
      <w:r>
        <w:rPr>
          <w:rFonts w:hint="eastAsia" w:ascii="仿宋_GB2312" w:hAnsi="仿宋_GB2312" w:eastAsia="仿宋_GB2312" w:cs="仿宋_GB2312"/>
          <w:color w:val="000000"/>
          <w:sz w:val="32"/>
          <w:szCs w:val="32"/>
        </w:rPr>
        <w:t>2018年决算数为</w:t>
      </w:r>
      <w:r>
        <w:rPr>
          <w:rFonts w:hint="eastAsia" w:ascii="仿宋_GB2312" w:hAnsi="仿宋_GB2312" w:eastAsia="仿宋_GB2312" w:cs="仿宋_GB2312"/>
          <w:color w:val="000000"/>
          <w:sz w:val="32"/>
          <w:szCs w:val="32"/>
          <w:lang w:val="en-US" w:eastAsia="zh-CN"/>
        </w:rPr>
        <w:t>1.14</w:t>
      </w:r>
      <w:r>
        <w:rPr>
          <w:rFonts w:hint="eastAsia" w:ascii="仿宋_GB2312" w:hAnsi="仿宋_GB2312" w:eastAsia="仿宋_GB2312" w:cs="仿宋_GB2312"/>
          <w:color w:val="000000"/>
          <w:sz w:val="32"/>
          <w:szCs w:val="32"/>
        </w:rPr>
        <w:t>万元，完成预算1</w:t>
      </w:r>
      <w:r>
        <w:rPr>
          <w:rFonts w:hint="eastAsia" w:ascii="仿宋_GB2312" w:hAnsi="仿宋_GB2312" w:eastAsia="仿宋_GB2312" w:cs="仿宋_GB2312"/>
          <w:color w:val="000000"/>
          <w:sz w:val="32"/>
          <w:szCs w:val="32"/>
          <w:lang w:val="en-US" w:eastAsia="zh-CN"/>
        </w:rPr>
        <w:t>04</w:t>
      </w:r>
      <w:r>
        <w:rPr>
          <w:rFonts w:hint="eastAsia" w:ascii="仿宋_GB2312" w:hAnsi="仿宋_GB2312" w:eastAsia="仿宋_GB2312" w:cs="仿宋_GB2312"/>
          <w:color w:val="000000"/>
          <w:sz w:val="32"/>
          <w:szCs w:val="32"/>
        </w:rPr>
        <w:t>%。</w:t>
      </w:r>
    </w:p>
    <w:p>
      <w:pPr>
        <w:pageBreakBefore w:val="0"/>
        <w:numPr>
          <w:ilvl w:val="0"/>
          <w:numId w:val="2"/>
        </w:numPr>
        <w:tabs>
          <w:tab w:val="right" w:pos="8306"/>
        </w:tabs>
        <w:kinsoku/>
        <w:wordWrap/>
        <w:overflowPunct/>
        <w:topLinePunct w:val="0"/>
        <w:bidi w:val="0"/>
        <w:spacing w:line="600" w:lineRule="exact"/>
        <w:ind w:firstLine="640"/>
        <w:outlineLvl w:val="1"/>
        <w:rPr>
          <w:rFonts w:hint="eastAsia" w:ascii="仿宋" w:hAnsi="仿宋" w:eastAsia="仿宋"/>
          <w:color w:val="000000"/>
          <w:sz w:val="32"/>
          <w:szCs w:val="32"/>
        </w:rPr>
      </w:pPr>
      <w:r>
        <w:rPr>
          <w:rStyle w:val="17"/>
          <w:rFonts w:hint="eastAsia" w:ascii="仿宋" w:hAnsi="仿宋" w:eastAsia="仿宋"/>
          <w:bCs/>
          <w:color w:val="000000"/>
          <w:sz w:val="32"/>
          <w:szCs w:val="32"/>
        </w:rPr>
        <w:t>住房保障（221）住房改革支出（02）住房公积金（01）:</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8.8</w:t>
      </w:r>
      <w:r>
        <w:rPr>
          <w:rFonts w:hint="eastAsia" w:ascii="仿宋" w:hAnsi="仿宋" w:eastAsia="仿宋"/>
          <w:color w:val="000000"/>
          <w:sz w:val="32"/>
          <w:szCs w:val="32"/>
        </w:rPr>
        <w:t>万元，完成预算1</w:t>
      </w:r>
      <w:r>
        <w:rPr>
          <w:rFonts w:hint="eastAsia" w:ascii="仿宋" w:hAnsi="仿宋" w:eastAsia="仿宋"/>
          <w:color w:val="000000"/>
          <w:sz w:val="32"/>
          <w:szCs w:val="32"/>
          <w:lang w:val="en-US" w:eastAsia="zh-CN"/>
        </w:rPr>
        <w:t>40</w:t>
      </w:r>
      <w:r>
        <w:rPr>
          <w:rFonts w:hint="eastAsia" w:ascii="仿宋" w:hAnsi="仿宋" w:eastAsia="仿宋"/>
          <w:color w:val="000000"/>
          <w:sz w:val="32"/>
          <w:szCs w:val="32"/>
        </w:rPr>
        <w:t>%。</w:t>
      </w:r>
    </w:p>
    <w:p>
      <w:pPr>
        <w:pageBreakBefore w:val="0"/>
        <w:numPr>
          <w:numId w:val="0"/>
        </w:numPr>
        <w:tabs>
          <w:tab w:val="right" w:pos="8306"/>
        </w:tabs>
        <w:kinsoku/>
        <w:wordWrap/>
        <w:overflowPunct/>
        <w:topLinePunct w:val="0"/>
        <w:bidi w:val="0"/>
        <w:spacing w:line="600" w:lineRule="exact"/>
        <w:ind w:firstLine="640" w:firstLineChars="200"/>
        <w:outlineLvl w:val="1"/>
        <w:rPr>
          <w:rStyle w:val="29"/>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40"/>
      <w:bookmarkEnd w:id="41"/>
      <w:r>
        <w:rPr>
          <w:rStyle w:val="29"/>
          <w:rFonts w:ascii="黑体" w:hAnsi="黑体" w:eastAsia="黑体"/>
          <w:b w:val="0"/>
        </w:rPr>
        <w:tab/>
      </w:r>
    </w:p>
    <w:p>
      <w:pPr>
        <w:pageBreakBefore w:val="0"/>
        <w:kinsoku/>
        <w:wordWrap/>
        <w:overflowPunct/>
        <w:topLinePunct w:val="0"/>
        <w:bidi w:val="0"/>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123.81</w:t>
      </w:r>
      <w:r>
        <w:rPr>
          <w:rFonts w:hint="eastAsia" w:ascii="仿宋" w:hAnsi="仿宋" w:eastAsia="仿宋"/>
          <w:color w:val="000000"/>
          <w:sz w:val="32"/>
          <w:szCs w:val="32"/>
        </w:rPr>
        <w:t>万元，其中：</w:t>
      </w:r>
    </w:p>
    <w:p>
      <w:pPr>
        <w:pageBreakBefore w:val="0"/>
        <w:kinsoku/>
        <w:wordWrap/>
        <w:overflowPunct/>
        <w:topLinePunct w:val="0"/>
        <w:bidi w:val="0"/>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100.33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22.62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spacing w:line="600" w:lineRule="exact"/>
        <w:ind w:firstLine="640"/>
        <w:outlineLvl w:val="1"/>
        <w:rPr>
          <w:rStyle w:val="29"/>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2"/>
      <w:bookmarkEnd w:id="43"/>
    </w:p>
    <w:p>
      <w:pPr>
        <w:pageBreakBefore w:val="0"/>
        <w:kinsoku/>
        <w:wordWrap/>
        <w:overflowPunct/>
        <w:topLinePunct w:val="0"/>
        <w:bidi w:val="0"/>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pageBreakBefore w:val="0"/>
        <w:kinsoku/>
        <w:wordWrap/>
        <w:overflowPunct/>
        <w:topLinePunct w:val="0"/>
        <w:bidi w:val="0"/>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10.97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363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增加的原因是2019年为2017年购置的检测车上户及购买保险</w:t>
      </w:r>
      <w:r>
        <w:rPr>
          <w:rFonts w:hint="eastAsia" w:ascii="仿宋" w:hAnsi="仿宋" w:eastAsia="仿宋"/>
          <w:color w:val="000000"/>
          <w:sz w:val="32"/>
          <w:szCs w:val="32"/>
        </w:rPr>
        <w:t>。</w:t>
      </w:r>
    </w:p>
    <w:p>
      <w:pPr>
        <w:pageBreakBefore w:val="0"/>
        <w:kinsoku/>
        <w:wordWrap/>
        <w:overflowPunct/>
        <w:topLinePunct w:val="0"/>
        <w:bidi w:val="0"/>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pageBreakBefore w:val="0"/>
        <w:kinsoku/>
        <w:wordWrap/>
        <w:overflowPunct/>
        <w:topLinePunct w:val="0"/>
        <w:bidi w:val="0"/>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10.9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0.07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kinsoku/>
        <w:wordWrap/>
        <w:overflowPunct/>
        <w:topLinePunct w:val="0"/>
        <w:bidi w:val="0"/>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kinsoku/>
        <w:wordWrap/>
        <w:overflowPunct/>
        <w:topLinePunct w:val="0"/>
        <w:bidi w:val="0"/>
        <w:spacing w:line="600" w:lineRule="exact"/>
        <w:ind w:firstLine="640"/>
        <w:rPr>
          <w:rFonts w:ascii="仿宋" w:hAnsi="仿宋" w:eastAsia="仿宋"/>
          <w:b/>
          <w:color w:val="FF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10.9</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363</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增加7.9</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增加263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000000"/>
          <w:sz w:val="32"/>
          <w:szCs w:val="32"/>
          <w:lang w:val="en-US" w:eastAsia="zh-CN"/>
        </w:rPr>
        <w:t>2019年为2017年购置的检测车上户及购买保险</w:t>
      </w:r>
      <w:r>
        <w:rPr>
          <w:rFonts w:hint="eastAsia" w:ascii="仿宋" w:hAnsi="仿宋" w:eastAsia="仿宋"/>
          <w:color w:val="000000"/>
          <w:sz w:val="32"/>
          <w:szCs w:val="32"/>
        </w:rPr>
        <w:t>。</w:t>
      </w:r>
    </w:p>
    <w:p>
      <w:pPr>
        <w:pageBreakBefore w:val="0"/>
        <w:kinsoku/>
        <w:wordWrap/>
        <w:overflowPunct/>
        <w:topLinePunct w:val="0"/>
        <w:bidi w:val="0"/>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pageBreakBefore w:val="0"/>
        <w:kinsoku/>
        <w:wordWrap/>
        <w:overflowPunct/>
        <w:topLinePunct w:val="0"/>
        <w:bidi w:val="0"/>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10.9</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开展监督检查、参加会议</w:t>
      </w:r>
      <w:r>
        <w:rPr>
          <w:rFonts w:hint="eastAsia" w:ascii="仿宋_GB2312" w:eastAsia="仿宋_GB2312"/>
          <w:color w:val="000000"/>
          <w:sz w:val="32"/>
          <w:szCs w:val="32"/>
        </w:rPr>
        <w:t>等所需的公务用车燃料费、维修费、过路过桥费、保险费等支出。</w:t>
      </w:r>
    </w:p>
    <w:p>
      <w:pPr>
        <w:pageBreakBefore w:val="0"/>
        <w:numPr>
          <w:ilvl w:val="0"/>
          <w:numId w:val="3"/>
        </w:numPr>
        <w:kinsoku/>
        <w:wordWrap/>
        <w:overflowPunct/>
        <w:topLinePunct w:val="0"/>
        <w:bidi w:val="0"/>
        <w:spacing w:line="600" w:lineRule="exact"/>
        <w:ind w:firstLine="643" w:firstLineChars="200"/>
        <w:rPr>
          <w:rFonts w:hint="eastAsia" w:ascii="仿宋_GB2312" w:eastAsia="仿宋_GB2312"/>
          <w:color w:val="000000"/>
          <w:sz w:val="32"/>
          <w:szCs w:val="32"/>
          <w:lang w:eastAsia="zh-CN"/>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 xml:space="preserve"> </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增加0.07</w:t>
      </w:r>
      <w:r>
        <w:rPr>
          <w:rFonts w:hint="eastAsia" w:ascii="仿宋_GB2312" w:eastAsia="仿宋_GB2312"/>
          <w:color w:val="000000"/>
          <w:sz w:val="32"/>
          <w:szCs w:val="32"/>
        </w:rPr>
        <w:t>万元。主要原因是</w:t>
      </w:r>
      <w:r>
        <w:rPr>
          <w:rFonts w:hint="eastAsia" w:ascii="仿宋_GB2312" w:eastAsia="仿宋_GB2312"/>
          <w:color w:val="000000"/>
          <w:sz w:val="32"/>
          <w:szCs w:val="32"/>
          <w:lang w:val="en-US" w:eastAsia="zh-CN"/>
        </w:rPr>
        <w:t>2018年未产生接待费。其中</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0.07</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上级监督执法部门</w:t>
      </w:r>
      <w:r>
        <w:rPr>
          <w:rFonts w:hint="eastAsia" w:ascii="仿宋_GB2312" w:eastAsia="仿宋_GB2312"/>
          <w:color w:val="000000"/>
          <w:sz w:val="32"/>
          <w:szCs w:val="32"/>
        </w:rPr>
        <w:t>执行公务、开展业务活动开支的用餐费</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住宿费</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0.07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numPr>
          <w:ilvl w:val="0"/>
          <w:numId w:val="3"/>
        </w:numPr>
        <w:kinsoku/>
        <w:wordWrap/>
        <w:overflowPunct/>
        <w:topLinePunct w:val="0"/>
        <w:bidi w:val="0"/>
        <w:spacing w:line="600" w:lineRule="exact"/>
        <w:ind w:firstLine="643" w:firstLineChars="200"/>
        <w:rPr>
          <w:rFonts w:hint="eastAsia" w:ascii="仿宋_GB2312" w:eastAsia="仿宋_GB2312"/>
          <w:color w:val="000000" w:themeColor="text1"/>
          <w:sz w:val="32"/>
          <w:szCs w:val="32"/>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批次，</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人，共计支出</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万元</w:t>
      </w:r>
      <w:r>
        <w:rPr>
          <w:rFonts w:hint="eastAsia" w:ascii="仿宋_GB2312" w:eastAsia="仿宋_GB2312"/>
          <w:color w:val="000000" w:themeColor="text1"/>
          <w:sz w:val="32"/>
          <w:szCs w:val="32"/>
          <w:lang w:eastAsia="zh-CN"/>
        </w:rPr>
        <w:t>。</w:t>
      </w:r>
      <w:bookmarkStart w:id="46" w:name="_Toc15396610"/>
      <w:bookmarkStart w:id="47" w:name="_Toc15377218"/>
    </w:p>
    <w:p>
      <w:pPr>
        <w:pStyle w:val="11"/>
        <w:pageBreakBefore w:val="0"/>
        <w:kinsoku/>
        <w:wordWrap/>
        <w:overflowPunct/>
        <w:topLinePunct w:val="0"/>
        <w:bidi w:val="0"/>
        <w:spacing w:after="0"/>
      </w:pPr>
    </w:p>
    <w:p>
      <w:pPr>
        <w:pageBreakBefore w:val="0"/>
        <w:kinsoku/>
        <w:wordWrap/>
        <w:overflowPunct/>
        <w:topLinePunct w:val="0"/>
        <w:bidi w:val="0"/>
        <w:spacing w:line="600" w:lineRule="exact"/>
        <w:ind w:firstLine="640"/>
        <w:outlineLvl w:val="1"/>
        <w:rPr>
          <w:rStyle w:val="29"/>
          <w:rFonts w:ascii="黑体" w:hAnsi="黑体" w:eastAsia="黑体"/>
        </w:rPr>
      </w:pPr>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6"/>
      <w:bookmarkEnd w:id="47"/>
    </w:p>
    <w:p>
      <w:pPr>
        <w:pageBreakBefore w:val="0"/>
        <w:kinsoku/>
        <w:wordWrap/>
        <w:overflowPunct/>
        <w:topLinePunct w:val="0"/>
        <w:bidi w:val="0"/>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600" w:lineRule="exact"/>
        <w:ind w:firstLine="640"/>
        <w:rPr>
          <w:rFonts w:ascii="仿宋_GB2312" w:eastAsia="仿宋_GB2312"/>
          <w:color w:val="000000"/>
          <w:sz w:val="32"/>
          <w:szCs w:val="32"/>
        </w:rPr>
      </w:pPr>
    </w:p>
    <w:p>
      <w:pPr>
        <w:pageBreakBefore w:val="0"/>
        <w:numPr>
          <w:ilvl w:val="0"/>
          <w:numId w:val="4"/>
        </w:numPr>
        <w:kinsoku/>
        <w:wordWrap/>
        <w:overflowPunct/>
        <w:topLinePunct w:val="0"/>
        <w:bidi w:val="0"/>
        <w:spacing w:line="600" w:lineRule="exact"/>
        <w:ind w:firstLine="640"/>
        <w:outlineLvl w:val="1"/>
        <w:rPr>
          <w:rStyle w:val="29"/>
          <w:rFonts w:ascii="黑体" w:hAnsi="黑体" w:eastAsia="黑体"/>
          <w:b w:val="0"/>
        </w:rPr>
      </w:pPr>
      <w:bookmarkStart w:id="48" w:name="_Toc15396611"/>
      <w:bookmarkStart w:id="49" w:name="_Toc15377219"/>
      <w:r>
        <w:rPr>
          <w:rStyle w:val="29"/>
          <w:rFonts w:hint="eastAsia" w:ascii="黑体" w:hAnsi="黑体" w:eastAsia="黑体"/>
          <w:b w:val="0"/>
        </w:rPr>
        <w:t>国有资本经营预算支出决算情况说明</w:t>
      </w:r>
      <w:bookmarkEnd w:id="48"/>
      <w:bookmarkEnd w:id="49"/>
    </w:p>
    <w:p>
      <w:pPr>
        <w:pageBreakBefore w:val="0"/>
        <w:kinsoku/>
        <w:wordWrap/>
        <w:overflowPunct/>
        <w:topLinePunct w:val="0"/>
        <w:bidi w:val="0"/>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kinsoku/>
        <w:wordWrap/>
        <w:overflowPunct/>
        <w:topLinePunct w:val="0"/>
        <w:bidi w:val="0"/>
        <w:spacing w:line="580" w:lineRule="exact"/>
        <w:jc w:val="center"/>
        <w:rPr>
          <w:rFonts w:ascii="方正小标宋简体" w:hAnsi="方正小标宋简体" w:eastAsia="方正小标宋简体" w:cs="方正小标宋简体"/>
          <w:sz w:val="44"/>
          <w:szCs w:val="44"/>
        </w:rPr>
      </w:pPr>
    </w:p>
    <w:p>
      <w:pPr>
        <w:pageBreakBefore w:val="0"/>
        <w:kinsoku/>
        <w:wordWrap/>
        <w:overflowPunct/>
        <w:topLinePunct w:val="0"/>
        <w:bidi w:val="0"/>
        <w:spacing w:line="600" w:lineRule="exact"/>
        <w:ind w:firstLine="800" w:firstLineChars="250"/>
        <w:outlineLvl w:val="1"/>
        <w:rPr>
          <w:rStyle w:val="29"/>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50"/>
      <w:bookmarkEnd w:id="51"/>
    </w:p>
    <w:p>
      <w:pPr>
        <w:pageBreakBefore w:val="0"/>
        <w:kinsoku/>
        <w:wordWrap/>
        <w:overflowPunct/>
        <w:topLinePunct w:val="0"/>
        <w:bidi w:val="0"/>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pageBreakBefore w:val="0"/>
        <w:kinsoku/>
        <w:wordWrap/>
        <w:overflowPunct/>
        <w:topLinePunct w:val="0"/>
        <w:bidi w:val="0"/>
        <w:spacing w:line="600" w:lineRule="exact"/>
        <w:ind w:firstLine="640" w:firstLineChars="200"/>
        <w:rPr>
          <w:rFonts w:hint="default" w:ascii="仿宋_GB2312" w:eastAsia="仿宋_GB2312"/>
          <w:color w:val="000000" w:themeColor="text1"/>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9年，机关运行经费支出</w:t>
      </w:r>
      <w:r>
        <w:rPr>
          <w:rFonts w:hint="eastAsia" w:ascii="仿宋_GB2312" w:eastAsia="仿宋_GB2312"/>
          <w:color w:val="000000"/>
          <w:sz w:val="32"/>
          <w:szCs w:val="32"/>
          <w:lang w:val="en-US" w:eastAsia="zh-CN"/>
        </w:rPr>
        <w:t>123.81</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增加21.85</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增加21.4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val="en-US" w:eastAsia="zh-CN"/>
        </w:rPr>
        <w:t>购车险费增加和项目检查增加。</w:t>
      </w:r>
    </w:p>
    <w:p>
      <w:pPr>
        <w:pageBreakBefore w:val="0"/>
        <w:kinsoku/>
        <w:wordWrap/>
        <w:overflowPunct/>
        <w:topLinePunct w:val="0"/>
        <w:autoSpaceDE w:val="0"/>
        <w:autoSpaceDN w:val="0"/>
        <w:bidi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pageBreakBefore w:val="0"/>
        <w:kinsoku/>
        <w:wordWrap/>
        <w:overflowPunct/>
        <w:topLinePunct w:val="0"/>
        <w:bidi w:val="0"/>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kinsoku/>
        <w:wordWrap/>
        <w:overflowPunct/>
        <w:topLinePunct w:val="0"/>
        <w:autoSpaceDE w:val="0"/>
        <w:autoSpaceDN w:val="0"/>
        <w:bidi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rPr>
        <w:t>卫生和计划生育监督执法大队共有车辆2辆，其中：部级领导干部用车0辆、一般公务用车2辆、一般执法执勤用车0辆、特种专业技术用车0辆、其他用车0辆，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bookmarkStart w:id="74" w:name="_GoBack"/>
      <w:bookmarkEnd w:id="74"/>
    </w:p>
    <w:p>
      <w:pPr>
        <w:pageBreakBefore w:val="0"/>
        <w:numPr>
          <w:ilvl w:val="0"/>
          <w:numId w:val="5"/>
        </w:numPr>
        <w:kinsoku/>
        <w:wordWrap/>
        <w:overflowPunct/>
        <w:topLinePunct w:val="0"/>
        <w:bidi w:val="0"/>
        <w:spacing w:line="600" w:lineRule="exact"/>
        <w:ind w:firstLine="660" w:firstLineChars="150"/>
        <w:jc w:val="center"/>
        <w:outlineLvl w:val="0"/>
        <w:rPr>
          <w:rStyle w:val="28"/>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8"/>
          <w:rFonts w:hint="eastAsia" w:ascii="黑体" w:hAnsi="黑体" w:eastAsia="黑体"/>
          <w:b w:val="0"/>
        </w:rPr>
        <w:t>词解释</w:t>
      </w:r>
      <w:bookmarkEnd w:id="55"/>
      <w:bookmarkEnd w:id="56"/>
    </w:p>
    <w:p>
      <w:pPr>
        <w:pageBreakBefore w:val="0"/>
        <w:kinsoku/>
        <w:wordWrap/>
        <w:overflowPunct/>
        <w:topLinePunct w:val="0"/>
        <w:bidi w:val="0"/>
        <w:spacing w:line="600" w:lineRule="exact"/>
        <w:jc w:val="left"/>
        <w:rPr>
          <w:rFonts w:ascii="宋体"/>
          <w:b/>
          <w:color w:val="000000"/>
          <w:sz w:val="44"/>
          <w:szCs w:val="44"/>
        </w:rPr>
      </w:pPr>
    </w:p>
    <w:p>
      <w:pPr>
        <w:pStyle w:val="26"/>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6"/>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6"/>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6"/>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6"/>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6"/>
        <w:pageBreakBefore w:val="0"/>
        <w:kinsoku/>
        <w:wordWrap/>
        <w:overflowPunct/>
        <w:topLinePunct w:val="0"/>
        <w:bidi w:val="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pageBreakBefore w:val="0"/>
        <w:kinsoku/>
        <w:wordWrap/>
        <w:overflowPunct/>
        <w:topLinePunct w:val="0"/>
        <w:bidi w:val="0"/>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ageBreakBefore w:val="0"/>
        <w:kinsoku/>
        <w:wordWrap/>
        <w:overflowPunct/>
        <w:topLinePunct w:val="0"/>
        <w:bidi w:val="0"/>
        <w:ind w:firstLine="640" w:firstLineChars="200"/>
        <w:rPr>
          <w:rFonts w:hint="eastAsia"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lang w:val="en-US" w:eastAsia="zh-CN"/>
        </w:rPr>
        <w:t>科学技术</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科学技术管理实务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科技单位用于保障机构正常运行、开展日常工作基本支出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其他科学技术管理事务支出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反映除上述项目以外用于其他科学技术管理事务方面的支出</w:t>
      </w:r>
      <w:r>
        <w:rPr>
          <w:rFonts w:hint="eastAsia" w:ascii="仿宋_GB2312" w:eastAsia="仿宋_GB2312"/>
          <w:color w:val="000000"/>
          <w:sz w:val="32"/>
          <w:szCs w:val="32"/>
        </w:rPr>
        <w:t>。</w:t>
      </w:r>
    </w:p>
    <w:p>
      <w:pPr>
        <w:pageBreakBefore w:val="0"/>
        <w:kinsoku/>
        <w:wordWrap/>
        <w:overflowPunct/>
        <w:topLinePunct w:val="0"/>
        <w:bidi w:val="0"/>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lang w:val="en-US" w:eastAsia="zh-CN"/>
        </w:rPr>
        <w:t>科学技术</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技术研究与开发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应用研究与开发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反映从事技术开发研究和近期可望取得实用价值的专项技术开发研究的支出。</w:t>
      </w:r>
    </w:p>
    <w:p>
      <w:pPr>
        <w:pageBreakBefore w:val="0"/>
        <w:kinsoku/>
        <w:wordWrap/>
        <w:overflowPunct/>
        <w:topLinePunct w:val="0"/>
        <w:bidi w:val="0"/>
        <w:ind w:firstLine="640" w:firstLineChars="200"/>
        <w:rPr>
          <w:rFonts w:hint="default" w:ascii="仿宋_GB2312" w:eastAsia="仿宋_GB2312"/>
          <w:color w:val="000000"/>
          <w:sz w:val="32"/>
          <w:szCs w:val="32"/>
          <w:lang w:val="en-US"/>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lang w:val="en-US" w:eastAsia="zh-CN"/>
        </w:rPr>
        <w:t>科学技术</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科技条件与服务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科技条件专项</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反映国家用于完善科技条件的支出，包括科技文献信息、网络环境支撑等科技条件专项支出等。</w:t>
      </w:r>
    </w:p>
    <w:p>
      <w:pPr>
        <w:pStyle w:val="11"/>
        <w:pageBreakBefore w:val="0"/>
        <w:kinsoku/>
        <w:wordWrap/>
        <w:overflowPunct/>
        <w:topLinePunct w:val="0"/>
        <w:bidi w:val="0"/>
        <w:spacing w:after="0"/>
        <w:ind w:left="0" w:leftChars="0"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lang w:val="en-US" w:eastAsia="zh-CN"/>
        </w:rPr>
        <w:t>科学技术</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科学技术普及</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其他科学技术普及支出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反映除上述项目以外其他用于科学技术普及方面的支出。</w:t>
      </w:r>
    </w:p>
    <w:p>
      <w:pPr>
        <w:pStyle w:val="11"/>
        <w:pageBreakBefore w:val="0"/>
        <w:kinsoku/>
        <w:wordWrap/>
        <w:overflowPunct/>
        <w:topLinePunct w:val="0"/>
        <w:bidi w:val="0"/>
        <w:spacing w:after="0"/>
        <w:ind w:left="0" w:leftChars="0" w:firstLine="640" w:firstLineChars="200"/>
        <w:rPr>
          <w:rFonts w:hint="default"/>
          <w:lang w:val="en-US"/>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科学技术</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其他科学技术支出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其他科学技术支出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反映其他科学技术支出中除以上各项外用于科技方面的支出。</w:t>
      </w:r>
    </w:p>
    <w:p>
      <w:pPr>
        <w:pageBreakBefore w:val="0"/>
        <w:kinsoku/>
        <w:wordWrap/>
        <w:overflowPunct/>
        <w:topLinePunct w:val="0"/>
        <w:bidi w:val="0"/>
        <w:ind w:firstLine="640" w:firstLineChars="200"/>
        <w:rPr>
          <w:rFonts w:hint="eastAsia"/>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部门实施养老保险制度由单位缴纳的养老保险支出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机关事业单位职业年金缴费支出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反映机关事业单位实施养老保险制度由单位实际缴纳的职业年金支出。</w:t>
      </w:r>
    </w:p>
    <w:p>
      <w:pPr>
        <w:keepNext w:val="0"/>
        <w:keepLines w:val="0"/>
        <w:pageBreakBefore w:val="0"/>
        <w:widowControl w:val="0"/>
        <w:kinsoku/>
        <w:wordWrap/>
        <w:overflowPunct/>
        <w:topLinePunct w:val="0"/>
        <w:bidi w:val="0"/>
        <w:snapToGrid/>
        <w:spacing w:line="560" w:lineRule="exact"/>
        <w:ind w:firstLine="640" w:firstLineChars="200"/>
        <w:textAlignment w:val="auto"/>
      </w:pPr>
      <w:r>
        <w:rPr>
          <w:rFonts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公务员医疗补助</w:t>
      </w:r>
      <w:r>
        <w:rPr>
          <w:rFonts w:hint="eastAsia" w:ascii="仿宋_GB2312" w:eastAsia="仿宋_GB2312"/>
          <w:color w:val="000000"/>
          <w:sz w:val="32"/>
          <w:szCs w:val="32"/>
          <w:lang w:eastAsia="zh-CN"/>
        </w:rPr>
        <w:t>：指国家公务员在参加城镇职工基本医疗保险制度的基础上国家对公务员实行的医疗补助。</w:t>
      </w:r>
      <w:r>
        <w:rPr>
          <w:rFonts w:hint="eastAsia" w:ascii="仿宋_GB2312" w:eastAsia="仿宋_GB2312"/>
          <w:color w:val="000000"/>
          <w:sz w:val="32"/>
          <w:szCs w:val="32"/>
        </w:rPr>
        <w:t xml:space="preserve"> </w:t>
      </w:r>
    </w:p>
    <w:p>
      <w:pPr>
        <w:pageBreakBefore w:val="0"/>
        <w:kinsoku/>
        <w:wordWrap/>
        <w:overflowPunct/>
        <w:topLinePunct w:val="0"/>
        <w:bidi w:val="0"/>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lang w:eastAsia="zh-CN"/>
        </w:rPr>
        <w:t xml:space="preserve">住房保障支出（221）住房改革支出（02）住房公积金（01）：指按照《住房公积金管理条例》的规定，由单位及其在职职工缴存的长期住房储金。 </w:t>
      </w:r>
    </w:p>
    <w:p>
      <w:pPr>
        <w:pageBreakBefore w:val="0"/>
        <w:kinsoku/>
        <w:wordWrap/>
        <w:overflowPunct/>
        <w:topLinePunct w:val="0"/>
        <w:bidi w:val="0"/>
        <w:ind w:firstLine="640" w:firstLineChars="200"/>
        <w:rPr>
          <w:rFonts w:hint="eastAsia"/>
          <w:lang w:eastAsia="zh-CN"/>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lang w:eastAsia="zh-CN"/>
        </w:rPr>
        <w:t>（2</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扶贫</w:t>
      </w:r>
      <w:r>
        <w:rPr>
          <w:rFonts w:hint="eastAsia" w:ascii="仿宋_GB2312" w:eastAsia="仿宋_GB2312"/>
          <w:color w:val="000000"/>
          <w:sz w:val="32"/>
          <w:szCs w:val="32"/>
          <w:lang w:eastAsia="zh-CN"/>
        </w:rPr>
        <w:t>（0</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生产发展</w:t>
      </w:r>
      <w:r>
        <w:rPr>
          <w:rFonts w:hint="eastAsia" w:ascii="仿宋_GB2312" w:eastAsia="仿宋_GB2312"/>
          <w:color w:val="000000"/>
          <w:sz w:val="32"/>
          <w:szCs w:val="32"/>
          <w:lang w:eastAsia="zh-CN"/>
        </w:rPr>
        <w:t>（0</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反映用于农村贫困地区发展种植业、养殖业、畜牧业、农副产品加工、林果地建设等生产发展项目以及相关技术推广等方面的项目支出。</w:t>
      </w:r>
    </w:p>
    <w:p>
      <w:pPr>
        <w:pageBreakBefore w:val="0"/>
        <w:kinsoku/>
        <w:wordWrap/>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ageBreakBefore w:val="0"/>
        <w:kinsoku/>
        <w:wordWrap/>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pageBreakBefore w:val="0"/>
        <w:kinsoku/>
        <w:wordWrap/>
        <w:overflowPunct/>
        <w:topLinePunct w:val="0"/>
        <w:bidi w:val="0"/>
        <w:spacing w:line="560" w:lineRule="exact"/>
        <w:ind w:firstLine="640" w:firstLineChars="200"/>
        <w:rPr>
          <w:rFonts w:ascii="仿宋_GB2312" w:eastAsia="仿宋_GB2312" w:cs="黑体"/>
          <w:sz w:val="32"/>
          <w:szCs w:val="32"/>
        </w:rPr>
      </w:pPr>
    </w:p>
    <w:p>
      <w:pPr>
        <w:pageBreakBefore w:val="0"/>
        <w:kinsoku/>
        <w:wordWrap/>
        <w:overflowPunct/>
        <w:topLinePunct w:val="0"/>
        <w:bidi w:val="0"/>
        <w:spacing w:line="600" w:lineRule="exact"/>
        <w:jc w:val="center"/>
        <w:outlineLvl w:val="0"/>
        <w:rPr>
          <w:rStyle w:val="28"/>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8"/>
          <w:rFonts w:hint="eastAsia" w:ascii="黑体" w:hAnsi="黑体" w:eastAsia="黑体"/>
          <w:b w:val="0"/>
        </w:rPr>
        <w:t>四部分 附件</w:t>
      </w:r>
      <w:bookmarkEnd w:id="58"/>
    </w:p>
    <w:p>
      <w:pPr>
        <w:pageBreakBefore w:val="0"/>
        <w:kinsoku/>
        <w:wordWrap/>
        <w:overflowPunct/>
        <w:topLinePunct w:val="0"/>
        <w:bidi w:val="0"/>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600" w:lineRule="exact"/>
        <w:jc w:val="center"/>
        <w:outlineLvl w:val="0"/>
        <w:rPr>
          <w:rFonts w:hint="eastAsia" w:ascii="黑体" w:hAnsi="黑体" w:eastAsia="黑体" w:cs="方正小标宋简体"/>
          <w:sz w:val="36"/>
          <w:szCs w:val="36"/>
        </w:rPr>
      </w:pPr>
      <w:bookmarkStart w:id="59" w:name="_Toc15396616"/>
    </w:p>
    <w:p>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卫生和计划生育监督执法大队部门201</w:t>
      </w:r>
      <w:r>
        <w:rPr>
          <w:rFonts w:hint="eastAsia" w:ascii="黑体" w:hAnsi="黑体" w:eastAsia="黑体" w:cs="方正小标宋简体"/>
          <w:sz w:val="36"/>
          <w:szCs w:val="36"/>
          <w:lang w:val="en-US" w:eastAsia="zh-CN"/>
        </w:rPr>
        <w:t>9</w:t>
      </w:r>
      <w:r>
        <w:rPr>
          <w:rFonts w:hint="eastAsia" w:ascii="黑体" w:hAnsi="黑体" w:eastAsia="黑体" w:cs="方正小标宋简体"/>
          <w:sz w:val="36"/>
          <w:szCs w:val="36"/>
        </w:rPr>
        <w:t>年部门整体支出绩效评价报告</w:t>
      </w:r>
      <w:bookmarkEnd w:id="59"/>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_GB2312" w:cs="仿宋_GB2312"/>
          <w:sz w:val="32"/>
          <w:szCs w:val="32"/>
        </w:rPr>
      </w:pPr>
      <w:r>
        <w:rPr>
          <w:rFonts w:ascii="仿宋" w:hAnsi="仿宋" w:eastAsia="仿宋" w:cs="仿宋_GB2312"/>
          <w:sz w:val="32"/>
          <w:szCs w:val="32"/>
        </w:rPr>
        <w:t>（一）机构组成。</w:t>
      </w:r>
      <w:r>
        <w:rPr>
          <w:rFonts w:hint="eastAsia" w:ascii="仿宋_GB2312" w:hAnsi="Calibri" w:eastAsia="仿宋_GB2312"/>
          <w:sz w:val="32"/>
          <w:szCs w:val="32"/>
        </w:rPr>
        <w:t>九寨沟县卫生和计划生育监督执法大队属于参照公务员管理的县级二级预算单位。现有行政执法编制8名，工勤编制1名。下设4个科室，目前在职副科级领导干部1人（大队长），副科级非领导干部2人，科员</w:t>
      </w:r>
      <w:r>
        <w:rPr>
          <w:rFonts w:hint="eastAsia" w:ascii="仿宋_GB2312" w:hAnsi="Calibri" w:eastAsia="仿宋_GB2312"/>
          <w:sz w:val="32"/>
          <w:szCs w:val="32"/>
          <w:lang w:val="en-US" w:eastAsia="zh-CN"/>
        </w:rPr>
        <w:t>3</w:t>
      </w:r>
      <w:r>
        <w:rPr>
          <w:rFonts w:hint="eastAsia" w:ascii="仿宋_GB2312" w:hAnsi="Calibri" w:eastAsia="仿宋_GB2312"/>
          <w:sz w:val="32"/>
          <w:szCs w:val="32"/>
        </w:rPr>
        <w:t>人，事业工勤1人。</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（二）机构职能。</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一是</w:t>
      </w:r>
      <w:r>
        <w:rPr>
          <w:rFonts w:hint="eastAsia" w:ascii="仿宋" w:hAnsi="仿宋" w:eastAsia="仿宋" w:cs="仿宋_GB2312"/>
          <w:sz w:val="32"/>
          <w:szCs w:val="32"/>
        </w:rPr>
        <w:t xml:space="preserve">负责制定卫生和计生执法监督计划，依照法律法规，组织实施开展预防性和经常性卫生计生执法监督工作。 </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二是</w:t>
      </w:r>
      <w:r>
        <w:rPr>
          <w:rFonts w:hint="eastAsia" w:ascii="仿宋" w:hAnsi="仿宋" w:eastAsia="仿宋" w:cs="仿宋_GB2312"/>
          <w:sz w:val="32"/>
          <w:szCs w:val="32"/>
        </w:rPr>
        <w:t xml:space="preserve">负责依法对公共场所卫生、生活饮用水卫生、传染病防治、计划生育、消毒产品、放射卫生、学校卫生和医疗卫生机构及临床安全用血开展执法监督；整顿和规范医疗服务市场，组织查处卫生计生违法行为，督办重大医疗卫生计生违法案件。 </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三是</w:t>
      </w:r>
      <w:r>
        <w:rPr>
          <w:rFonts w:hint="eastAsia" w:ascii="仿宋" w:hAnsi="仿宋" w:eastAsia="仿宋" w:cs="仿宋_GB2312"/>
          <w:sz w:val="32"/>
          <w:szCs w:val="32"/>
        </w:rPr>
        <w:t xml:space="preserve">负责卫生许可证的申请受理、初审、上报和批准后证书或批准文书发放工作。 </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四是</w:t>
      </w:r>
      <w:r>
        <w:rPr>
          <w:rFonts w:hint="eastAsia" w:ascii="仿宋" w:hAnsi="仿宋" w:eastAsia="仿宋" w:cs="仿宋_GB2312"/>
          <w:sz w:val="32"/>
          <w:szCs w:val="32"/>
        </w:rPr>
        <w:t xml:space="preserve">负责卫生计生行政处罚案件的调查取证，并提出处罚建议及执行行政处罚决定；受理违反卫生计生法律法规案件的投诉、举报。 </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五是</w:t>
      </w:r>
      <w:r>
        <w:rPr>
          <w:rFonts w:hint="eastAsia" w:ascii="仿宋" w:hAnsi="仿宋" w:eastAsia="仿宋" w:cs="仿宋_GB2312"/>
          <w:sz w:val="32"/>
          <w:szCs w:val="32"/>
        </w:rPr>
        <w:t xml:space="preserve">负责对公共卫生中毒事故、重大疫情和突发事件进行调查取证，采取必要的控制措施，提出处理意见。 </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六是</w:t>
      </w:r>
      <w:r>
        <w:rPr>
          <w:rFonts w:hint="eastAsia" w:ascii="仿宋" w:hAnsi="仿宋" w:eastAsia="仿宋" w:cs="仿宋_GB2312"/>
          <w:sz w:val="32"/>
          <w:szCs w:val="32"/>
        </w:rPr>
        <w:t xml:space="preserve">负责卫生计生监督信息的收集、整理、分析和上报。 </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七是</w:t>
      </w:r>
      <w:r>
        <w:rPr>
          <w:rFonts w:hint="eastAsia" w:ascii="仿宋" w:hAnsi="仿宋" w:eastAsia="仿宋" w:cs="仿宋_GB2312"/>
          <w:sz w:val="32"/>
          <w:szCs w:val="32"/>
        </w:rPr>
        <w:t xml:space="preserve">负责对辖区内公共场所从业人员、生活饮用水管供水人员、放射卫生执业人员、学校卫生管理人员和卫生计生机构执业人员开展相关卫生法律法规知识培训。 </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八是</w:t>
      </w:r>
      <w:r>
        <w:rPr>
          <w:rFonts w:hint="eastAsia" w:ascii="仿宋" w:hAnsi="仿宋" w:eastAsia="仿宋" w:cs="仿宋_GB2312"/>
          <w:sz w:val="32"/>
          <w:szCs w:val="32"/>
        </w:rPr>
        <w:t xml:space="preserve">负责组织公共场所卫生、饮用水卫生监督监测工作。 </w:t>
      </w:r>
    </w:p>
    <w:p>
      <w:pPr>
        <w:spacing w:line="580" w:lineRule="exact"/>
        <w:ind w:firstLine="640" w:firstLineChars="200"/>
        <w:rPr>
          <w:rFonts w:ascii="仿宋" w:hAnsi="仿宋" w:eastAsia="仿宋_GB2312" w:cs="仿宋_GB2312"/>
          <w:sz w:val="32"/>
          <w:szCs w:val="32"/>
        </w:rPr>
      </w:pPr>
      <w:r>
        <w:rPr>
          <w:rFonts w:ascii="仿宋" w:hAnsi="仿宋" w:eastAsia="仿宋" w:cs="仿宋_GB2312"/>
          <w:sz w:val="32"/>
          <w:szCs w:val="32"/>
        </w:rPr>
        <w:t>（三）人员概况。</w:t>
      </w:r>
      <w:r>
        <w:rPr>
          <w:rFonts w:hint="eastAsia" w:ascii="仿宋_GB2312" w:hAnsi="Calibri" w:eastAsia="仿宋_GB2312"/>
          <w:sz w:val="32"/>
          <w:szCs w:val="32"/>
        </w:rPr>
        <w:t>目前在职副科级领导干部1人（大队长），副科级非领导干部2人，科员</w:t>
      </w:r>
      <w:r>
        <w:rPr>
          <w:rFonts w:hint="eastAsia" w:ascii="仿宋_GB2312" w:hAnsi="Calibri" w:eastAsia="仿宋_GB2312"/>
          <w:sz w:val="32"/>
          <w:szCs w:val="32"/>
          <w:lang w:val="en-US" w:eastAsia="zh-CN"/>
        </w:rPr>
        <w:t>3</w:t>
      </w:r>
      <w:r>
        <w:rPr>
          <w:rFonts w:hint="eastAsia" w:ascii="仿宋_GB2312" w:hAnsi="Calibri" w:eastAsia="仿宋_GB2312"/>
          <w:sz w:val="32"/>
          <w:szCs w:val="32"/>
        </w:rPr>
        <w:t>人，事业工勤1人。</w:t>
      </w:r>
    </w:p>
    <w:p>
      <w:pPr>
        <w:pageBreakBefore w:val="0"/>
        <w:widowControl/>
        <w:kinsoku/>
        <w:wordWrap/>
        <w:overflowPunct/>
        <w:topLinePunct w:val="0"/>
        <w:bidi w:val="0"/>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pageBreakBefore w:val="0"/>
        <w:widowControl/>
        <w:kinsoku/>
        <w:wordWrap/>
        <w:overflowPunct/>
        <w:topLinePunct w:val="0"/>
        <w:bidi w:val="0"/>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zh-CN"/>
        </w:rPr>
        <w:t>（一）部门财政资金收入情况。</w:t>
      </w:r>
      <w:r>
        <w:rPr>
          <w:rFonts w:hint="eastAsia" w:ascii="仿宋_GB2312" w:hAnsi="宋体" w:eastAsia="仿宋_GB2312" w:cs="宋体"/>
          <w:color w:val="000000"/>
          <w:kern w:val="0"/>
          <w:sz w:val="32"/>
          <w:szCs w:val="32"/>
          <w:shd w:val="clear" w:color="auto" w:fill="FFFFFF"/>
          <w:lang w:val="en-US" w:eastAsia="zh-CN"/>
        </w:rPr>
        <w:t>2019年</w:t>
      </w:r>
      <w:r>
        <w:rPr>
          <w:rFonts w:hint="eastAsia" w:ascii="仿宋" w:hAnsi="仿宋" w:eastAsia="仿宋" w:cs="仿宋_GB2312"/>
          <w:sz w:val="32"/>
          <w:szCs w:val="32"/>
        </w:rPr>
        <w:t>本年</w:t>
      </w:r>
      <w:r>
        <w:rPr>
          <w:rFonts w:hint="eastAsia" w:ascii="仿宋" w:hAnsi="仿宋" w:eastAsia="仿宋" w:cs="仿宋_GB2312"/>
          <w:sz w:val="32"/>
          <w:szCs w:val="32"/>
          <w:lang w:val="en-US" w:eastAsia="zh-CN"/>
        </w:rPr>
        <w:t>实际收到的一般公共预算拨款</w:t>
      </w:r>
      <w:r>
        <w:rPr>
          <w:rFonts w:hint="eastAsia" w:ascii="仿宋" w:hAnsi="仿宋" w:eastAsia="仿宋" w:cs="仿宋_GB2312"/>
          <w:sz w:val="32"/>
          <w:szCs w:val="32"/>
        </w:rPr>
        <w:t>收入合计</w:t>
      </w:r>
      <w:r>
        <w:rPr>
          <w:rFonts w:hint="eastAsia" w:ascii="仿宋" w:hAnsi="仿宋" w:eastAsia="仿宋" w:cs="仿宋_GB2312"/>
          <w:sz w:val="32"/>
          <w:szCs w:val="32"/>
          <w:lang w:val="en-US" w:eastAsia="zh-CN"/>
        </w:rPr>
        <w:t>118.62</w:t>
      </w:r>
      <w:r>
        <w:rPr>
          <w:rFonts w:hint="eastAsia" w:ascii="仿宋" w:hAnsi="仿宋" w:eastAsia="仿宋" w:cs="仿宋_GB2312"/>
          <w:sz w:val="32"/>
          <w:szCs w:val="32"/>
        </w:rPr>
        <w:t>万元，</w:t>
      </w:r>
      <w:r>
        <w:rPr>
          <w:rFonts w:hint="eastAsia" w:ascii="仿宋_GB2312" w:hAnsi="宋体" w:eastAsia="仿宋_GB2312" w:cs="宋体"/>
          <w:color w:val="000000"/>
          <w:kern w:val="0"/>
          <w:sz w:val="32"/>
          <w:szCs w:val="32"/>
          <w:shd w:val="clear" w:color="auto" w:fill="FFFFFF"/>
          <w:lang w:val="zh-CN"/>
        </w:rPr>
        <w:t>财政部门拨款对账单</w:t>
      </w:r>
      <w:r>
        <w:rPr>
          <w:rFonts w:hint="eastAsia" w:ascii="仿宋_GB2312" w:hAnsi="宋体" w:eastAsia="仿宋_GB2312" w:cs="宋体"/>
          <w:color w:val="000000"/>
          <w:kern w:val="0"/>
          <w:sz w:val="32"/>
          <w:szCs w:val="32"/>
          <w:shd w:val="clear" w:color="auto" w:fill="FFFFFF"/>
          <w:lang w:val="en-US" w:eastAsia="zh-CN"/>
        </w:rPr>
        <w:t>125.9</w:t>
      </w:r>
      <w:r>
        <w:rPr>
          <w:rFonts w:hint="eastAsia" w:ascii="仿宋_GB2312" w:hAnsi="宋体" w:eastAsia="仿宋_GB2312" w:cs="宋体"/>
          <w:color w:val="000000"/>
          <w:kern w:val="0"/>
          <w:sz w:val="32"/>
          <w:szCs w:val="32"/>
          <w:shd w:val="clear" w:color="auto" w:fill="FFFFFF"/>
          <w:lang w:val="zh-CN"/>
        </w:rPr>
        <w:t>万元，上年结转</w:t>
      </w:r>
      <w:r>
        <w:rPr>
          <w:rFonts w:hint="eastAsia" w:ascii="仿宋_GB2312" w:hAnsi="宋体" w:eastAsia="仿宋_GB2312" w:cs="宋体"/>
          <w:color w:val="000000"/>
          <w:kern w:val="0"/>
          <w:sz w:val="32"/>
          <w:szCs w:val="32"/>
          <w:shd w:val="clear" w:color="auto" w:fill="FFFFFF"/>
          <w:lang w:val="en-US" w:eastAsia="zh-CN"/>
        </w:rPr>
        <w:t>7.28</w:t>
      </w:r>
      <w:r>
        <w:rPr>
          <w:rFonts w:hint="eastAsia" w:ascii="仿宋_GB2312" w:hAnsi="宋体" w:eastAsia="仿宋_GB2312" w:cs="宋体"/>
          <w:color w:val="000000"/>
          <w:kern w:val="0"/>
          <w:sz w:val="32"/>
          <w:szCs w:val="32"/>
          <w:shd w:val="clear" w:color="auto" w:fill="FFFFFF"/>
          <w:lang w:val="zh-CN"/>
        </w:rPr>
        <w:t>万元。</w:t>
      </w:r>
    </w:p>
    <w:p>
      <w:pPr>
        <w:pageBreakBefore w:val="0"/>
        <w:widowControl/>
        <w:kinsoku/>
        <w:wordWrap/>
        <w:overflowPunct/>
        <w:topLinePunct w:val="0"/>
        <w:bidi w:val="0"/>
        <w:adjustRightInd w:val="0"/>
        <w:snapToGrid w:val="0"/>
        <w:spacing w:line="580" w:lineRule="exact"/>
        <w:ind w:firstLine="640" w:firstLineChars="200"/>
        <w:contextualSpacing/>
        <w:jc w:val="left"/>
        <w:rPr>
          <w:lang w:val="zh-CN"/>
        </w:rPr>
      </w:pPr>
      <w:r>
        <w:rPr>
          <w:rFonts w:hint="eastAsia" w:ascii="仿宋_GB2312" w:hAnsi="宋体" w:eastAsia="仿宋_GB2312" w:cs="宋体"/>
          <w:color w:val="000000"/>
          <w:kern w:val="0"/>
          <w:sz w:val="32"/>
          <w:szCs w:val="32"/>
          <w:shd w:val="clear" w:color="auto" w:fill="FFFFFF"/>
          <w:lang w:val="zh-CN"/>
        </w:rPr>
        <w:t>（二）部门财政资金支出情况。</w:t>
      </w:r>
      <w:r>
        <w:rPr>
          <w:rFonts w:hint="eastAsia" w:ascii="仿宋_GB2312" w:hAnsi="宋体" w:eastAsia="仿宋_GB2312" w:cs="宋体"/>
          <w:color w:val="000000"/>
          <w:kern w:val="0"/>
          <w:sz w:val="32"/>
          <w:szCs w:val="32"/>
          <w:shd w:val="clear" w:color="auto" w:fill="FFFFFF"/>
          <w:lang w:val="en-US" w:eastAsia="zh-CN"/>
        </w:rPr>
        <w:t>2019年实际支出123.81万元，其中：</w:t>
      </w:r>
      <w:r>
        <w:rPr>
          <w:rFonts w:hint="eastAsia" w:ascii="仿宋" w:hAnsi="仿宋" w:eastAsia="仿宋"/>
          <w:color w:val="000000"/>
          <w:sz w:val="32"/>
          <w:szCs w:val="32"/>
        </w:rPr>
        <w:t>基本支出</w:t>
      </w:r>
      <w:r>
        <w:rPr>
          <w:rFonts w:hint="eastAsia" w:ascii="仿宋" w:hAnsi="仿宋" w:eastAsia="仿宋"/>
          <w:color w:val="000000"/>
          <w:sz w:val="32"/>
          <w:szCs w:val="32"/>
          <w:lang w:val="en-US" w:eastAsia="zh-CN"/>
        </w:rPr>
        <w:t>122.95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0.86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w:t>
      </w:r>
      <w:r>
        <w:rPr>
          <w:rFonts w:ascii="仿宋" w:hAnsi="仿宋" w:eastAsia="仿宋"/>
          <w:color w:val="000000"/>
          <w:sz w:val="32"/>
          <w:szCs w:val="32"/>
        </w:rPr>
        <w:t>%</w:t>
      </w:r>
      <w:r>
        <w:rPr>
          <w:rFonts w:hint="eastAsia" w:ascii="仿宋" w:hAnsi="仿宋" w:eastAsia="仿宋"/>
          <w:color w:val="000000"/>
          <w:sz w:val="32"/>
          <w:szCs w:val="32"/>
          <w:lang w:eastAsia="zh-CN"/>
        </w:rPr>
        <w:t>。</w:t>
      </w:r>
    </w:p>
    <w:p>
      <w:pPr>
        <w:pageBreakBefore w:val="0"/>
        <w:widowControl/>
        <w:kinsoku/>
        <w:wordWrap/>
        <w:overflowPunct/>
        <w:topLinePunct w:val="0"/>
        <w:bidi w:val="0"/>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pageBreakBefore w:val="0"/>
        <w:widowControl/>
        <w:kinsoku/>
        <w:wordWrap/>
        <w:overflowPunct/>
        <w:topLinePunct w:val="0"/>
        <w:bidi w:val="0"/>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pageBreakBefore w:val="0"/>
        <w:widowControl/>
        <w:kinsoku/>
        <w:wordWrap/>
        <w:overflowPunct/>
        <w:topLinePunct w:val="0"/>
        <w:bidi w:val="0"/>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rPr>
        <w:t>预算编制情况。</w:t>
      </w:r>
    </w:p>
    <w:p>
      <w:pPr>
        <w:pageBreakBefore w:val="0"/>
        <w:widowControl/>
        <w:kinsoku/>
        <w:wordWrap/>
        <w:overflowPunct/>
        <w:topLinePunct w:val="0"/>
        <w:bidi w:val="0"/>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预算管理方面较好，本着厉行节俭、只减不增的原则，严格执行“三公”经费标准和审批制度与程序，公用经费、三公经费都得到了有效控制。</w:t>
      </w:r>
    </w:p>
    <w:p>
      <w:pPr>
        <w:pageBreakBefore w:val="0"/>
        <w:widowControl/>
        <w:kinsoku/>
        <w:wordWrap/>
        <w:overflowPunct/>
        <w:topLinePunct w:val="0"/>
        <w:bidi w:val="0"/>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执行管理情况。</w:t>
      </w:r>
      <w:r>
        <w:rPr>
          <w:rFonts w:hint="eastAsia" w:ascii="仿宋_GB2312" w:hAnsi="宋体" w:eastAsia="仿宋_GB2312" w:cs="宋体"/>
          <w:color w:val="000000"/>
          <w:kern w:val="0"/>
          <w:sz w:val="32"/>
          <w:szCs w:val="32"/>
          <w:shd w:val="clear" w:color="auto" w:fill="FFFFFF"/>
          <w:lang w:val="zh-CN"/>
        </w:rPr>
        <w:tab/>
      </w:r>
    </w:p>
    <w:p>
      <w:pPr>
        <w:pageBreakBefore w:val="0"/>
        <w:widowControl/>
        <w:kinsoku/>
        <w:wordWrap/>
        <w:overflowPunct/>
        <w:topLinePunct w:val="0"/>
        <w:bidi w:val="0"/>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2019年“三公”经费总额为</w:t>
      </w:r>
      <w:r>
        <w:rPr>
          <w:rFonts w:hint="eastAsia" w:ascii="仿宋_GB2312" w:hAnsi="宋体" w:eastAsia="仿宋_GB2312" w:cs="宋体"/>
          <w:color w:val="000000"/>
          <w:kern w:val="0"/>
          <w:sz w:val="32"/>
          <w:szCs w:val="32"/>
          <w:shd w:val="clear" w:color="auto" w:fill="FFFFFF"/>
          <w:lang w:val="en-US" w:eastAsia="zh-CN"/>
        </w:rPr>
        <w:t>10.97</w:t>
      </w:r>
      <w:r>
        <w:rPr>
          <w:rFonts w:hint="eastAsia" w:ascii="仿宋_GB2312" w:hAnsi="宋体" w:eastAsia="仿宋_GB2312" w:cs="宋体"/>
          <w:color w:val="000000"/>
          <w:kern w:val="0"/>
          <w:sz w:val="32"/>
          <w:szCs w:val="32"/>
          <w:shd w:val="clear" w:color="auto" w:fill="FFFFFF"/>
          <w:lang w:val="zh-CN"/>
        </w:rPr>
        <w:t>万元，其中公务用车运行维护费</w:t>
      </w:r>
      <w:r>
        <w:rPr>
          <w:rFonts w:hint="eastAsia" w:ascii="仿宋_GB2312" w:hAnsi="宋体" w:eastAsia="仿宋_GB2312" w:cs="宋体"/>
          <w:color w:val="000000"/>
          <w:kern w:val="0"/>
          <w:sz w:val="32"/>
          <w:szCs w:val="32"/>
          <w:shd w:val="clear" w:color="auto" w:fill="FFFFFF"/>
          <w:lang w:val="en-US" w:eastAsia="zh-CN"/>
        </w:rPr>
        <w:t>10.9</w:t>
      </w:r>
      <w:r>
        <w:rPr>
          <w:rFonts w:hint="eastAsia" w:ascii="仿宋_GB2312" w:hAnsi="宋体" w:eastAsia="仿宋_GB2312" w:cs="宋体"/>
          <w:color w:val="000000"/>
          <w:kern w:val="0"/>
          <w:sz w:val="32"/>
          <w:szCs w:val="32"/>
          <w:shd w:val="clear" w:color="auto" w:fill="FFFFFF"/>
          <w:lang w:val="zh-CN"/>
        </w:rPr>
        <w:t>万元。与2018年相比</w:t>
      </w:r>
      <w:r>
        <w:rPr>
          <w:rFonts w:hint="eastAsia" w:ascii="仿宋_GB2312" w:hAnsi="宋体" w:eastAsia="仿宋_GB2312" w:cs="宋体"/>
          <w:color w:val="000000"/>
          <w:kern w:val="0"/>
          <w:sz w:val="32"/>
          <w:szCs w:val="32"/>
          <w:shd w:val="clear" w:color="auto" w:fill="FFFFFF"/>
          <w:lang w:val="en-US" w:eastAsia="zh-CN"/>
        </w:rPr>
        <w:t>增加7.9</w:t>
      </w:r>
      <w:r>
        <w:rPr>
          <w:rFonts w:hint="eastAsia" w:ascii="仿宋_GB2312" w:hAnsi="宋体" w:eastAsia="仿宋_GB2312" w:cs="宋体"/>
          <w:color w:val="000000"/>
          <w:kern w:val="0"/>
          <w:sz w:val="32"/>
          <w:szCs w:val="32"/>
          <w:shd w:val="clear" w:color="auto" w:fill="FFFFFF"/>
          <w:lang w:val="zh-CN"/>
        </w:rPr>
        <w:t>万元，其原因</w:t>
      </w:r>
      <w:r>
        <w:rPr>
          <w:rFonts w:hint="eastAsia" w:ascii="仿宋_GB2312" w:hAnsi="宋体" w:eastAsia="仿宋_GB2312" w:cs="宋体"/>
          <w:color w:val="000000"/>
          <w:kern w:val="0"/>
          <w:sz w:val="32"/>
          <w:szCs w:val="32"/>
          <w:shd w:val="clear" w:color="auto" w:fill="FFFFFF"/>
          <w:lang w:val="en-US" w:eastAsia="zh-CN"/>
        </w:rPr>
        <w:t>购买检测车的保险费车辆。</w:t>
      </w:r>
    </w:p>
    <w:p>
      <w:pPr>
        <w:pStyle w:val="15"/>
        <w:spacing w:before="0" w:beforeAutospacing="0" w:after="0" w:afterAutospacing="0"/>
        <w:ind w:firstLine="628"/>
        <w:jc w:val="both"/>
        <w:rPr>
          <w:rFonts w:ascii="仿宋_GB2312" w:hAnsi="Times New Roman" w:eastAsia="仿宋_GB2312"/>
          <w:kern w:val="2"/>
          <w:sz w:val="32"/>
          <w:szCs w:val="32"/>
        </w:rPr>
      </w:pPr>
      <w:r>
        <w:rPr>
          <w:rFonts w:hint="eastAsia" w:ascii="仿宋_GB2312" w:hAnsi="Times New Roman" w:eastAsia="仿宋_GB2312"/>
          <w:kern w:val="2"/>
          <w:sz w:val="32"/>
          <w:szCs w:val="32"/>
          <w:lang w:val="en-US" w:eastAsia="zh-CN"/>
        </w:rPr>
        <w:t>3</w:t>
      </w:r>
      <w:r>
        <w:rPr>
          <w:rFonts w:hint="eastAsia" w:ascii="仿宋_GB2312" w:hAnsi="Times New Roman" w:eastAsia="仿宋_GB2312"/>
          <w:kern w:val="2"/>
          <w:sz w:val="32"/>
          <w:szCs w:val="32"/>
        </w:rPr>
        <w:t>.管理制度进一步健全。我单位制定了财务管理制度和会计核算等管理制度，明确了财务职责，制定了厉行节约制度，管理制度依照有关国家法律法规而制定的，具有合法性、合规性、完整性、同时相关制度得到认真执行。</w:t>
      </w:r>
    </w:p>
    <w:p>
      <w:pPr>
        <w:pStyle w:val="15"/>
        <w:spacing w:before="0" w:beforeAutospacing="0" w:after="0" w:afterAutospacing="0"/>
        <w:ind w:firstLine="628"/>
        <w:jc w:val="both"/>
        <w:rPr>
          <w:rFonts w:ascii="仿宋_GB2312" w:hAnsi="Times New Roman" w:eastAsia="仿宋_GB2312"/>
          <w:kern w:val="2"/>
          <w:sz w:val="32"/>
          <w:szCs w:val="32"/>
        </w:rPr>
      </w:pPr>
      <w:r>
        <w:rPr>
          <w:rFonts w:hint="eastAsia" w:ascii="仿宋_GB2312" w:hAnsi="Times New Roman" w:eastAsia="仿宋_GB2312"/>
          <w:kern w:val="2"/>
          <w:sz w:val="32"/>
          <w:szCs w:val="32"/>
        </w:rPr>
        <w:t>4.资金使用合规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pPr>
        <w:spacing w:line="580" w:lineRule="exact"/>
        <w:ind w:firstLine="640" w:firstLineChars="200"/>
        <w:rPr>
          <w:rFonts w:ascii="黑体" w:hAnsi="黑体" w:eastAsia="黑体" w:cs="黑体"/>
          <w:sz w:val="32"/>
          <w:szCs w:val="32"/>
        </w:rPr>
      </w:pPr>
      <w:r>
        <w:rPr>
          <w:rFonts w:hint="eastAsia" w:ascii="仿宋_GB2312" w:eastAsia="仿宋_GB2312"/>
          <w:color w:val="000000"/>
          <w:sz w:val="32"/>
          <w:szCs w:val="32"/>
        </w:rPr>
        <w:t>5.预算信息公开性。按照规定的内容、时间公开预算信息，做到基础数据信息和会计资金真实、完整、准确。</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autoSpaceDN w:val="0"/>
        <w:spacing w:line="580" w:lineRule="exact"/>
        <w:ind w:firstLine="800" w:firstLineChars="250"/>
        <w:jc w:val="left"/>
        <w:textAlignment w:val="center"/>
        <w:rPr>
          <w:rFonts w:ascii="仿宋" w:hAnsi="仿宋" w:eastAsia="仿宋" w:cs="仿宋_GB2312"/>
          <w:sz w:val="32"/>
          <w:szCs w:val="32"/>
        </w:rPr>
      </w:pPr>
      <w:r>
        <w:rPr>
          <w:rFonts w:hint="eastAsia" w:ascii="仿宋_GB2312" w:hAnsi="仿宋_GB2312" w:eastAsia="仿宋_GB2312" w:cs="仿宋_GB2312"/>
          <w:sz w:val="32"/>
          <w:szCs w:val="32"/>
        </w:rPr>
        <w:t>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年度决算中反映0个专项预算。</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spacing w:line="580" w:lineRule="exact"/>
        <w:ind w:firstLine="640" w:firstLineChars="200"/>
        <w:rPr>
          <w:rFonts w:ascii="仿宋_GB2312" w:hAnsi="仿宋_GB2312" w:eastAsia="仿宋_GB2312" w:cs="仿宋_GB2312"/>
          <w:sz w:val="32"/>
          <w:szCs w:val="32"/>
        </w:rPr>
      </w:pPr>
      <w:r>
        <w:rPr>
          <w:rFonts w:hint="eastAsia" w:ascii="仿宋" w:hAnsi="仿宋" w:eastAsia="仿宋" w:cs="仿宋_GB2312"/>
          <w:sz w:val="32"/>
          <w:szCs w:val="32"/>
        </w:rPr>
        <w:t>我大队</w:t>
      </w:r>
      <w:r>
        <w:rPr>
          <w:rFonts w:hint="eastAsia" w:ascii="仿宋_GB2312" w:hAnsi="仿宋_GB2312" w:eastAsia="仿宋_GB2312" w:cs="仿宋_GB2312"/>
          <w:sz w:val="32"/>
          <w:szCs w:val="32"/>
        </w:rPr>
        <w:t>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单位未出现超预算情况，对于本职工作和领导安排的各项工作态度积极、思想端正、都保质保量完成，对于群众举报投诉问题，我单位在接到投诉举报后立即出动执法人员进行检查核实，快速做出回应，群众满意度较高，未出现执法人员被投诉举报情况。</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_GB2312" w:cs="仿宋_GB2312"/>
          <w:sz w:val="32"/>
          <w:szCs w:val="32"/>
        </w:rPr>
      </w:pPr>
      <w:r>
        <w:rPr>
          <w:rFonts w:ascii="仿宋" w:hAnsi="仿宋" w:eastAsia="仿宋" w:cs="仿宋_GB2312"/>
          <w:sz w:val="32"/>
          <w:szCs w:val="32"/>
        </w:rPr>
        <w:t>（一）评价结论。</w:t>
      </w:r>
      <w:r>
        <w:rPr>
          <w:rFonts w:hint="eastAsia" w:ascii="仿宋" w:hAnsi="仿宋" w:eastAsia="仿宋" w:cs="仿宋_GB2312"/>
          <w:sz w:val="32"/>
          <w:szCs w:val="32"/>
        </w:rPr>
        <w:t>我大队</w:t>
      </w:r>
      <w:r>
        <w:rPr>
          <w:rFonts w:hint="eastAsia" w:ascii="仿宋_GB2312" w:hAnsi="仿宋_GB2312" w:eastAsia="仿宋_GB2312" w:cs="仿宋_GB2312"/>
          <w:sz w:val="32"/>
          <w:szCs w:val="32"/>
        </w:rPr>
        <w:t>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年部门整体支出绩效评价情况开展自评，自评结论为优秀。</w:t>
      </w:r>
    </w:p>
    <w:p>
      <w:pPr>
        <w:ind w:firstLine="640" w:firstLineChars="200"/>
        <w:rPr>
          <w:rFonts w:ascii="仿宋" w:hAnsi="仿宋" w:eastAsia="仿宋" w:cs="仿宋_GB2312"/>
          <w:sz w:val="32"/>
          <w:szCs w:val="32"/>
        </w:rPr>
      </w:pPr>
      <w:r>
        <w:rPr>
          <w:rFonts w:ascii="仿宋" w:hAnsi="仿宋" w:eastAsia="仿宋" w:cs="仿宋_GB2312"/>
          <w:sz w:val="32"/>
          <w:szCs w:val="32"/>
        </w:rPr>
        <w:t>（二）存在问题。</w:t>
      </w:r>
      <w:r>
        <w:rPr>
          <w:rFonts w:hint="eastAsia" w:ascii="仿宋" w:hAnsi="仿宋" w:eastAsia="仿宋" w:cs="仿宋_GB2312"/>
          <w:sz w:val="32"/>
          <w:szCs w:val="32"/>
        </w:rPr>
        <w:t>我单位相关财务制度不够完善,公务卡使用率低；</w:t>
      </w:r>
      <w:r>
        <w:rPr>
          <w:rFonts w:hint="eastAsia" w:ascii="仿宋_GB2312" w:hAnsi="仿宋_GB2312" w:eastAsia="仿宋_GB2312" w:cs="仿宋_GB2312"/>
          <w:sz w:val="32"/>
          <w:szCs w:val="32"/>
        </w:rPr>
        <w:t>机关人员少，没有单独的财务人员，制度执行力有待加强</w:t>
      </w:r>
      <w:r>
        <w:rPr>
          <w:rFonts w:hint="eastAsia" w:ascii="仿宋_GB2312" w:hAnsi="仿宋_GB2312" w:eastAsia="仿宋_GB2312" w:cs="仿宋_GB2312"/>
          <w:color w:val="000000"/>
          <w:kern w:val="0"/>
          <w:sz w:val="24"/>
        </w:rPr>
        <w:t>。</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r>
        <w:rPr>
          <w:rFonts w:hint="eastAsia" w:ascii="仿宋" w:hAnsi="仿宋" w:eastAsia="仿宋" w:cs="仿宋_GB2312"/>
          <w:sz w:val="32"/>
          <w:szCs w:val="32"/>
        </w:rPr>
        <w:t>积极完善相关财务制度，财务工作做到阳光、规范，积极使用公务卡；加强对财务监管力度，多组织财务业务培训学习。</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ageBreakBefore w:val="0"/>
        <w:kinsoku/>
        <w:wordWrap/>
        <w:overflowPunct/>
        <w:topLinePunct w:val="0"/>
        <w:bidi w:val="0"/>
        <w:spacing w:line="600" w:lineRule="exact"/>
        <w:jc w:val="center"/>
        <w:outlineLvl w:val="0"/>
        <w:rPr>
          <w:rStyle w:val="28"/>
          <w:rFonts w:ascii="黑体" w:hAnsi="黑体" w:eastAsia="黑体"/>
          <w:b w:val="0"/>
        </w:rPr>
      </w:pPr>
      <w:bookmarkStart w:id="60" w:name="_Toc15396618"/>
      <w:r>
        <w:rPr>
          <w:rFonts w:hint="eastAsia" w:ascii="黑体" w:hAnsi="黑体" w:eastAsia="黑体"/>
          <w:color w:val="000000"/>
          <w:sz w:val="44"/>
          <w:szCs w:val="44"/>
        </w:rPr>
        <w:t>第</w:t>
      </w:r>
      <w:r>
        <w:rPr>
          <w:rStyle w:val="28"/>
          <w:rFonts w:hint="eastAsia" w:ascii="黑体" w:hAnsi="黑体" w:eastAsia="黑体"/>
          <w:b w:val="0"/>
        </w:rPr>
        <w:t>五部分 附表</w:t>
      </w:r>
      <w:bookmarkEnd w:id="57"/>
      <w:bookmarkEnd w:id="60"/>
    </w:p>
    <w:p>
      <w:pPr>
        <w:pageBreakBefore w:val="0"/>
        <w:kinsoku/>
        <w:wordWrap/>
        <w:overflowPunct/>
        <w:topLinePunct w:val="0"/>
        <w:bidi w:val="0"/>
        <w:spacing w:line="600" w:lineRule="exact"/>
        <w:jc w:val="center"/>
        <w:outlineLvl w:val="0"/>
        <w:rPr>
          <w:rFonts w:ascii="仿宋" w:hAnsi="仿宋" w:eastAsia="仿宋"/>
          <w:b/>
          <w:color w:val="000000"/>
          <w:sz w:val="44"/>
          <w:szCs w:val="44"/>
        </w:rPr>
      </w:pPr>
    </w:p>
    <w:p>
      <w:pPr>
        <w:pStyle w:val="4"/>
        <w:pageBreakBefore w:val="0"/>
        <w:kinsoku/>
        <w:wordWrap/>
        <w:overflowPunct/>
        <w:topLinePunct w:val="0"/>
        <w:bidi w:val="0"/>
        <w:spacing w:before="0" w:after="0"/>
        <w:rPr>
          <w:rFonts w:ascii="仿宋" w:hAnsi="仿宋" w:eastAsia="仿宋"/>
          <w:color w:val="000000"/>
        </w:rPr>
      </w:pPr>
      <w:bookmarkStart w:id="61"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61"/>
    </w:p>
    <w:p>
      <w:pPr>
        <w:pStyle w:val="4"/>
        <w:pageBreakBefore w:val="0"/>
        <w:kinsoku/>
        <w:wordWrap/>
        <w:overflowPunct/>
        <w:topLinePunct w:val="0"/>
        <w:bidi w:val="0"/>
        <w:spacing w:before="0" w:after="0"/>
        <w:rPr>
          <w:rFonts w:ascii="仿宋" w:hAnsi="仿宋" w:eastAsia="仿宋"/>
          <w:color w:val="000000"/>
        </w:rPr>
      </w:pPr>
      <w:bookmarkStart w:id="62" w:name="_Toc15396620"/>
      <w:r>
        <w:rPr>
          <w:rFonts w:hint="eastAsia" w:ascii="仿宋" w:hAnsi="仿宋" w:eastAsia="仿宋"/>
          <w:b w:val="0"/>
          <w:color w:val="000000"/>
        </w:rPr>
        <w:t>二、收</w:t>
      </w:r>
      <w:r>
        <w:rPr>
          <w:rStyle w:val="29"/>
          <w:rFonts w:hint="eastAsia" w:ascii="仿宋" w:hAnsi="仿宋" w:eastAsia="仿宋"/>
          <w:b w:val="0"/>
          <w:bCs w:val="0"/>
        </w:rPr>
        <w:t>入决算表</w:t>
      </w:r>
      <w:bookmarkEnd w:id="62"/>
    </w:p>
    <w:p>
      <w:pPr>
        <w:pStyle w:val="4"/>
        <w:pageBreakBefore w:val="0"/>
        <w:kinsoku/>
        <w:wordWrap/>
        <w:overflowPunct/>
        <w:topLinePunct w:val="0"/>
        <w:bidi w:val="0"/>
        <w:spacing w:before="0" w:after="0"/>
        <w:rPr>
          <w:rFonts w:ascii="仿宋" w:hAnsi="仿宋" w:eastAsia="仿宋"/>
          <w:color w:val="000000"/>
        </w:rPr>
      </w:pPr>
      <w:bookmarkStart w:id="63"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3"/>
    </w:p>
    <w:p>
      <w:pPr>
        <w:pStyle w:val="4"/>
        <w:pageBreakBefore w:val="0"/>
        <w:kinsoku/>
        <w:wordWrap/>
        <w:overflowPunct/>
        <w:topLinePunct w:val="0"/>
        <w:bidi w:val="0"/>
        <w:spacing w:before="0" w:after="0"/>
        <w:rPr>
          <w:rFonts w:ascii="仿宋" w:hAnsi="仿宋" w:eastAsia="仿宋"/>
          <w:b w:val="0"/>
          <w:color w:val="000000"/>
        </w:rPr>
      </w:pPr>
      <w:bookmarkStart w:id="64"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64"/>
    </w:p>
    <w:p>
      <w:pPr>
        <w:pStyle w:val="4"/>
        <w:pageBreakBefore w:val="0"/>
        <w:kinsoku/>
        <w:wordWrap/>
        <w:overflowPunct/>
        <w:topLinePunct w:val="0"/>
        <w:bidi w:val="0"/>
        <w:spacing w:before="0" w:after="0"/>
        <w:rPr>
          <w:rStyle w:val="29"/>
          <w:rFonts w:ascii="仿宋" w:hAnsi="仿宋" w:eastAsia="仿宋"/>
          <w:b w:val="0"/>
          <w:bCs w:val="0"/>
        </w:rPr>
      </w:pPr>
      <w:bookmarkStart w:id="65"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65"/>
      <w:bookmarkStart w:id="66" w:name="_Toc15396624"/>
    </w:p>
    <w:p>
      <w:pPr>
        <w:pStyle w:val="4"/>
        <w:pageBreakBefore w:val="0"/>
        <w:kinsoku/>
        <w:wordWrap/>
        <w:overflowPunct/>
        <w:topLinePunct w:val="0"/>
        <w:bidi w:val="0"/>
        <w:spacing w:before="0" w:after="0"/>
        <w:rPr>
          <w:rFonts w:ascii="仿宋" w:hAnsi="仿宋" w:eastAsia="仿宋"/>
          <w:color w:val="000000"/>
        </w:rPr>
      </w:pPr>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66"/>
    </w:p>
    <w:p>
      <w:pPr>
        <w:pStyle w:val="4"/>
        <w:pageBreakBefore w:val="0"/>
        <w:kinsoku/>
        <w:wordWrap/>
        <w:overflowPunct/>
        <w:topLinePunct w:val="0"/>
        <w:bidi w:val="0"/>
        <w:spacing w:before="0" w:after="0"/>
        <w:rPr>
          <w:rFonts w:ascii="仿宋" w:hAnsi="仿宋" w:eastAsia="仿宋"/>
          <w:color w:val="000000"/>
        </w:rPr>
      </w:pPr>
      <w:bookmarkStart w:id="67"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7"/>
    </w:p>
    <w:p>
      <w:pPr>
        <w:pStyle w:val="4"/>
        <w:pageBreakBefore w:val="0"/>
        <w:kinsoku/>
        <w:wordWrap/>
        <w:overflowPunct/>
        <w:topLinePunct w:val="0"/>
        <w:bidi w:val="0"/>
        <w:spacing w:before="0" w:after="0"/>
        <w:rPr>
          <w:rFonts w:ascii="仿宋" w:hAnsi="仿宋" w:eastAsia="仿宋"/>
          <w:color w:val="000000"/>
        </w:rPr>
      </w:pPr>
      <w:bookmarkStart w:id="68"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8"/>
    </w:p>
    <w:p>
      <w:pPr>
        <w:pStyle w:val="4"/>
        <w:pageBreakBefore w:val="0"/>
        <w:kinsoku/>
        <w:wordWrap/>
        <w:overflowPunct/>
        <w:topLinePunct w:val="0"/>
        <w:bidi w:val="0"/>
        <w:spacing w:before="0" w:after="0"/>
        <w:rPr>
          <w:rFonts w:ascii="仿宋" w:hAnsi="仿宋" w:eastAsia="仿宋"/>
          <w:color w:val="000000"/>
        </w:rPr>
      </w:pPr>
      <w:bookmarkStart w:id="69"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9"/>
    </w:p>
    <w:p>
      <w:pPr>
        <w:pStyle w:val="4"/>
        <w:pageBreakBefore w:val="0"/>
        <w:kinsoku/>
        <w:wordWrap/>
        <w:overflowPunct/>
        <w:topLinePunct w:val="0"/>
        <w:bidi w:val="0"/>
        <w:spacing w:before="0" w:after="0"/>
        <w:rPr>
          <w:rFonts w:ascii="仿宋" w:hAnsi="仿宋" w:eastAsia="仿宋"/>
          <w:color w:val="000000"/>
        </w:rPr>
      </w:pPr>
      <w:bookmarkStart w:id="70"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70"/>
    </w:p>
    <w:p>
      <w:pPr>
        <w:pStyle w:val="4"/>
        <w:pageBreakBefore w:val="0"/>
        <w:kinsoku/>
        <w:wordWrap/>
        <w:overflowPunct/>
        <w:topLinePunct w:val="0"/>
        <w:bidi w:val="0"/>
        <w:spacing w:before="0" w:after="0"/>
        <w:rPr>
          <w:rFonts w:ascii="仿宋" w:hAnsi="仿宋" w:eastAsia="仿宋"/>
          <w:color w:val="000000"/>
        </w:rPr>
      </w:pPr>
      <w:bookmarkStart w:id="71"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71"/>
    </w:p>
    <w:p>
      <w:pPr>
        <w:pStyle w:val="4"/>
        <w:pageBreakBefore w:val="0"/>
        <w:kinsoku/>
        <w:wordWrap/>
        <w:overflowPunct/>
        <w:topLinePunct w:val="0"/>
        <w:bidi w:val="0"/>
        <w:spacing w:before="0" w:after="0"/>
        <w:rPr>
          <w:rFonts w:ascii="仿宋" w:hAnsi="仿宋" w:eastAsia="仿宋"/>
          <w:color w:val="000000"/>
        </w:rPr>
      </w:pPr>
      <w:bookmarkStart w:id="72"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72"/>
    </w:p>
    <w:p>
      <w:pPr>
        <w:pStyle w:val="4"/>
        <w:pageBreakBefore w:val="0"/>
        <w:kinsoku/>
        <w:wordWrap/>
        <w:overflowPunct/>
        <w:topLinePunct w:val="0"/>
        <w:bidi w:val="0"/>
        <w:spacing w:before="0" w:after="0"/>
        <w:rPr>
          <w:rFonts w:ascii="仿宋" w:hAnsi="仿宋" w:eastAsia="仿宋"/>
          <w:color w:val="000000" w:themeColor="text1"/>
        </w:rPr>
      </w:pPr>
      <w:bookmarkStart w:id="73"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MT Extra">
    <w:panose1 w:val="05050102010205020202"/>
    <w:charset w:val="02"/>
    <w:family w:val="roman"/>
    <w:pitch w:val="default"/>
    <w:sig w:usb0="80000000" w:usb1="00000000" w:usb2="00000000" w:usb3="00000000" w:csb0="00000000" w:csb1="00000000"/>
  </w:font>
  <w:font w:name="Adobe 仿宋 Std R">
    <w:altName w:val="仿宋"/>
    <w:panose1 w:val="00000000000000000000"/>
    <w:charset w:val="86"/>
    <w:family w:val="roman"/>
    <w:pitch w:val="default"/>
    <w:sig w:usb0="00000000" w:usb1="00000000" w:usb2="00000010" w:usb3="00000000" w:csb0="00060007" w:csb1="00000000"/>
  </w:font>
  <w:font w:name="MS Gothic">
    <w:panose1 w:val="020B0609070205080204"/>
    <w:charset w:val="80"/>
    <w:family w:val="auto"/>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5F680C61"/>
    <w:multiLevelType w:val="singleLevel"/>
    <w:tmpl w:val="5F680C61"/>
    <w:lvl w:ilvl="0" w:tentative="0">
      <w:start w:val="4"/>
      <w:numFmt w:val="decimal"/>
      <w:suff w:val="nothing"/>
      <w:lvlText w:val="%1."/>
      <w:lvlJc w:val="left"/>
    </w:lvl>
  </w:abstractNum>
  <w:abstractNum w:abstractNumId="4">
    <w:nsid w:val="5F680F3E"/>
    <w:multiLevelType w:val="singleLevel"/>
    <w:tmpl w:val="5F680F3E"/>
    <w:lvl w:ilvl="0" w:tentative="0">
      <w:start w:val="3"/>
      <w:numFmt w:val="decimal"/>
      <w:suff w:val="nothing"/>
      <w:lvlText w:val="%1."/>
      <w:lvlJc w:val="left"/>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E49DF"/>
    <w:rsid w:val="028D1A2E"/>
    <w:rsid w:val="03A771D7"/>
    <w:rsid w:val="05A70947"/>
    <w:rsid w:val="09342992"/>
    <w:rsid w:val="0A8C542B"/>
    <w:rsid w:val="0B3709A5"/>
    <w:rsid w:val="0F9D7088"/>
    <w:rsid w:val="10C055FF"/>
    <w:rsid w:val="13694F56"/>
    <w:rsid w:val="13C75EBA"/>
    <w:rsid w:val="15A02CCC"/>
    <w:rsid w:val="165153E6"/>
    <w:rsid w:val="16BB723D"/>
    <w:rsid w:val="170048E7"/>
    <w:rsid w:val="196B630E"/>
    <w:rsid w:val="1B090E9A"/>
    <w:rsid w:val="1EDA32BA"/>
    <w:rsid w:val="1F526834"/>
    <w:rsid w:val="1FE6193E"/>
    <w:rsid w:val="223A5477"/>
    <w:rsid w:val="235A7F0D"/>
    <w:rsid w:val="240371BF"/>
    <w:rsid w:val="25690D4E"/>
    <w:rsid w:val="27F92505"/>
    <w:rsid w:val="29C1568F"/>
    <w:rsid w:val="29FD04D3"/>
    <w:rsid w:val="2DAA18CF"/>
    <w:rsid w:val="2ED72652"/>
    <w:rsid w:val="2FE40C45"/>
    <w:rsid w:val="319F7F4E"/>
    <w:rsid w:val="32A63B34"/>
    <w:rsid w:val="37174C07"/>
    <w:rsid w:val="397A7BEF"/>
    <w:rsid w:val="3B714B57"/>
    <w:rsid w:val="3BE807F0"/>
    <w:rsid w:val="3F4B6C8C"/>
    <w:rsid w:val="408C230C"/>
    <w:rsid w:val="41FF0D2E"/>
    <w:rsid w:val="46695CA4"/>
    <w:rsid w:val="48962618"/>
    <w:rsid w:val="48970874"/>
    <w:rsid w:val="495C5328"/>
    <w:rsid w:val="4A3C363F"/>
    <w:rsid w:val="4BE33EB5"/>
    <w:rsid w:val="4D716EAD"/>
    <w:rsid w:val="4ECE2238"/>
    <w:rsid w:val="521F5B86"/>
    <w:rsid w:val="543C3AC3"/>
    <w:rsid w:val="55A71196"/>
    <w:rsid w:val="57FD3A43"/>
    <w:rsid w:val="596145C6"/>
    <w:rsid w:val="5CE41E21"/>
    <w:rsid w:val="5F163C1F"/>
    <w:rsid w:val="5FF77275"/>
    <w:rsid w:val="64984ADE"/>
    <w:rsid w:val="67350E92"/>
    <w:rsid w:val="67466BC1"/>
    <w:rsid w:val="69EC4DBC"/>
    <w:rsid w:val="6AFC7C57"/>
    <w:rsid w:val="6B015410"/>
    <w:rsid w:val="6B9C6FA3"/>
    <w:rsid w:val="6C6F0A02"/>
    <w:rsid w:val="6E0A0766"/>
    <w:rsid w:val="6E854631"/>
    <w:rsid w:val="6EB83A9C"/>
    <w:rsid w:val="6F1373F3"/>
    <w:rsid w:val="6FE2421E"/>
    <w:rsid w:val="72734D90"/>
    <w:rsid w:val="72A56E18"/>
    <w:rsid w:val="732C7994"/>
    <w:rsid w:val="745763B1"/>
    <w:rsid w:val="75E2335D"/>
    <w:rsid w:val="79A62B69"/>
    <w:rsid w:val="7C58010D"/>
    <w:rsid w:val="7D276C94"/>
    <w:rsid w:val="7DE833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cs="Courier New"/>
      <w:szCs w:val="21"/>
    </w:rPr>
  </w:style>
  <w:style w:type="paragraph" w:styleId="6">
    <w:name w:val="Body Text"/>
    <w:basedOn w:val="1"/>
    <w:link w:val="25"/>
    <w:qFormat/>
    <w:uiPriority w:val="99"/>
    <w:pPr>
      <w:spacing w:beforeLines="30"/>
    </w:pPr>
    <w:rPr>
      <w:rFonts w:ascii="仿宋_GB2312" w:eastAsia="仿宋_GB2312"/>
      <w:kern w:val="0"/>
      <w:sz w:val="30"/>
    </w:rPr>
  </w:style>
  <w:style w:type="paragraph" w:styleId="7">
    <w:name w:val="Body Text Indent"/>
    <w:basedOn w:val="1"/>
    <w:unhideWhenUsed/>
    <w:qFormat/>
    <w:uiPriority w:val="99"/>
    <w:pPr>
      <w:spacing w:after="120"/>
      <w:ind w:left="420" w:left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Body Text First Indent 2"/>
    <w:basedOn w:val="7"/>
    <w:unhideWhenUsed/>
    <w:qFormat/>
    <w:uiPriority w:val="99"/>
    <w:pPr>
      <w:ind w:firstLine="420" w:firstLineChars="200"/>
    </w:p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uiPriority w:val="99"/>
    <w:pPr>
      <w:widowControl/>
      <w:spacing w:before="100" w:beforeAutospacing="1" w:after="100" w:afterAutospacing="1"/>
      <w:jc w:val="left"/>
    </w:pPr>
    <w:rPr>
      <w:rFonts w:ascii="宋体" w:hAnsi="宋体"/>
      <w:kern w:val="0"/>
      <w:sz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6"/>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rPr>
  </w:style>
  <w:style w:type="character" w:customStyle="1" w:styleId="35">
    <w:name w:val="标题 1 Char"/>
    <w:basedOn w:val="16"/>
    <w:link w:val="3"/>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0</TotalTime>
  <ScaleCrop>false</ScaleCrop>
  <LinksUpToDate>false</LinksUpToDate>
  <CharactersWithSpaces>8587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HP</cp:lastModifiedBy>
  <cp:lastPrinted>2020-07-23T02:58:00Z</cp:lastPrinted>
  <dcterms:modified xsi:type="dcterms:W3CDTF">2020-09-21T02:34:56Z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