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jc w:val="center"/>
        <w:rPr>
          <w:rFonts w:ascii="方正小标宋简体" w:hAnsi="黑体" w:eastAsia="方正小标宋简体"/>
          <w:sz w:val="84"/>
          <w:szCs w:val="84"/>
        </w:rPr>
      </w:pPr>
    </w:p>
    <w:p>
      <w:pPr>
        <w:pStyle w:val="2"/>
        <w:ind w:firstLine="1680"/>
        <w:rPr>
          <w:rFonts w:ascii="方正小标宋简体" w:hAnsi="黑体" w:eastAsia="方正小标宋简体"/>
          <w:sz w:val="84"/>
          <w:szCs w:val="84"/>
        </w:rPr>
      </w:pPr>
    </w:p>
    <w:p>
      <w:pPr>
        <w:pStyle w:val="2"/>
        <w:ind w:firstLine="1680"/>
        <w:rPr>
          <w:rFonts w:ascii="方正小标宋简体" w:hAnsi="黑体" w:eastAsia="方正小标宋简体"/>
          <w:sz w:val="84"/>
          <w:szCs w:val="84"/>
        </w:rPr>
      </w:pPr>
    </w:p>
    <w:p>
      <w:pPr>
        <w:jc w:val="center"/>
        <w:rPr>
          <w:rFonts w:ascii="Times New Roman" w:hAnsi="Times New Roman" w:eastAsia="方正小标宋简体"/>
          <w:sz w:val="84"/>
          <w:szCs w:val="84"/>
        </w:rPr>
      </w:pPr>
      <w:r>
        <w:rPr>
          <w:rFonts w:hint="eastAsia" w:ascii="Times New Roman" w:hAnsi="Times New Roman" w:eastAsia="方正小标宋简体"/>
          <w:sz w:val="84"/>
          <w:szCs w:val="84"/>
        </w:rPr>
        <w:t>四川省九寨沟县</w:t>
      </w:r>
    </w:p>
    <w:p>
      <w:pPr>
        <w:jc w:val="center"/>
        <w:rPr>
          <w:rFonts w:ascii="Times New Roman" w:hAnsi="Times New Roman" w:eastAsia="方正小标宋简体"/>
          <w:w w:val="90"/>
          <w:sz w:val="84"/>
          <w:szCs w:val="84"/>
        </w:rPr>
      </w:pPr>
      <w:r>
        <w:rPr>
          <w:rFonts w:hint="eastAsia" w:ascii="Times New Roman" w:hAnsi="Times New Roman" w:eastAsia="方正小标宋简体"/>
          <w:w w:val="90"/>
          <w:sz w:val="84"/>
          <w:szCs w:val="84"/>
        </w:rPr>
        <w:t>市政公用事业服务中心</w:t>
      </w:r>
    </w:p>
    <w:p>
      <w:pPr>
        <w:jc w:val="center"/>
        <w:rPr>
          <w:rFonts w:ascii="Times New Roman" w:hAnsi="Times New Roman" w:eastAsia="方正小标宋简体"/>
          <w:sz w:val="84"/>
          <w:szCs w:val="84"/>
        </w:rPr>
      </w:pPr>
      <w:r>
        <w:rPr>
          <w:rFonts w:hint="eastAsia" w:ascii="Times New Roman" w:hAnsi="Times New Roman" w:eastAsia="方正小标宋简体"/>
          <w:sz w:val="84"/>
          <w:szCs w:val="84"/>
        </w:rPr>
        <w:t>202</w:t>
      </w:r>
      <w:r>
        <w:rPr>
          <w:rFonts w:hint="eastAsia" w:ascii="Times New Roman" w:hAnsi="Times New Roman" w:eastAsia="方正小标宋简体"/>
          <w:sz w:val="84"/>
          <w:szCs w:val="84"/>
          <w:lang w:val="en-US" w:eastAsia="zh-CN"/>
        </w:rPr>
        <w:t>6</w:t>
      </w:r>
      <w:r>
        <w:rPr>
          <w:rFonts w:hint="eastAsia" w:ascii="Times New Roman" w:hAnsi="Times New Roman" w:eastAsia="方正小标宋简体"/>
          <w:sz w:val="84"/>
          <w:szCs w:val="84"/>
        </w:rPr>
        <w:t>年</w:t>
      </w:r>
      <w:r>
        <w:rPr>
          <w:rFonts w:hint="eastAsia" w:ascii="Times New Roman" w:hAnsi="Times New Roman" w:eastAsia="方正小标宋简体"/>
          <w:sz w:val="84"/>
          <w:szCs w:val="84"/>
          <w:lang w:eastAsia="zh-CN"/>
        </w:rPr>
        <w:t>单位</w:t>
      </w:r>
      <w:r>
        <w:rPr>
          <w:rFonts w:hint="eastAsia" w:ascii="Times New Roman" w:hAnsi="Times New Roman" w:eastAsia="方正小标宋简体"/>
          <w:sz w:val="84"/>
          <w:szCs w:val="84"/>
        </w:rPr>
        <w:t>预算</w:t>
      </w:r>
    </w:p>
    <w:p>
      <w:pPr>
        <w:pStyle w:val="2"/>
        <w:ind w:firstLine="1680"/>
        <w:rPr>
          <w:rFonts w:ascii="方正小标宋简体" w:hAnsi="黑体" w:eastAsia="方正小标宋简体"/>
          <w:sz w:val="84"/>
          <w:szCs w:val="84"/>
        </w:rPr>
      </w:pPr>
    </w:p>
    <w:p>
      <w:pPr>
        <w:pStyle w:val="2"/>
        <w:ind w:firstLine="1680"/>
        <w:rPr>
          <w:rFonts w:ascii="方正小标宋简体" w:hAnsi="黑体" w:eastAsia="方正小标宋简体"/>
          <w:sz w:val="84"/>
          <w:szCs w:val="84"/>
        </w:rPr>
      </w:pP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spacing w:line="560" w:lineRule="exact"/>
        <w:jc w:val="center"/>
        <w:rPr>
          <w:rFonts w:ascii="方正小标宋简体" w:eastAsia="方正小标宋简体"/>
          <w:sz w:val="44"/>
          <w:szCs w:val="44"/>
        </w:rPr>
      </w:pPr>
      <w:r>
        <w:rPr>
          <w:rFonts w:hint="eastAsia" w:ascii="方正小标宋简体" w:eastAsia="方正小标宋简体"/>
          <w:sz w:val="44"/>
          <w:szCs w:val="44"/>
        </w:rPr>
        <w:t>目录</w:t>
      </w:r>
    </w:p>
    <w:p>
      <w:pPr>
        <w:spacing w:line="560" w:lineRule="exact"/>
        <w:rPr>
          <w:rFonts w:ascii="黑体" w:hAnsi="黑体" w:eastAsia="黑体" w:cs="黑体"/>
          <w:sz w:val="32"/>
          <w:szCs w:val="32"/>
        </w:rPr>
      </w:pPr>
    </w:p>
    <w:p>
      <w:pPr>
        <w:spacing w:line="560" w:lineRule="exact"/>
        <w:rPr>
          <w:rFonts w:ascii="黑体" w:hAnsi="黑体" w:eastAsia="黑体" w:cs="黑体"/>
          <w:sz w:val="32"/>
          <w:szCs w:val="32"/>
        </w:rPr>
      </w:pPr>
      <w:r>
        <w:rPr>
          <w:rFonts w:hint="eastAsia" w:ascii="黑体" w:hAnsi="黑体" w:eastAsia="黑体" w:cs="黑体"/>
          <w:sz w:val="32"/>
          <w:szCs w:val="32"/>
        </w:rPr>
        <w:t>第一部分  九寨沟县市政公用事业服务中心概况</w:t>
      </w:r>
    </w:p>
    <w:p>
      <w:pPr>
        <w:pStyle w:val="2"/>
        <w:spacing w:line="560" w:lineRule="exact"/>
        <w:ind w:left="0" w:leftChars="0" w:firstLine="0"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一、基本职能及主要工作</w:t>
      </w:r>
    </w:p>
    <w:p>
      <w:pPr>
        <w:pStyle w:val="2"/>
        <w:spacing w:line="560" w:lineRule="exact"/>
        <w:ind w:left="0" w:leftChars="0" w:firstLine="0" w:firstLineChars="0"/>
        <w:rPr>
          <w:rFonts w:ascii="仿宋_GB2312" w:hAnsi="仿宋" w:eastAsia="仿宋_GB2312"/>
          <w:sz w:val="32"/>
          <w:szCs w:val="32"/>
        </w:rPr>
      </w:pPr>
      <w:r>
        <w:rPr>
          <w:rFonts w:hint="eastAsia" w:ascii="仿宋_GB2312" w:hAnsi="仿宋" w:eastAsia="仿宋_GB2312"/>
          <w:sz w:val="32"/>
          <w:szCs w:val="32"/>
        </w:rPr>
        <w:t>二、</w:t>
      </w:r>
      <w:r>
        <w:rPr>
          <w:rFonts w:hint="eastAsia" w:ascii="仿宋_GB2312" w:hAnsi="仿宋" w:eastAsia="仿宋_GB2312"/>
          <w:sz w:val="32"/>
          <w:szCs w:val="32"/>
          <w:lang w:eastAsia="zh-CN"/>
        </w:rPr>
        <w:t>单位</w:t>
      </w:r>
      <w:r>
        <w:rPr>
          <w:rFonts w:hint="eastAsia" w:ascii="仿宋_GB2312" w:hAnsi="仿宋" w:eastAsia="仿宋_GB2312"/>
          <w:sz w:val="32"/>
          <w:szCs w:val="32"/>
        </w:rPr>
        <w:t>预算单位构成</w:t>
      </w:r>
    </w:p>
    <w:p>
      <w:pPr>
        <w:spacing w:line="560" w:lineRule="exact"/>
        <w:rPr>
          <w:rFonts w:ascii="黑体" w:hAnsi="黑体" w:eastAsia="黑体" w:cs="黑体"/>
          <w:sz w:val="32"/>
          <w:szCs w:val="32"/>
        </w:rPr>
      </w:pPr>
      <w:r>
        <w:rPr>
          <w:rFonts w:hint="eastAsia" w:ascii="黑体" w:hAnsi="黑体" w:eastAsia="黑体" w:cs="黑体"/>
          <w:sz w:val="32"/>
          <w:szCs w:val="32"/>
        </w:rPr>
        <w:t>第二部分  九寨沟县市政公用事业服务中心202</w:t>
      </w:r>
      <w:r>
        <w:rPr>
          <w:rFonts w:hint="eastAsia" w:ascii="黑体" w:hAnsi="黑体" w:eastAsia="黑体" w:cs="黑体"/>
          <w:sz w:val="32"/>
          <w:szCs w:val="32"/>
          <w:lang w:val="en-US" w:eastAsia="zh-CN"/>
        </w:rPr>
        <w:t>6</w:t>
      </w:r>
      <w:r>
        <w:rPr>
          <w:rFonts w:hint="eastAsia" w:ascii="黑体" w:hAnsi="黑体" w:eastAsia="黑体" w:cs="黑体"/>
          <w:sz w:val="32"/>
          <w:szCs w:val="32"/>
        </w:rPr>
        <w:t>年</w:t>
      </w:r>
      <w:r>
        <w:rPr>
          <w:rFonts w:hint="eastAsia" w:ascii="黑体" w:hAnsi="黑体" w:eastAsia="黑体" w:cs="黑体"/>
          <w:sz w:val="32"/>
          <w:szCs w:val="32"/>
          <w:lang w:eastAsia="zh-CN"/>
        </w:rPr>
        <w:t>单位</w:t>
      </w:r>
      <w:r>
        <w:rPr>
          <w:rFonts w:hint="eastAsia" w:ascii="黑体" w:hAnsi="黑体" w:eastAsia="黑体" w:cs="黑体"/>
          <w:sz w:val="32"/>
          <w:szCs w:val="32"/>
        </w:rPr>
        <w:t>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一、表1</w:t>
      </w:r>
      <w:r>
        <w:rPr>
          <w:rFonts w:hint="eastAsia" w:ascii="仿宋_GB2312" w:hAnsi="仿宋" w:eastAsia="仿宋_GB2312"/>
          <w:color w:val="000000" w:themeColor="text1"/>
          <w:sz w:val="32"/>
          <w:szCs w:val="32"/>
          <w:lang w:eastAsia="zh-CN"/>
          <w14:textFill>
            <w14:solidFill>
              <w14:schemeClr w14:val="tx1"/>
            </w14:solidFill>
          </w14:textFill>
        </w:rPr>
        <w:t>单位</w:t>
      </w:r>
      <w:r>
        <w:rPr>
          <w:rFonts w:hint="eastAsia" w:ascii="仿宋_GB2312" w:hAnsi="仿宋" w:eastAsia="仿宋_GB2312"/>
          <w:color w:val="000000" w:themeColor="text1"/>
          <w:sz w:val="32"/>
          <w:szCs w:val="32"/>
          <w14:textFill>
            <w14:solidFill>
              <w14:schemeClr w14:val="tx1"/>
            </w14:solidFill>
          </w14:textFill>
        </w:rPr>
        <w:t>收支总表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二、表2</w:t>
      </w:r>
      <w:r>
        <w:rPr>
          <w:rFonts w:hint="eastAsia" w:ascii="仿宋_GB2312" w:hAnsi="仿宋" w:eastAsia="仿宋_GB2312"/>
          <w:color w:val="000000" w:themeColor="text1"/>
          <w:sz w:val="32"/>
          <w:szCs w:val="32"/>
          <w:lang w:eastAsia="zh-CN"/>
          <w14:textFill>
            <w14:solidFill>
              <w14:schemeClr w14:val="tx1"/>
            </w14:solidFill>
          </w14:textFill>
        </w:rPr>
        <w:t>单位</w:t>
      </w:r>
      <w:r>
        <w:rPr>
          <w:rFonts w:hint="eastAsia" w:ascii="仿宋_GB2312" w:hAnsi="仿宋" w:eastAsia="仿宋_GB2312"/>
          <w:color w:val="000000" w:themeColor="text1"/>
          <w:sz w:val="32"/>
          <w:szCs w:val="32"/>
          <w14:textFill>
            <w14:solidFill>
              <w14:schemeClr w14:val="tx1"/>
            </w14:solidFill>
          </w14:textFill>
        </w:rPr>
        <w:t>收入总表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三、表3</w:t>
      </w:r>
      <w:r>
        <w:rPr>
          <w:rFonts w:hint="eastAsia" w:ascii="仿宋_GB2312" w:hAnsi="仿宋" w:eastAsia="仿宋_GB2312"/>
          <w:color w:val="000000" w:themeColor="text1"/>
          <w:sz w:val="32"/>
          <w:szCs w:val="32"/>
          <w:lang w:eastAsia="zh-CN"/>
          <w14:textFill>
            <w14:solidFill>
              <w14:schemeClr w14:val="tx1"/>
            </w14:solidFill>
          </w14:textFill>
        </w:rPr>
        <w:t>单位</w:t>
      </w:r>
      <w:r>
        <w:rPr>
          <w:rFonts w:hint="eastAsia" w:ascii="仿宋_GB2312" w:hAnsi="仿宋" w:eastAsia="仿宋_GB2312"/>
          <w:color w:val="000000" w:themeColor="text1"/>
          <w:sz w:val="32"/>
          <w:szCs w:val="32"/>
          <w14:textFill>
            <w14:solidFill>
              <w14:schemeClr w14:val="tx1"/>
            </w14:solidFill>
          </w14:textFill>
        </w:rPr>
        <w:t>支出总表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四、表4财政拨款收支预算总表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五、表5财政拨款支出预算表（</w:t>
      </w:r>
      <w:bookmarkStart w:id="0" w:name="_GoBack"/>
      <w:bookmarkEnd w:id="0"/>
      <w:r>
        <w:rPr>
          <w:rFonts w:hint="eastAsia" w:ascii="仿宋_GB2312" w:hAnsi="仿宋" w:eastAsia="仿宋_GB2312"/>
          <w:color w:val="000000" w:themeColor="text1"/>
          <w:sz w:val="32"/>
          <w:szCs w:val="32"/>
          <w14:textFill>
            <w14:solidFill>
              <w14:schemeClr w14:val="tx1"/>
            </w14:solidFill>
          </w14:textFill>
        </w:rPr>
        <w:t>部门经济分类科目）</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六、表6一般公共预算支出预算表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七、表7一般公共预算基本支出预算表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八、表8一般公共预算项目支出预算表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九、表9一般公共预算“三公”经费支出预算表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十、表10政府性基金支出预算表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十一、表11政府性基金预算“三公”经费支出预算表</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十二、表12国有资本经营预算支出预算表</w:t>
      </w:r>
    </w:p>
    <w:p>
      <w:pPr>
        <w:pStyle w:val="2"/>
        <w:spacing w:line="560" w:lineRule="exact"/>
        <w:ind w:left="0" w:leftChars="0" w:firstLine="0" w:firstLineChars="0"/>
        <w:rPr>
          <w:rFonts w:ascii="仿宋_GB2312" w:hAnsi="仿宋" w:eastAsia="仿宋_GB2312"/>
          <w:sz w:val="32"/>
          <w:szCs w:val="32"/>
        </w:rPr>
      </w:pPr>
      <w:r>
        <w:rPr>
          <w:rFonts w:hint="eastAsia" w:ascii="仿宋_GB2312" w:hAnsi="仿宋" w:eastAsia="仿宋_GB2312"/>
          <w:sz w:val="32"/>
          <w:szCs w:val="32"/>
        </w:rPr>
        <w:t>十三、表13</w:t>
      </w:r>
      <w:r>
        <w:rPr>
          <w:rFonts w:hint="eastAsia" w:ascii="仿宋_GB2312" w:hAnsi="仿宋" w:eastAsia="仿宋_GB2312"/>
          <w:sz w:val="32"/>
          <w:szCs w:val="32"/>
          <w:lang w:eastAsia="zh-CN"/>
        </w:rPr>
        <w:t>单位</w:t>
      </w:r>
      <w:r>
        <w:rPr>
          <w:rFonts w:hint="eastAsia" w:ascii="仿宋_GB2312" w:hAnsi="仿宋" w:eastAsia="仿宋_GB2312"/>
          <w:sz w:val="32"/>
          <w:szCs w:val="32"/>
        </w:rPr>
        <w:t>预算项目绩效目标表</w:t>
      </w:r>
    </w:p>
    <w:p>
      <w:pPr>
        <w:pStyle w:val="2"/>
        <w:spacing w:line="560" w:lineRule="exact"/>
        <w:ind w:left="0" w:leftChars="0" w:firstLine="0" w:firstLineChars="0"/>
        <w:rPr>
          <w:rFonts w:ascii="仿宋_GB2312" w:hAnsi="仿宋" w:eastAsia="仿宋_GB2312"/>
          <w:sz w:val="32"/>
          <w:szCs w:val="32"/>
        </w:rPr>
      </w:pPr>
      <w:r>
        <w:rPr>
          <w:rFonts w:hint="eastAsia" w:ascii="仿宋_GB2312" w:hAnsi="仿宋" w:eastAsia="仿宋_GB2312"/>
          <w:sz w:val="32"/>
          <w:szCs w:val="32"/>
        </w:rPr>
        <w:t>十四、表14</w:t>
      </w:r>
      <w:r>
        <w:rPr>
          <w:rFonts w:hint="eastAsia" w:ascii="仿宋_GB2312" w:hAnsi="仿宋" w:eastAsia="仿宋_GB2312"/>
          <w:sz w:val="32"/>
          <w:szCs w:val="32"/>
          <w:lang w:eastAsia="zh-CN"/>
        </w:rPr>
        <w:t>单位</w:t>
      </w:r>
      <w:r>
        <w:rPr>
          <w:rFonts w:hint="eastAsia" w:ascii="仿宋_GB2312" w:hAnsi="仿宋" w:eastAsia="仿宋_GB2312"/>
          <w:sz w:val="32"/>
          <w:szCs w:val="32"/>
        </w:rPr>
        <w:t>整体绩效目标表</w:t>
      </w:r>
    </w:p>
    <w:p>
      <w:pPr>
        <w:pStyle w:val="2"/>
        <w:spacing w:line="560" w:lineRule="exact"/>
        <w:ind w:left="0" w:leftChars="0" w:firstLine="0" w:firstLineChars="0"/>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第三部分  九寨沟县市政公用事业服务中心202</w:t>
      </w:r>
      <w:r>
        <w:rPr>
          <w:rFonts w:hint="eastAsia" w:ascii="黑体" w:hAnsi="黑体" w:eastAsia="黑体" w:cs="黑体"/>
          <w:color w:val="000000" w:themeColor="text1"/>
          <w:sz w:val="32"/>
          <w:szCs w:val="32"/>
          <w:lang w:val="en-US" w:eastAsia="zh-CN"/>
          <w14:textFill>
            <w14:solidFill>
              <w14:schemeClr w14:val="tx1"/>
            </w14:solidFill>
          </w14:textFill>
        </w:rPr>
        <w:t>6</w:t>
      </w:r>
      <w:r>
        <w:rPr>
          <w:rFonts w:hint="eastAsia" w:ascii="黑体" w:hAnsi="黑体" w:eastAsia="黑体" w:cs="黑体"/>
          <w:color w:val="000000" w:themeColor="text1"/>
          <w:sz w:val="32"/>
          <w:szCs w:val="32"/>
          <w14:textFill>
            <w14:solidFill>
              <w14:schemeClr w14:val="tx1"/>
            </w14:solidFill>
          </w14:textFill>
        </w:rPr>
        <w:t>年</w:t>
      </w:r>
      <w:r>
        <w:rPr>
          <w:rFonts w:hint="eastAsia" w:ascii="黑体" w:hAnsi="黑体" w:eastAsia="黑体" w:cs="黑体"/>
          <w:color w:val="000000" w:themeColor="text1"/>
          <w:sz w:val="32"/>
          <w:szCs w:val="32"/>
          <w:lang w:eastAsia="zh-CN"/>
          <w14:textFill>
            <w14:solidFill>
              <w14:schemeClr w14:val="tx1"/>
            </w14:solidFill>
          </w14:textFill>
        </w:rPr>
        <w:t>单位</w:t>
      </w:r>
      <w:r>
        <w:rPr>
          <w:rFonts w:hint="eastAsia" w:ascii="黑体" w:hAnsi="黑体" w:eastAsia="黑体" w:cs="黑体"/>
          <w:color w:val="000000" w:themeColor="text1"/>
          <w:sz w:val="32"/>
          <w:szCs w:val="32"/>
          <w14:textFill>
            <w14:solidFill>
              <w14:schemeClr w14:val="tx1"/>
            </w14:solidFill>
          </w14:textFill>
        </w:rPr>
        <w:t>预算情况说明</w:t>
      </w:r>
    </w:p>
    <w:p>
      <w:pPr>
        <w:spacing w:line="560" w:lineRule="exac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第四部分  名词解释</w:t>
      </w:r>
    </w:p>
    <w:p>
      <w:pPr>
        <w:pStyle w:val="2"/>
        <w:spacing w:line="560" w:lineRule="exact"/>
        <w:ind w:left="0" w:leftChars="0" w:firstLine="0" w:firstLineChars="0"/>
        <w:rPr>
          <w:rFonts w:ascii="仿宋_GB2312" w:hAnsi="仿宋" w:eastAsia="仿宋_GB2312"/>
          <w:color w:val="000000" w:themeColor="text1"/>
          <w:sz w:val="32"/>
          <w:szCs w:val="32"/>
          <w14:textFill>
            <w14:solidFill>
              <w14:schemeClr w14:val="tx1"/>
            </w14:solidFill>
          </w14:textFill>
        </w:rPr>
      </w:pPr>
    </w:p>
    <w:p>
      <w:pPr>
        <w:pStyle w:val="2"/>
        <w:spacing w:line="560" w:lineRule="exact"/>
        <w:ind w:left="0" w:leftChars="0" w:firstLine="0" w:firstLineChars="0"/>
        <w:rPr>
          <w:rFonts w:ascii="仿宋_GB2312" w:hAnsi="仿宋" w:eastAsia="仿宋_GB2312"/>
          <w:sz w:val="32"/>
          <w:szCs w:val="32"/>
        </w:rPr>
      </w:pPr>
    </w:p>
    <w:p>
      <w:pPr>
        <w:pStyle w:val="2"/>
        <w:spacing w:line="560" w:lineRule="exact"/>
        <w:ind w:left="0" w:leftChars="0" w:firstLine="0" w:firstLineChars="0"/>
        <w:rPr>
          <w:rFonts w:ascii="仿宋_GB2312" w:hAnsi="仿宋" w:eastAsia="仿宋_GB2312"/>
          <w:sz w:val="32"/>
          <w:szCs w:val="32"/>
        </w:rPr>
      </w:pPr>
    </w:p>
    <w:p>
      <w:pPr>
        <w:pStyle w:val="2"/>
        <w:spacing w:line="560" w:lineRule="exact"/>
        <w:ind w:left="0" w:leftChars="0" w:firstLine="0" w:firstLineChars="0"/>
        <w:rPr>
          <w:rFonts w:ascii="仿宋_GB2312" w:hAnsi="仿宋" w:eastAsia="仿宋_GB2312"/>
          <w:sz w:val="32"/>
          <w:szCs w:val="32"/>
        </w:rPr>
      </w:pPr>
    </w:p>
    <w:p>
      <w:pPr>
        <w:pStyle w:val="2"/>
        <w:spacing w:line="560" w:lineRule="exact"/>
        <w:ind w:left="0" w:leftChars="0" w:firstLine="0" w:firstLineChars="0"/>
        <w:rPr>
          <w:rFonts w:ascii="仿宋_GB2312" w:hAnsi="仿宋" w:eastAsia="仿宋_GB2312"/>
          <w:sz w:val="32"/>
          <w:szCs w:val="32"/>
        </w:rPr>
      </w:pPr>
    </w:p>
    <w:p>
      <w:pPr>
        <w:pStyle w:val="2"/>
        <w:spacing w:line="560" w:lineRule="exact"/>
        <w:ind w:left="0" w:leftChars="0" w:firstLine="0" w:firstLineChars="0"/>
        <w:rPr>
          <w:rFonts w:ascii="仿宋_GB2312" w:hAnsi="仿宋" w:eastAsia="仿宋_GB2312"/>
          <w:sz w:val="32"/>
          <w:szCs w:val="32"/>
        </w:rPr>
      </w:pPr>
    </w:p>
    <w:p>
      <w:pPr>
        <w:spacing w:line="560" w:lineRule="exact"/>
        <w:rPr>
          <w:rFonts w:ascii="方正小标宋简体" w:hAnsi="黑体" w:eastAsia="方正小标宋简体"/>
          <w:sz w:val="44"/>
          <w:szCs w:val="44"/>
        </w:rPr>
      </w:pPr>
    </w:p>
    <w:p>
      <w:pPr>
        <w:spacing w:line="560" w:lineRule="exact"/>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p>
    <w:p>
      <w:pPr>
        <w:spacing w:line="560" w:lineRule="exact"/>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九寨沟县市政公用事业服务</w:t>
      </w:r>
    </w:p>
    <w:p>
      <w:pPr>
        <w:spacing w:line="560" w:lineRule="exact"/>
        <w:jc w:val="center"/>
        <w:rPr>
          <w:rFonts w:ascii="仿宋_GB2312" w:hAnsi="仿宋_GB2312" w:eastAsia="仿宋_GB2312" w:cs="仿宋_GB2312"/>
          <w:sz w:val="32"/>
          <w:szCs w:val="32"/>
        </w:rPr>
      </w:pPr>
      <w:r>
        <w:rPr>
          <w:rFonts w:hint="eastAsia" w:ascii="方正小标宋简体" w:hAnsi="黑体" w:eastAsia="方正小标宋简体"/>
          <w:sz w:val="44"/>
          <w:szCs w:val="44"/>
        </w:rPr>
        <w:t>中心概况</w:t>
      </w: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p>
    <w:p>
      <w:pPr>
        <w:pStyle w:val="2"/>
        <w:ind w:firstLine="640"/>
        <w:rPr>
          <w:rFonts w:ascii="仿宋_GB2312" w:hAnsi="仿宋_GB2312" w:eastAsia="仿宋_GB2312" w:cs="仿宋_GB2312"/>
          <w:sz w:val="32"/>
          <w:szCs w:val="32"/>
        </w:rPr>
      </w:pPr>
    </w:p>
    <w:p>
      <w:pPr>
        <w:pStyle w:val="2"/>
        <w:ind w:firstLine="640"/>
        <w:rPr>
          <w:rFonts w:ascii="仿宋_GB2312" w:hAnsi="仿宋_GB2312" w:eastAsia="仿宋_GB2312" w:cs="仿宋_GB2312"/>
          <w:sz w:val="32"/>
          <w:szCs w:val="32"/>
        </w:rPr>
      </w:pPr>
    </w:p>
    <w:p>
      <w:pPr>
        <w:pStyle w:val="2"/>
        <w:ind w:firstLine="640"/>
        <w:rPr>
          <w:rFonts w:ascii="仿宋_GB2312" w:hAnsi="仿宋_GB2312" w:eastAsia="仿宋_GB2312" w:cs="仿宋_GB2312"/>
          <w:sz w:val="32"/>
          <w:szCs w:val="32"/>
        </w:rPr>
      </w:pPr>
    </w:p>
    <w:p>
      <w:pPr>
        <w:pStyle w:val="2"/>
        <w:ind w:left="0" w:leftChars="0" w:firstLine="0" w:firstLineChars="0"/>
        <w:rPr>
          <w:rFonts w:ascii="仿宋_GB2312" w:hAnsi="仿宋_GB2312" w:eastAsia="仿宋_GB2312" w:cs="仿宋_GB2312"/>
          <w:sz w:val="32"/>
          <w:szCs w:val="32"/>
        </w:rPr>
      </w:pPr>
    </w:p>
    <w:p>
      <w:pPr>
        <w:spacing w:line="560" w:lineRule="exact"/>
        <w:rPr>
          <w:rFonts w:ascii="仿宋_GB2312" w:hAnsi="仿宋_GB2312" w:eastAsia="仿宋_GB2312" w:cs="仿宋_GB2312"/>
          <w:sz w:val="32"/>
          <w:szCs w:val="32"/>
        </w:rPr>
      </w:pPr>
      <w:r>
        <w:rPr>
          <w:rFonts w:hint="eastAsia" w:ascii="楷体_GB2312" w:hAnsi="楷体_GB2312" w:eastAsia="楷体_GB2312" w:cs="楷体_GB2312"/>
          <w:b/>
          <w:bCs/>
          <w:sz w:val="32"/>
          <w:szCs w:val="32"/>
        </w:rPr>
        <w:t>一、基本职能及主要工作</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单位</w:t>
      </w:r>
      <w:r>
        <w:rPr>
          <w:rFonts w:hint="eastAsia" w:ascii="仿宋_GB2312" w:hAnsi="仿宋_GB2312" w:eastAsia="仿宋_GB2312" w:cs="仿宋_GB2312"/>
          <w:b/>
          <w:bCs/>
          <w:sz w:val="32"/>
          <w:szCs w:val="32"/>
        </w:rPr>
        <w:t>主要职责</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根据文件规定，主要职责是：九寨沟县市政公用事业服务中心是九寨沟县人民政府的组成部门。根据县委、县政府关于202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年全县工作的总体部署，202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年主要工作是:环境卫生管理、市容市貌管理、市政设施管理、园林绿化管理、文明城市创建以及县委、县政府交办的其他工作事项。</w:t>
      </w:r>
    </w:p>
    <w:p>
      <w:pPr>
        <w:spacing w:line="560" w:lineRule="exact"/>
        <w:ind w:firstLine="643" w:firstLineChars="200"/>
        <w:rPr>
          <w:rFonts w:ascii="仿宋_GB2312" w:hAnsi="仿宋_GB2312" w:eastAsia="仿宋_GB2312" w:cs="仿宋_GB2312"/>
          <w:b/>
          <w:bCs/>
          <w:sz w:val="32"/>
          <w:szCs w:val="32"/>
        </w:rPr>
      </w:pPr>
      <w:r>
        <w:rPr>
          <w:rFonts w:hint="eastAsia" w:ascii="仿宋_GB2312" w:hAnsi="仿宋_GB2312" w:eastAsia="仿宋_GB2312" w:cs="仿宋_GB2312"/>
          <w:b/>
          <w:bCs/>
          <w:sz w:val="32"/>
          <w:szCs w:val="32"/>
        </w:rPr>
        <w:t>（二）主要工作</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主要工作任务是：城区治理扎实有效，城市形象逐渐树立;规范园林绿化管理，提升城市园林品位。邀请园林专家对我县进行指导，及时对乔（灌）木及草坪进行翻种、补栽;市政公用设施管理规范有序;城市市容管理强劲有力，城市秩序管理有序,加强对非机动车辆停放的规范管理力度严格广告、店招店牌、横幅悬挂审批。规范占道经营，营造安全的城市环境。出动人员对占道经营商户进行规范管理，加强规范力度和文明劝导力度。</w:t>
      </w:r>
    </w:p>
    <w:p>
      <w:pPr>
        <w:spacing w:line="560" w:lineRule="exact"/>
        <w:rPr>
          <w:rFonts w:ascii="仿宋_GB2312" w:hAnsi="仿宋" w:eastAsia="仿宋_GB2312"/>
          <w:sz w:val="32"/>
          <w:szCs w:val="32"/>
        </w:rPr>
      </w:pPr>
      <w:r>
        <w:rPr>
          <w:rFonts w:hint="eastAsia" w:ascii="楷体_GB2312" w:hAnsi="楷体_GB2312" w:eastAsia="楷体_GB2312" w:cs="楷体_GB2312"/>
          <w:b/>
          <w:bCs/>
          <w:sz w:val="32"/>
          <w:szCs w:val="32"/>
        </w:rPr>
        <w:t>二、</w:t>
      </w:r>
      <w:r>
        <w:rPr>
          <w:rFonts w:hint="eastAsia" w:ascii="楷体_GB2312" w:hAnsi="楷体_GB2312" w:eastAsia="楷体_GB2312" w:cs="楷体_GB2312"/>
          <w:b/>
          <w:bCs/>
          <w:sz w:val="32"/>
          <w:szCs w:val="32"/>
          <w:lang w:eastAsia="zh-CN"/>
        </w:rPr>
        <w:t>单位</w:t>
      </w:r>
      <w:r>
        <w:rPr>
          <w:rFonts w:hint="eastAsia" w:ascii="楷体_GB2312" w:hAnsi="楷体_GB2312" w:eastAsia="楷体_GB2312" w:cs="楷体_GB2312"/>
          <w:b/>
          <w:bCs/>
          <w:sz w:val="32"/>
          <w:szCs w:val="32"/>
        </w:rPr>
        <w:t>预算单位构成</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属于九寨沟县住房和城乡建设局二级局，内</w:t>
      </w:r>
      <w:r>
        <w:rPr>
          <w:rFonts w:hint="eastAsia" w:ascii="仿宋_GB2312" w:hAnsi="仿宋_GB2312" w:eastAsia="仿宋_GB2312" w:cs="仿宋_GB2312"/>
          <w:sz w:val="32"/>
          <w:szCs w:val="32"/>
        </w:rPr>
        <w:t>设机构4个，主要包括：</w:t>
      </w:r>
    </w:p>
    <w:tbl>
      <w:tblPr>
        <w:tblStyle w:val="11"/>
        <w:tblW w:w="7360" w:type="dxa"/>
        <w:tblInd w:w="0" w:type="dxa"/>
        <w:tblLayout w:type="fixed"/>
        <w:tblCellMar>
          <w:top w:w="0" w:type="dxa"/>
          <w:left w:w="108" w:type="dxa"/>
          <w:bottom w:w="0" w:type="dxa"/>
          <w:right w:w="108" w:type="dxa"/>
        </w:tblCellMar>
      </w:tblPr>
      <w:tblGrid>
        <w:gridCol w:w="1020"/>
        <w:gridCol w:w="6340"/>
      </w:tblGrid>
      <w:tr>
        <w:tblPrEx>
          <w:tblLayout w:type="fixed"/>
          <w:tblCellMar>
            <w:top w:w="0" w:type="dxa"/>
            <w:left w:w="108" w:type="dxa"/>
            <w:bottom w:w="0" w:type="dxa"/>
            <w:right w:w="108" w:type="dxa"/>
          </w:tblCellMar>
        </w:tblPrEx>
        <w:trPr>
          <w:trHeight w:val="285" w:hRule="atLeast"/>
        </w:trPr>
        <w:tc>
          <w:tcPr>
            <w:tcW w:w="102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序号</w:t>
            </w:r>
          </w:p>
        </w:tc>
        <w:tc>
          <w:tcPr>
            <w:tcW w:w="6340" w:type="dxa"/>
            <w:tcBorders>
              <w:top w:val="single" w:color="auto" w:sz="4" w:space="0"/>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机构名称</w:t>
            </w:r>
          </w:p>
        </w:tc>
      </w:tr>
      <w:tr>
        <w:tblPrEx>
          <w:tblLayout w:type="fixed"/>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1</w:t>
            </w:r>
          </w:p>
        </w:tc>
        <w:tc>
          <w:tcPr>
            <w:tcW w:w="634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_GB2312" w:eastAsia="仿宋_GB2312" w:cs="仿宋_GB2312"/>
                <w:sz w:val="32"/>
                <w:szCs w:val="32"/>
              </w:rPr>
              <w:t>办公室（挂行政许可股牌子）</w:t>
            </w:r>
          </w:p>
        </w:tc>
      </w:tr>
      <w:tr>
        <w:tblPrEx>
          <w:tblLayout w:type="fixed"/>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2</w:t>
            </w:r>
          </w:p>
        </w:tc>
        <w:tc>
          <w:tcPr>
            <w:tcW w:w="634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_GB2312" w:eastAsia="仿宋_GB2312" w:cs="仿宋_GB2312"/>
                <w:sz w:val="32"/>
                <w:szCs w:val="32"/>
              </w:rPr>
              <w:t>市容环境卫生管理股</w:t>
            </w:r>
          </w:p>
        </w:tc>
      </w:tr>
      <w:tr>
        <w:tblPrEx>
          <w:tblLayout w:type="fixed"/>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3</w:t>
            </w:r>
          </w:p>
        </w:tc>
        <w:tc>
          <w:tcPr>
            <w:tcW w:w="634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_GB2312" w:eastAsia="仿宋_GB2312" w:cs="仿宋_GB2312"/>
                <w:sz w:val="32"/>
                <w:szCs w:val="32"/>
              </w:rPr>
              <w:t>市政公用设施管理股</w:t>
            </w:r>
          </w:p>
        </w:tc>
      </w:tr>
      <w:tr>
        <w:tblPrEx>
          <w:tblLayout w:type="fixed"/>
          <w:tblCellMar>
            <w:top w:w="0" w:type="dxa"/>
            <w:left w:w="108" w:type="dxa"/>
            <w:bottom w:w="0" w:type="dxa"/>
            <w:right w:w="108" w:type="dxa"/>
          </w:tblCellMar>
        </w:tblPrEx>
        <w:trPr>
          <w:trHeight w:val="383" w:hRule="atLeast"/>
        </w:trPr>
        <w:tc>
          <w:tcPr>
            <w:tcW w:w="1020" w:type="dxa"/>
            <w:tcBorders>
              <w:top w:val="nil"/>
              <w:left w:val="single" w:color="auto" w:sz="4" w:space="0"/>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 w:eastAsia="仿宋_GB2312" w:cs="Arial"/>
                <w:kern w:val="0"/>
                <w:sz w:val="32"/>
                <w:szCs w:val="32"/>
              </w:rPr>
              <w:t>4</w:t>
            </w:r>
          </w:p>
        </w:tc>
        <w:tc>
          <w:tcPr>
            <w:tcW w:w="6340" w:type="dxa"/>
            <w:tcBorders>
              <w:top w:val="nil"/>
              <w:left w:val="nil"/>
              <w:bottom w:val="single" w:color="auto" w:sz="4" w:space="0"/>
              <w:right w:val="single" w:color="auto" w:sz="4" w:space="0"/>
            </w:tcBorders>
            <w:shd w:val="clear" w:color="auto" w:fill="auto"/>
            <w:vAlign w:val="center"/>
          </w:tcPr>
          <w:p>
            <w:pPr>
              <w:widowControl/>
              <w:spacing w:line="560" w:lineRule="exact"/>
              <w:jc w:val="center"/>
              <w:rPr>
                <w:rFonts w:ascii="仿宋_GB2312" w:hAnsi="仿宋" w:eastAsia="仿宋_GB2312" w:cs="Arial"/>
                <w:kern w:val="0"/>
                <w:sz w:val="32"/>
                <w:szCs w:val="32"/>
              </w:rPr>
            </w:pPr>
            <w:r>
              <w:rPr>
                <w:rFonts w:hint="eastAsia" w:ascii="仿宋_GB2312" w:hAnsi="仿宋_GB2312" w:eastAsia="仿宋_GB2312" w:cs="仿宋_GB2312"/>
                <w:sz w:val="32"/>
                <w:szCs w:val="32"/>
              </w:rPr>
              <w:t>园林绿化管理股</w:t>
            </w:r>
          </w:p>
        </w:tc>
      </w:tr>
    </w:tbl>
    <w:p>
      <w:pPr>
        <w:tabs>
          <w:tab w:val="left" w:pos="1528"/>
        </w:tabs>
        <w:jc w:val="left"/>
        <w:sectPr>
          <w:footerReference r:id="rId3" w:type="default"/>
          <w:pgSz w:w="11906" w:h="16838"/>
          <w:pgMar w:top="1440" w:right="1800" w:bottom="1440" w:left="1800" w:header="851" w:footer="992" w:gutter="0"/>
          <w:pgNumType w:fmt="numberInDash"/>
          <w:cols w:space="425" w:num="1"/>
          <w:docGrid w:type="lines" w:linePitch="312" w:charSpace="0"/>
        </w:sectPr>
      </w:pPr>
    </w:p>
    <w:p>
      <w:pPr>
        <w:pStyle w:val="2"/>
        <w:sectPr>
          <w:type w:val="continuous"/>
          <w:pgSz w:w="16838" w:h="11906" w:orient="landscape"/>
          <w:pgMar w:top="1800" w:right="1440" w:bottom="1800" w:left="1440" w:header="851" w:footer="992" w:gutter="0"/>
          <w:pgNumType w:fmt="numberInDash"/>
          <w:cols w:space="425" w:num="1"/>
          <w:docGrid w:type="lines" w:linePitch="312" w:charSpace="0"/>
        </w:sectPr>
      </w:pPr>
    </w:p>
    <w:p>
      <w:pPr>
        <w:pStyle w:val="2"/>
      </w:pPr>
    </w:p>
    <w:p>
      <w:pPr>
        <w:pStyle w:val="2"/>
      </w:pPr>
    </w:p>
    <w:p>
      <w:pPr>
        <w:rPr>
          <w:rFonts w:ascii="方正小标宋简体" w:hAnsi="方正小标宋简体" w:eastAsia="方正小标宋简体" w:cs="方正小标宋简体"/>
          <w:sz w:val="44"/>
          <w:szCs w:val="44"/>
        </w:rPr>
      </w:pPr>
    </w:p>
    <w:p>
      <w:pPr>
        <w:pStyle w:val="2"/>
        <w:ind w:firstLine="880"/>
        <w:rPr>
          <w:rFonts w:ascii="方正小标宋简体" w:hAnsi="方正小标宋简体" w:eastAsia="方正小标宋简体" w:cs="方正小标宋简体"/>
          <w:sz w:val="44"/>
          <w:szCs w:val="44"/>
        </w:rPr>
      </w:pPr>
    </w:p>
    <w:p>
      <w:pPr>
        <w:rPr>
          <w:rFonts w:ascii="方正小标宋简体" w:hAnsi="方正小标宋简体" w:eastAsia="方正小标宋简体" w:cs="方正小标宋简体"/>
          <w:sz w:val="44"/>
          <w:szCs w:val="44"/>
        </w:rPr>
      </w:pPr>
    </w:p>
    <w:p>
      <w:pPr>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第二部分  九寨沟县市政公用事业服务中心</w:t>
      </w:r>
      <w:r>
        <w:rPr>
          <w:rFonts w:hint="eastAsia" w:ascii="Times New Roman" w:hAnsi="Times New Roman" w:eastAsia="方正小标宋简体"/>
          <w:sz w:val="44"/>
          <w:szCs w:val="44"/>
        </w:rPr>
        <w:t>202</w:t>
      </w:r>
      <w:r>
        <w:rPr>
          <w:rFonts w:hint="eastAsia" w:ascii="Times New Roman" w:hAnsi="Times New Roman" w:eastAsia="方正小标宋简体"/>
          <w:sz w:val="44"/>
          <w:szCs w:val="44"/>
          <w:lang w:val="en-US" w:eastAsia="zh-CN"/>
        </w:rPr>
        <w:t>6</w:t>
      </w:r>
      <w:r>
        <w:rPr>
          <w:rFonts w:hint="eastAsia" w:ascii="方正小标宋简体" w:hAnsi="方正小标宋简体" w:eastAsia="方正小标宋简体" w:cs="方正小标宋简体"/>
          <w:sz w:val="44"/>
          <w:szCs w:val="44"/>
        </w:rPr>
        <w:t>年</w:t>
      </w:r>
      <w:r>
        <w:rPr>
          <w:rFonts w:hint="eastAsia" w:ascii="方正小标宋简体" w:hAnsi="方正小标宋简体" w:eastAsia="方正小标宋简体" w:cs="方正小标宋简体"/>
          <w:sz w:val="44"/>
          <w:szCs w:val="44"/>
          <w:lang w:eastAsia="zh-CN"/>
        </w:rPr>
        <w:t>单位</w:t>
      </w:r>
      <w:r>
        <w:rPr>
          <w:rFonts w:hint="eastAsia" w:ascii="方正小标宋简体" w:hAnsi="方正小标宋简体" w:eastAsia="方正小标宋简体" w:cs="方正小标宋简体"/>
          <w:sz w:val="44"/>
          <w:szCs w:val="44"/>
        </w:rPr>
        <w:t>预算表</w:t>
      </w: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pStyle w:val="2"/>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1</w:t>
      </w:r>
      <w:r>
        <w:rPr>
          <w:rFonts w:hint="eastAsia" w:ascii="仿宋_GB2312" w:hAnsi="仿宋" w:eastAsia="仿宋_GB2312"/>
          <w:sz w:val="32"/>
          <w:szCs w:val="32"/>
        </w:rPr>
        <w:t>：</w:t>
      </w:r>
      <w:r>
        <w:rPr>
          <w:rFonts w:hint="eastAsia" w:ascii="仿宋_GB2312" w:hAnsi="仿宋" w:eastAsia="仿宋_GB2312"/>
          <w:sz w:val="32"/>
          <w:szCs w:val="32"/>
          <w:lang w:eastAsia="zh-CN"/>
        </w:rPr>
        <w:t>单位</w:t>
      </w:r>
      <w:r>
        <w:rPr>
          <w:rFonts w:hint="eastAsia" w:ascii="仿宋_GB2312" w:hAnsi="仿宋" w:eastAsia="仿宋_GB2312"/>
          <w:sz w:val="32"/>
          <w:szCs w:val="32"/>
        </w:rPr>
        <w:t>收支总表</w:t>
      </w:r>
    </w:p>
    <w:tbl>
      <w:tblPr>
        <w:tblStyle w:val="11"/>
        <w:tblW w:w="13760" w:type="dxa"/>
        <w:jc w:val="center"/>
        <w:tblInd w:w="89" w:type="dxa"/>
        <w:tblLayout w:type="fixed"/>
        <w:tblCellMar>
          <w:top w:w="0" w:type="dxa"/>
          <w:left w:w="108" w:type="dxa"/>
          <w:bottom w:w="0" w:type="dxa"/>
          <w:right w:w="108" w:type="dxa"/>
        </w:tblCellMar>
      </w:tblPr>
      <w:tblGrid>
        <w:gridCol w:w="4920"/>
        <w:gridCol w:w="1960"/>
        <w:gridCol w:w="4920"/>
        <w:gridCol w:w="1960"/>
      </w:tblGrid>
      <w:tr>
        <w:tblPrEx>
          <w:tblLayout w:type="fixed"/>
          <w:tblCellMar>
            <w:top w:w="0" w:type="dxa"/>
            <w:left w:w="108" w:type="dxa"/>
            <w:bottom w:w="0" w:type="dxa"/>
            <w:right w:w="108" w:type="dxa"/>
          </w:tblCellMar>
        </w:tblPrEx>
        <w:trPr>
          <w:trHeight w:val="285" w:hRule="atLeast"/>
          <w:jc w:val="center"/>
        </w:trPr>
        <w:tc>
          <w:tcPr>
            <w:tcW w:w="4920" w:type="dxa"/>
            <w:tcBorders>
              <w:top w:val="single" w:color="FFFFFF" w:sz="4" w:space="0"/>
              <w:left w:val="single" w:color="FFFFFF" w:sz="4" w:space="0"/>
              <w:bottom w:val="single" w:color="FFFFFF" w:sz="4" w:space="0"/>
              <w:right w:val="single" w:color="FFFFFF" w:sz="4" w:space="0"/>
            </w:tcBorders>
            <w:shd w:val="clear" w:color="auto" w:fill="auto"/>
            <w:textDirection w:val="lrTb"/>
            <w:vAlign w:val="center"/>
          </w:tcPr>
          <w:p>
            <w:pPr>
              <w:rPr>
                <w:rFonts w:ascii="宋体" w:hAnsi="宋体" w:eastAsia="宋体" w:cs="宋体"/>
                <w:color w:val="000000"/>
                <w:sz w:val="22"/>
              </w:rPr>
            </w:pPr>
          </w:p>
        </w:tc>
        <w:tc>
          <w:tcPr>
            <w:tcW w:w="1960" w:type="dxa"/>
            <w:tcBorders>
              <w:top w:val="nil"/>
              <w:left w:val="nil"/>
              <w:bottom w:val="nil"/>
              <w:right w:val="nil"/>
            </w:tcBorders>
            <w:shd w:val="clear" w:color="auto" w:fill="auto"/>
            <w:textDirection w:val="lrTb"/>
            <w:vAlign w:val="center"/>
          </w:tcPr>
          <w:p>
            <w:pPr>
              <w:rPr>
                <w:rFonts w:ascii="宋体" w:hAnsi="宋体" w:eastAsia="宋体" w:cs="宋体"/>
                <w:color w:val="000000"/>
                <w:sz w:val="22"/>
              </w:rPr>
            </w:pPr>
          </w:p>
        </w:tc>
        <w:tc>
          <w:tcPr>
            <w:tcW w:w="4920" w:type="dxa"/>
            <w:tcBorders>
              <w:top w:val="single" w:color="FFFFFF" w:sz="4" w:space="0"/>
              <w:left w:val="single" w:color="FFFFFF" w:sz="4" w:space="0"/>
              <w:bottom w:val="single" w:color="FFFFFF" w:sz="4" w:space="0"/>
              <w:right w:val="single" w:color="FFFFFF" w:sz="4" w:space="0"/>
            </w:tcBorders>
            <w:shd w:val="clear" w:color="auto" w:fill="auto"/>
            <w:textDirection w:val="lrTb"/>
            <w:vAlign w:val="center"/>
          </w:tcPr>
          <w:p>
            <w:pPr>
              <w:rPr>
                <w:rFonts w:ascii="宋体" w:hAnsi="宋体" w:eastAsia="宋体" w:cs="宋体"/>
                <w:color w:val="000000"/>
                <w:sz w:val="18"/>
                <w:szCs w:val="18"/>
              </w:rPr>
            </w:pPr>
          </w:p>
        </w:tc>
        <w:tc>
          <w:tcPr>
            <w:tcW w:w="1960" w:type="dxa"/>
            <w:tcBorders>
              <w:top w:val="single" w:color="FFFFFF" w:sz="4" w:space="0"/>
              <w:left w:val="nil"/>
              <w:bottom w:val="single" w:color="FFFFFF" w:sz="4" w:space="0"/>
              <w:right w:val="single" w:color="FFFFFF"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br w:type="textWrapping"/>
            </w:r>
            <w:r>
              <w:rPr>
                <w:rFonts w:hint="eastAsia" w:ascii="宋体" w:hAnsi="宋体" w:eastAsia="宋体" w:cs="宋体"/>
                <w:i w:val="0"/>
                <w:color w:val="000000"/>
                <w:kern w:val="0"/>
                <w:sz w:val="22"/>
                <w:szCs w:val="22"/>
                <w:u w:val="none"/>
                <w:lang w:val="en-US" w:eastAsia="zh-CN" w:bidi="ar"/>
              </w:rPr>
              <w:t>表1</w:t>
            </w:r>
          </w:p>
        </w:tc>
      </w:tr>
      <w:tr>
        <w:tblPrEx>
          <w:tblLayout w:type="fixed"/>
          <w:tblCellMar>
            <w:top w:w="0" w:type="dxa"/>
            <w:left w:w="108" w:type="dxa"/>
            <w:bottom w:w="0" w:type="dxa"/>
            <w:right w:w="108" w:type="dxa"/>
          </w:tblCellMar>
        </w:tblPrEx>
        <w:trPr>
          <w:trHeight w:val="398" w:hRule="atLeast"/>
          <w:jc w:val="center"/>
        </w:trPr>
        <w:tc>
          <w:tcPr>
            <w:tcW w:w="13760" w:type="dxa"/>
            <w:gridSpan w:val="4"/>
            <w:tcBorders>
              <w:top w:val="single" w:color="FFFFFF" w:sz="4" w:space="0"/>
              <w:left w:val="single" w:color="FFFFFF" w:sz="4" w:space="0"/>
              <w:bottom w:val="single" w:color="FFFFFF" w:sz="4" w:space="0"/>
              <w:right w:val="single" w:color="FFFFFF" w:sz="4" w:space="0"/>
            </w:tcBorders>
            <w:shd w:val="clear" w:color="auto" w:fill="auto"/>
            <w:textDirection w:val="lrTb"/>
            <w:vAlign w:val="center"/>
          </w:tcPr>
          <w:p>
            <w:pPr>
              <w:keepNext w:val="0"/>
              <w:keepLines w:val="0"/>
              <w:widowControl/>
              <w:suppressLineNumbers w:val="0"/>
              <w:jc w:val="center"/>
              <w:textAlignment w:val="center"/>
              <w:rPr>
                <w:rFonts w:ascii="黑体" w:hAnsi="黑体" w:eastAsia="黑体" w:cs="宋体"/>
                <w:b/>
                <w:bCs/>
                <w:color w:val="000000"/>
                <w:sz w:val="32"/>
                <w:szCs w:val="32"/>
              </w:rPr>
            </w:pPr>
            <w:r>
              <w:rPr>
                <w:rFonts w:hint="eastAsia" w:ascii="黑体" w:hAnsi="宋体" w:eastAsia="黑体" w:cs="黑体"/>
                <w:b/>
                <w:i w:val="0"/>
                <w:color w:val="000000"/>
                <w:kern w:val="0"/>
                <w:sz w:val="32"/>
                <w:szCs w:val="32"/>
                <w:u w:val="none"/>
                <w:lang w:val="en-US" w:eastAsia="zh-CN" w:bidi="ar"/>
              </w:rPr>
              <w:t>单位收支总表</w:t>
            </w:r>
          </w:p>
        </w:tc>
      </w:tr>
      <w:tr>
        <w:tblPrEx>
          <w:tblLayout w:type="fixed"/>
          <w:tblCellMar>
            <w:top w:w="0" w:type="dxa"/>
            <w:left w:w="108" w:type="dxa"/>
            <w:bottom w:w="0" w:type="dxa"/>
            <w:right w:w="108" w:type="dxa"/>
          </w:tblCellMar>
        </w:tblPrEx>
        <w:trPr>
          <w:trHeight w:val="342" w:hRule="atLeast"/>
          <w:jc w:val="center"/>
        </w:trPr>
        <w:tc>
          <w:tcPr>
            <w:tcW w:w="4920" w:type="dxa"/>
            <w:tcBorders>
              <w:top w:val="nil"/>
              <w:left w:val="single" w:color="FFFFFF" w:sz="4" w:space="0"/>
              <w:bottom w:val="nil"/>
              <w:right w:val="single" w:color="FFFFFF"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单位：</w:t>
            </w:r>
            <w:r>
              <w:rPr>
                <w:rFonts w:hint="eastAsia" w:ascii="宋体" w:hAnsi="宋体" w:eastAsia="宋体" w:cs="宋体"/>
                <w:color w:val="000000"/>
                <w:kern w:val="0"/>
                <w:sz w:val="22"/>
              </w:rPr>
              <w:t>九寨沟县市政公用事业服务中心</w:t>
            </w:r>
          </w:p>
        </w:tc>
        <w:tc>
          <w:tcPr>
            <w:tcW w:w="1960" w:type="dxa"/>
            <w:tcBorders>
              <w:top w:val="nil"/>
              <w:left w:val="nil"/>
              <w:bottom w:val="nil"/>
              <w:right w:val="nil"/>
            </w:tcBorders>
            <w:shd w:val="clear" w:color="auto" w:fill="auto"/>
            <w:textDirection w:val="lrTb"/>
            <w:vAlign w:val="center"/>
          </w:tcPr>
          <w:p>
            <w:pPr>
              <w:rPr>
                <w:rFonts w:ascii="宋体" w:hAnsi="宋体" w:eastAsia="宋体" w:cs="宋体"/>
                <w:color w:val="000000"/>
                <w:sz w:val="22"/>
              </w:rPr>
            </w:pPr>
          </w:p>
        </w:tc>
        <w:tc>
          <w:tcPr>
            <w:tcW w:w="4920" w:type="dxa"/>
            <w:tcBorders>
              <w:top w:val="nil"/>
              <w:left w:val="nil"/>
              <w:bottom w:val="nil"/>
              <w:right w:val="nil"/>
            </w:tcBorders>
            <w:shd w:val="clear" w:color="auto" w:fill="auto"/>
            <w:textDirection w:val="lrTb"/>
            <w:vAlign w:val="center"/>
          </w:tcPr>
          <w:p>
            <w:pPr>
              <w:rPr>
                <w:rFonts w:ascii="宋体" w:hAnsi="宋体" w:eastAsia="宋体" w:cs="宋体"/>
                <w:sz w:val="18"/>
                <w:szCs w:val="18"/>
              </w:rPr>
            </w:pPr>
          </w:p>
        </w:tc>
        <w:tc>
          <w:tcPr>
            <w:tcW w:w="1960" w:type="dxa"/>
            <w:tcBorders>
              <w:top w:val="nil"/>
              <w:left w:val="single" w:color="FFFFFF" w:sz="4" w:space="0"/>
              <w:bottom w:val="nil"/>
              <w:right w:val="single" w:color="FFFFFF"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color w:val="000000"/>
                <w:sz w:val="22"/>
              </w:rPr>
            </w:pPr>
            <w:r>
              <w:rPr>
                <w:rFonts w:ascii="宋体" w:hAnsi="宋体" w:eastAsia="宋体" w:cs="宋体"/>
                <w:i w:val="0"/>
                <w:color w:val="000000"/>
                <w:kern w:val="0"/>
                <w:sz w:val="22"/>
                <w:szCs w:val="22"/>
                <w:u w:val="none"/>
                <w:lang w:val="en-US" w:eastAsia="zh-CN" w:bidi="ar"/>
              </w:rPr>
              <w:t>金额单位：万元</w:t>
            </w:r>
          </w:p>
        </w:tc>
      </w:tr>
      <w:tr>
        <w:tblPrEx>
          <w:tblLayout w:type="fixed"/>
          <w:tblCellMar>
            <w:top w:w="0" w:type="dxa"/>
            <w:left w:w="108" w:type="dxa"/>
            <w:bottom w:w="0" w:type="dxa"/>
            <w:right w:w="108" w:type="dxa"/>
          </w:tblCellMar>
        </w:tblPrEx>
        <w:trPr>
          <w:trHeight w:val="428" w:hRule="atLeast"/>
          <w:jc w:val="center"/>
        </w:trPr>
        <w:tc>
          <w:tcPr>
            <w:tcW w:w="6880" w:type="dxa"/>
            <w:gridSpan w:val="2"/>
            <w:tcBorders>
              <w:top w:val="single" w:color="C0C0C0" w:sz="4" w:space="0"/>
              <w:left w:val="single" w:color="C0C0C0" w:sz="4" w:space="0"/>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收    入</w:t>
            </w:r>
          </w:p>
        </w:tc>
        <w:tc>
          <w:tcPr>
            <w:tcW w:w="6880" w:type="dxa"/>
            <w:gridSpan w:val="2"/>
            <w:tcBorders>
              <w:top w:val="single" w:color="C0C0C0" w:sz="4" w:space="0"/>
              <w:left w:val="nil"/>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支    出</w:t>
            </w:r>
          </w:p>
        </w:tc>
      </w:tr>
      <w:tr>
        <w:tblPrEx>
          <w:tblLayout w:type="fixed"/>
          <w:tblCellMar>
            <w:top w:w="0" w:type="dxa"/>
            <w:left w:w="108" w:type="dxa"/>
            <w:bottom w:w="0" w:type="dxa"/>
            <w:right w:w="108" w:type="dxa"/>
          </w:tblCellMar>
        </w:tblPrEx>
        <w:trPr>
          <w:trHeight w:val="428" w:hRule="atLeast"/>
          <w:jc w:val="center"/>
        </w:trPr>
        <w:tc>
          <w:tcPr>
            <w:tcW w:w="4920" w:type="dxa"/>
            <w:tcBorders>
              <w:top w:val="nil"/>
              <w:left w:val="single" w:color="C0C0C0" w:sz="4" w:space="0"/>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项    目</w:t>
            </w:r>
          </w:p>
        </w:tc>
        <w:tc>
          <w:tcPr>
            <w:tcW w:w="1960" w:type="dxa"/>
            <w:tcBorders>
              <w:top w:val="nil"/>
              <w:left w:val="nil"/>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预算数</w:t>
            </w:r>
          </w:p>
        </w:tc>
        <w:tc>
          <w:tcPr>
            <w:tcW w:w="4920" w:type="dxa"/>
            <w:tcBorders>
              <w:top w:val="nil"/>
              <w:left w:val="nil"/>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项    目</w:t>
            </w:r>
          </w:p>
        </w:tc>
        <w:tc>
          <w:tcPr>
            <w:tcW w:w="1960" w:type="dxa"/>
            <w:tcBorders>
              <w:top w:val="nil"/>
              <w:left w:val="nil"/>
              <w:bottom w:val="single" w:color="C0C0C0" w:sz="4" w:space="0"/>
              <w:right w:val="single" w:color="C0C0C0" w:sz="4" w:space="0"/>
            </w:tcBorders>
            <w:shd w:val="clear" w:color="EFF2F7" w:fill="EFF2F7"/>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预算数</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一、一般公共预算拨款收入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一、一般公共服务支出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二、政府性基金预算拨款收入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二、外交支出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三、国有资本经营预算拨款收入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三、国防支出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四、事业收入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四、公共安全支出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五、事业单位经营收入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五、教育支出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 xml:space="preserve">六、其他收入 </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六、科学技术支出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七、文化旅游体育与传媒支出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八、社会保障和就业支出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59.20</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九、社会保险基金支出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十、卫生健康支出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22.11</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十一、节能环保支出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十二、城乡社区支出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867.99</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十三、农林水支出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十四、交通运输支出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十五、资源勘探工业信息等支出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十六、商业服务业等支出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十七、金融支出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十八、援助其他地区支出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十九、自然资源海洋气象等支出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二十、住房保障支出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二十一、粮油物资储备支出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二十二、国有资本经营预算支出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二十三、灾害防治及应急管理支出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二十四、其他支出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二十五、债务还本支出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二十六、债务付息支出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二十七、债务发行费用支出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38"/>
                <w:lang w:val="en-US" w:eastAsia="zh-CN" w:bidi="ar"/>
              </w:rPr>
              <w:t>二十八、抗疫特别国债安排的支出</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Style w:val="39"/>
                <w:lang w:val="en-US" w:eastAsia="zh-CN" w:bidi="ar"/>
              </w:rPr>
              <w:t>本 年 收 入 合 计</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Style w:val="39"/>
                <w:lang w:val="en-US" w:eastAsia="zh-CN" w:bidi="ar"/>
              </w:rPr>
              <w:t>本 年 支 出 合 计</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七、上年结转</w:t>
            </w: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92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960"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jc w:val="center"/>
        </w:trPr>
        <w:tc>
          <w:tcPr>
            <w:tcW w:w="4920"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收  入  总  计</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92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支  出  总  计</w:t>
            </w:r>
          </w:p>
        </w:tc>
        <w:tc>
          <w:tcPr>
            <w:tcW w:w="1960"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r>
    </w:tbl>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2</w:t>
      </w:r>
      <w:r>
        <w:rPr>
          <w:rFonts w:hint="eastAsia" w:ascii="仿宋_GB2312" w:hAnsi="仿宋" w:eastAsia="仿宋_GB2312"/>
          <w:sz w:val="32"/>
          <w:szCs w:val="32"/>
          <w:lang w:eastAsia="zh-CN"/>
        </w:rPr>
        <w:t>单位</w:t>
      </w:r>
      <w:r>
        <w:rPr>
          <w:rFonts w:hint="eastAsia" w:ascii="仿宋_GB2312" w:hAnsi="仿宋" w:eastAsia="仿宋_GB2312"/>
          <w:sz w:val="32"/>
          <w:szCs w:val="32"/>
        </w:rPr>
        <w:t>收入总表</w:t>
      </w: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rPr>
          <w:rFonts w:ascii="仿宋_GB2312" w:hAnsi="仿宋" w:eastAsia="仿宋_GB2312"/>
          <w:sz w:val="32"/>
          <w:szCs w:val="32"/>
        </w:rPr>
      </w:pPr>
    </w:p>
    <w:tbl>
      <w:tblPr>
        <w:tblStyle w:val="11"/>
        <w:tblpPr w:leftFromText="180" w:rightFromText="180" w:horzAnchor="page" w:tblpXSpec="center" w:tblpY="916"/>
        <w:tblW w:w="14399" w:type="dxa"/>
        <w:tblInd w:w="0" w:type="dxa"/>
        <w:tblLayout w:type="fixed"/>
        <w:tblCellMar>
          <w:top w:w="0" w:type="dxa"/>
          <w:left w:w="108" w:type="dxa"/>
          <w:bottom w:w="0" w:type="dxa"/>
          <w:right w:w="108" w:type="dxa"/>
        </w:tblCellMar>
      </w:tblPr>
      <w:tblGrid>
        <w:gridCol w:w="926"/>
        <w:gridCol w:w="3477"/>
        <w:gridCol w:w="1001"/>
        <w:gridCol w:w="789"/>
        <w:gridCol w:w="1119"/>
        <w:gridCol w:w="1159"/>
        <w:gridCol w:w="874"/>
        <w:gridCol w:w="556"/>
        <w:gridCol w:w="715"/>
        <w:gridCol w:w="556"/>
        <w:gridCol w:w="636"/>
        <w:gridCol w:w="715"/>
        <w:gridCol w:w="1876"/>
      </w:tblGrid>
      <w:tr>
        <w:tblPrEx>
          <w:tblLayout w:type="fixed"/>
          <w:tblCellMar>
            <w:top w:w="0" w:type="dxa"/>
            <w:left w:w="108" w:type="dxa"/>
            <w:bottom w:w="0" w:type="dxa"/>
            <w:right w:w="108" w:type="dxa"/>
          </w:tblCellMar>
        </w:tblPrEx>
        <w:trPr>
          <w:trHeight w:val="534" w:hRule="atLeast"/>
        </w:trPr>
        <w:tc>
          <w:tcPr>
            <w:tcW w:w="12523"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lang w:eastAsia="zh-CN"/>
              </w:rPr>
              <w:t>单位</w:t>
            </w:r>
            <w:r>
              <w:rPr>
                <w:rFonts w:hint="eastAsia"/>
                <w:b/>
                <w:bCs/>
                <w:color w:val="000000"/>
                <w:sz w:val="32"/>
                <w:szCs w:val="32"/>
              </w:rPr>
              <w:t>收入总表</w:t>
            </w:r>
          </w:p>
        </w:tc>
        <w:tc>
          <w:tcPr>
            <w:tcW w:w="1876" w:type="dxa"/>
            <w:tcBorders>
              <w:top w:val="single" w:color="FFFFFF" w:sz="4" w:space="0"/>
              <w:left w:val="nil"/>
              <w:bottom w:val="single" w:color="FFFFFF" w:sz="4" w:space="0"/>
              <w:right w:val="nil"/>
            </w:tcBorders>
            <w:shd w:val="clear" w:color="auto" w:fill="auto"/>
            <w:vAlign w:val="center"/>
          </w:tcPr>
          <w:p>
            <w:pPr>
              <w:rPr>
                <w:rFonts w:ascii="宋体" w:hAnsi="宋体" w:eastAsia="宋体" w:cs="宋体"/>
                <w:color w:val="000000"/>
                <w:sz w:val="18"/>
                <w:szCs w:val="18"/>
              </w:rPr>
            </w:pPr>
            <w:r>
              <w:rPr>
                <w:rFonts w:hint="eastAsia"/>
                <w:color w:val="000000"/>
                <w:sz w:val="18"/>
                <w:szCs w:val="18"/>
              </w:rPr>
              <w:t xml:space="preserve"> </w:t>
            </w:r>
          </w:p>
        </w:tc>
      </w:tr>
      <w:tr>
        <w:tblPrEx>
          <w:tblLayout w:type="fixed"/>
          <w:tblCellMar>
            <w:top w:w="0" w:type="dxa"/>
            <w:left w:w="108" w:type="dxa"/>
            <w:bottom w:w="0" w:type="dxa"/>
            <w:right w:w="108" w:type="dxa"/>
          </w:tblCellMar>
        </w:tblPrEx>
        <w:trPr>
          <w:trHeight w:val="459" w:hRule="atLeast"/>
        </w:trPr>
        <w:tc>
          <w:tcPr>
            <w:tcW w:w="926" w:type="dxa"/>
            <w:tcBorders>
              <w:top w:val="nil"/>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p>
        </w:tc>
        <w:tc>
          <w:tcPr>
            <w:tcW w:w="3477"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ascii="宋体" w:hAnsi="宋体" w:eastAsia="宋体" w:cs="宋体"/>
                <w:color w:val="000000"/>
                <w:kern w:val="0"/>
                <w:sz w:val="22"/>
              </w:rPr>
              <w:t>九寨沟县市政公用事业服务中心</w:t>
            </w:r>
          </w:p>
        </w:tc>
        <w:tc>
          <w:tcPr>
            <w:tcW w:w="1001"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789"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119"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159"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874"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556"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715"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556"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636"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715"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87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847" w:hRule="atLeast"/>
        </w:trPr>
        <w:tc>
          <w:tcPr>
            <w:tcW w:w="4403"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00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78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上年结转</w:t>
            </w:r>
          </w:p>
        </w:tc>
        <w:tc>
          <w:tcPr>
            <w:tcW w:w="111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一般公共预算拨款收入</w:t>
            </w:r>
          </w:p>
        </w:tc>
        <w:tc>
          <w:tcPr>
            <w:tcW w:w="115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政府性基金预算拨款收入</w:t>
            </w:r>
          </w:p>
        </w:tc>
        <w:tc>
          <w:tcPr>
            <w:tcW w:w="87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国有资本经营预算拨款收入</w:t>
            </w:r>
          </w:p>
        </w:tc>
        <w:tc>
          <w:tcPr>
            <w:tcW w:w="5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事业收入</w:t>
            </w:r>
          </w:p>
        </w:tc>
        <w:tc>
          <w:tcPr>
            <w:tcW w:w="7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 xml:space="preserve">事业单位经营收入 </w:t>
            </w:r>
          </w:p>
        </w:tc>
        <w:tc>
          <w:tcPr>
            <w:tcW w:w="55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其他收入</w:t>
            </w:r>
          </w:p>
        </w:tc>
        <w:tc>
          <w:tcPr>
            <w:tcW w:w="63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上级补助收入</w:t>
            </w:r>
          </w:p>
        </w:tc>
        <w:tc>
          <w:tcPr>
            <w:tcW w:w="7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附属单位上缴收入</w:t>
            </w:r>
          </w:p>
        </w:tc>
        <w:tc>
          <w:tcPr>
            <w:tcW w:w="187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财政专户管理资金收入</w:t>
            </w:r>
          </w:p>
        </w:tc>
      </w:tr>
      <w:tr>
        <w:tblPrEx>
          <w:tblLayout w:type="fixed"/>
          <w:tblCellMar>
            <w:top w:w="0" w:type="dxa"/>
            <w:left w:w="108" w:type="dxa"/>
            <w:bottom w:w="0" w:type="dxa"/>
            <w:right w:w="108" w:type="dxa"/>
          </w:tblCellMar>
        </w:tblPrEx>
        <w:trPr>
          <w:trHeight w:val="1109" w:hRule="atLeast"/>
        </w:trPr>
        <w:tc>
          <w:tcPr>
            <w:tcW w:w="926"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3477"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001"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78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11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15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874"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556"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71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556"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36"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71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876"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534" w:hRule="atLeast"/>
        </w:trPr>
        <w:tc>
          <w:tcPr>
            <w:tcW w:w="926" w:type="dxa"/>
            <w:tcBorders>
              <w:top w:val="nil"/>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　</w:t>
            </w:r>
          </w:p>
        </w:tc>
        <w:tc>
          <w:tcPr>
            <w:tcW w:w="3477" w:type="dxa"/>
            <w:tcBorders>
              <w:top w:val="nil"/>
              <w:left w:val="nil"/>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合    计</w:t>
            </w:r>
          </w:p>
        </w:tc>
        <w:tc>
          <w:tcPr>
            <w:tcW w:w="1001" w:type="dxa"/>
            <w:tcBorders>
              <w:top w:val="nil"/>
              <w:left w:val="nil"/>
              <w:bottom w:val="single" w:color="C2C3C4" w:sz="4" w:space="0"/>
              <w:right w:val="single" w:color="C2C3C4" w:sz="4" w:space="0"/>
            </w:tcBorders>
            <w:shd w:val="clear" w:color="auto" w:fill="auto"/>
            <w:vAlign w:val="center"/>
          </w:tcPr>
          <w:p>
            <w:pPr>
              <w:jc w:val="right"/>
              <w:rPr>
                <w:rFonts w:hint="eastAsia" w:ascii="宋体" w:hAnsi="宋体" w:eastAsia="宋体" w:cs="宋体"/>
                <w:b/>
                <w:bCs/>
                <w:color w:val="000000"/>
                <w:sz w:val="22"/>
                <w:lang w:val="en-US" w:eastAsia="zh-CN"/>
              </w:rPr>
            </w:pPr>
            <w:r>
              <w:rPr>
                <w:rFonts w:hint="eastAsia" w:ascii="宋体" w:hAnsi="宋体" w:eastAsia="宋体" w:cs="宋体"/>
                <w:b/>
                <w:bCs/>
                <w:color w:val="000000"/>
                <w:sz w:val="22"/>
                <w:lang w:val="en-US" w:eastAsia="zh-CN"/>
              </w:rPr>
              <w:t>981.01</w:t>
            </w:r>
          </w:p>
        </w:tc>
        <w:tc>
          <w:tcPr>
            <w:tcW w:w="78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p>
        </w:tc>
        <w:tc>
          <w:tcPr>
            <w:tcW w:w="111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ascii="宋体" w:hAnsi="宋体" w:eastAsia="宋体" w:cs="宋体"/>
                <w:b/>
                <w:bCs/>
                <w:color w:val="000000"/>
                <w:sz w:val="22"/>
                <w:lang w:val="en-US" w:eastAsia="zh-CN"/>
              </w:rPr>
              <w:t>981.01</w:t>
            </w:r>
          </w:p>
        </w:tc>
        <w:tc>
          <w:tcPr>
            <w:tcW w:w="115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p>
        </w:tc>
        <w:tc>
          <w:tcPr>
            <w:tcW w:w="874"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55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71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55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63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71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187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r>
      <w:tr>
        <w:tblPrEx>
          <w:tblLayout w:type="fixed"/>
          <w:tblCellMar>
            <w:top w:w="0" w:type="dxa"/>
            <w:left w:w="108" w:type="dxa"/>
            <w:bottom w:w="0" w:type="dxa"/>
            <w:right w:w="108" w:type="dxa"/>
          </w:tblCellMar>
        </w:tblPrEx>
        <w:trPr>
          <w:trHeight w:val="534" w:hRule="atLeast"/>
        </w:trPr>
        <w:tc>
          <w:tcPr>
            <w:tcW w:w="92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3477"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100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b/>
                <w:bCs/>
                <w:color w:val="000000"/>
                <w:sz w:val="22"/>
                <w:lang w:val="en-US" w:eastAsia="zh-CN"/>
              </w:rPr>
              <w:t>981.01</w:t>
            </w:r>
          </w:p>
        </w:tc>
        <w:tc>
          <w:tcPr>
            <w:tcW w:w="78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1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b/>
                <w:bCs/>
                <w:color w:val="000000"/>
                <w:sz w:val="22"/>
                <w:lang w:val="en-US" w:eastAsia="zh-CN"/>
              </w:rPr>
              <w:t>981.01</w:t>
            </w:r>
          </w:p>
        </w:tc>
        <w:tc>
          <w:tcPr>
            <w:tcW w:w="1159"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874"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55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71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55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63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71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187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r>
      <w:tr>
        <w:tblPrEx>
          <w:tblLayout w:type="fixed"/>
          <w:tblCellMar>
            <w:top w:w="0" w:type="dxa"/>
            <w:left w:w="108" w:type="dxa"/>
            <w:bottom w:w="0" w:type="dxa"/>
            <w:right w:w="108" w:type="dxa"/>
          </w:tblCellMar>
        </w:tblPrEx>
        <w:trPr>
          <w:trHeight w:val="534" w:hRule="atLeast"/>
        </w:trPr>
        <w:tc>
          <w:tcPr>
            <w:tcW w:w="92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509001</w:t>
            </w:r>
          </w:p>
        </w:tc>
        <w:tc>
          <w:tcPr>
            <w:tcW w:w="3477"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市政公用事业服务中心</w:t>
            </w:r>
          </w:p>
        </w:tc>
        <w:tc>
          <w:tcPr>
            <w:tcW w:w="100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b/>
                <w:bCs/>
                <w:color w:val="000000"/>
                <w:sz w:val="22"/>
                <w:lang w:val="en-US" w:eastAsia="zh-CN"/>
              </w:rPr>
              <w:t>981.01</w:t>
            </w:r>
          </w:p>
        </w:tc>
        <w:tc>
          <w:tcPr>
            <w:tcW w:w="789"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119"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ascii="宋体" w:hAnsi="宋体" w:eastAsia="宋体" w:cs="宋体"/>
                <w:b/>
                <w:bCs/>
                <w:color w:val="000000"/>
                <w:sz w:val="22"/>
                <w:lang w:val="en-US" w:eastAsia="zh-CN"/>
              </w:rPr>
              <w:t>981.01</w:t>
            </w:r>
          </w:p>
        </w:tc>
        <w:tc>
          <w:tcPr>
            <w:tcW w:w="1159"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874"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55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715"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55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63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715"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187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r>
    </w:tbl>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3 </w:t>
      </w:r>
      <w:r>
        <w:rPr>
          <w:rFonts w:hint="eastAsia" w:ascii="仿宋_GB2312" w:hAnsi="仿宋" w:eastAsia="仿宋_GB2312"/>
          <w:sz w:val="32"/>
          <w:szCs w:val="32"/>
          <w:lang w:eastAsia="zh-CN"/>
        </w:rPr>
        <w:t>单位</w:t>
      </w:r>
      <w:r>
        <w:rPr>
          <w:rFonts w:hint="eastAsia" w:ascii="仿宋_GB2312" w:hAnsi="仿宋" w:eastAsia="仿宋_GB2312"/>
          <w:sz w:val="32"/>
          <w:szCs w:val="32"/>
        </w:rPr>
        <w:t>支出总表</w:t>
      </w:r>
    </w:p>
    <w:tbl>
      <w:tblPr>
        <w:tblStyle w:val="11"/>
        <w:tblW w:w="15040" w:type="dxa"/>
        <w:tblInd w:w="89" w:type="dxa"/>
        <w:tblLayout w:type="fixed"/>
        <w:tblCellMar>
          <w:top w:w="0" w:type="dxa"/>
          <w:left w:w="108" w:type="dxa"/>
          <w:bottom w:w="0" w:type="dxa"/>
          <w:right w:w="108" w:type="dxa"/>
        </w:tblCellMar>
      </w:tblPr>
      <w:tblGrid>
        <w:gridCol w:w="644"/>
        <w:gridCol w:w="453"/>
        <w:gridCol w:w="453"/>
        <w:gridCol w:w="1613"/>
        <w:gridCol w:w="5884"/>
        <w:gridCol w:w="1619"/>
        <w:gridCol w:w="1613"/>
        <w:gridCol w:w="2761"/>
      </w:tblGrid>
      <w:tr>
        <w:tblPrEx>
          <w:tblLayout w:type="fixed"/>
          <w:tblCellMar>
            <w:top w:w="0" w:type="dxa"/>
            <w:left w:w="108" w:type="dxa"/>
            <w:bottom w:w="0" w:type="dxa"/>
            <w:right w:w="108" w:type="dxa"/>
          </w:tblCellMar>
        </w:tblPrEx>
        <w:trPr>
          <w:trHeight w:val="398" w:hRule="atLeast"/>
        </w:trPr>
        <w:tc>
          <w:tcPr>
            <w:tcW w:w="15040"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lang w:eastAsia="zh-CN"/>
              </w:rPr>
              <w:t>单位</w:t>
            </w:r>
            <w:r>
              <w:rPr>
                <w:rFonts w:hint="eastAsia"/>
                <w:b/>
                <w:bCs/>
                <w:color w:val="000000"/>
                <w:sz w:val="32"/>
                <w:szCs w:val="32"/>
              </w:rPr>
              <w:t>支出总表</w:t>
            </w:r>
          </w:p>
        </w:tc>
      </w:tr>
      <w:tr>
        <w:tblPrEx>
          <w:tblLayout w:type="fixed"/>
          <w:tblCellMar>
            <w:top w:w="0" w:type="dxa"/>
            <w:left w:w="108" w:type="dxa"/>
            <w:bottom w:w="0" w:type="dxa"/>
            <w:right w:w="108" w:type="dxa"/>
          </w:tblCellMar>
        </w:tblPrEx>
        <w:trPr>
          <w:trHeight w:val="342" w:hRule="atLeast"/>
        </w:trPr>
        <w:tc>
          <w:tcPr>
            <w:tcW w:w="9047"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r>
              <w:rPr>
                <w:rFonts w:hint="eastAsia" w:ascii="宋体" w:hAnsi="宋体" w:eastAsia="宋体" w:cs="宋体"/>
                <w:color w:val="000000"/>
                <w:kern w:val="0"/>
                <w:sz w:val="22"/>
              </w:rPr>
              <w:t>九寨沟县市政公用事业服务中心</w:t>
            </w:r>
          </w:p>
        </w:tc>
        <w:tc>
          <w:tcPr>
            <w:tcW w:w="1619"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613"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2761"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9047"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61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61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276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r>
      <w:tr>
        <w:tblPrEx>
          <w:tblLayout w:type="fixed"/>
          <w:tblCellMar>
            <w:top w:w="0" w:type="dxa"/>
            <w:left w:w="108" w:type="dxa"/>
            <w:bottom w:w="0" w:type="dxa"/>
            <w:right w:w="108" w:type="dxa"/>
          </w:tblCellMar>
        </w:tblPrEx>
        <w:trPr>
          <w:trHeight w:val="428" w:hRule="atLeast"/>
        </w:trPr>
        <w:tc>
          <w:tcPr>
            <w:tcW w:w="1550"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1613"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5884"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61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613"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761"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428" w:hRule="atLeast"/>
        </w:trPr>
        <w:tc>
          <w:tcPr>
            <w:tcW w:w="644"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453"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453"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w:t>
            </w:r>
          </w:p>
        </w:tc>
        <w:tc>
          <w:tcPr>
            <w:tcW w:w="1613"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5884"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619"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613"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761"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53"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53"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1613"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5884"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1613"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2761"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61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88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1613"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2761"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61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1613"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2761"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机关事业单位基本养老保险缴费支出</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机关事业单位职业年金缴费支出</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事业单位医疗</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其他行政事业单位医疗支出</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行政运行</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04</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城管执法</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305.59</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305.59</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其他城乡社区公共设施支出</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7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城乡社区环境卫生</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7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r>
      <w:tr>
        <w:tblPrEx>
          <w:tblLayout w:type="fixed"/>
          <w:tblCellMar>
            <w:top w:w="0" w:type="dxa"/>
            <w:left w:w="108" w:type="dxa"/>
            <w:bottom w:w="0" w:type="dxa"/>
            <w:right w:w="108" w:type="dxa"/>
          </w:tblCellMar>
        </w:tblPrEx>
        <w:trPr>
          <w:trHeight w:val="398" w:hRule="atLeast"/>
        </w:trPr>
        <w:tc>
          <w:tcPr>
            <w:tcW w:w="64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45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588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住房公积金</w:t>
            </w:r>
          </w:p>
        </w:tc>
        <w:tc>
          <w:tcPr>
            <w:tcW w:w="1619"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161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7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r>
    </w:tbl>
    <w:p>
      <w:pPr>
        <w:pStyle w:val="2"/>
        <w:ind w:left="0" w:leftChars="0" w:firstLine="0" w:firstLineChars="0"/>
        <w:rPr>
          <w:rFonts w:ascii="仿宋_GB2312" w:hAnsi="仿宋" w:eastAsia="仿宋_GB2312"/>
          <w:sz w:val="32"/>
          <w:szCs w:val="32"/>
        </w:rPr>
      </w:pPr>
    </w:p>
    <w:p>
      <w:pPr>
        <w:pStyle w:val="2"/>
        <w:ind w:left="0" w:leftChars="0" w:firstLine="0" w:firstLineChars="0"/>
        <w:rPr>
          <w:rFonts w:ascii="仿宋_GB2312" w:hAnsi="仿宋" w:eastAsia="仿宋_GB2312"/>
          <w:sz w:val="32"/>
          <w:szCs w:val="32"/>
        </w:rPr>
      </w:pPr>
    </w:p>
    <w:p>
      <w:pPr>
        <w:pStyle w:val="2"/>
        <w:ind w:left="0" w:leftChars="0" w:firstLine="0" w:firstLineChars="0"/>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4</w:t>
      </w:r>
      <w:r>
        <w:rPr>
          <w:rFonts w:hint="eastAsia" w:ascii="仿宋_GB2312" w:hAnsi="仿宋" w:eastAsia="仿宋_GB2312"/>
          <w:sz w:val="32"/>
          <w:szCs w:val="32"/>
        </w:rPr>
        <w:t>财政拨款收支预算总表</w:t>
      </w:r>
    </w:p>
    <w:tbl>
      <w:tblPr>
        <w:tblStyle w:val="11"/>
        <w:tblW w:w="15536" w:type="dxa"/>
        <w:tblInd w:w="78" w:type="dxa"/>
        <w:tblLayout w:type="fixed"/>
        <w:tblCellMar>
          <w:top w:w="0" w:type="dxa"/>
          <w:left w:w="108" w:type="dxa"/>
          <w:bottom w:w="0" w:type="dxa"/>
          <w:right w:w="108" w:type="dxa"/>
        </w:tblCellMar>
      </w:tblPr>
      <w:tblGrid>
        <w:gridCol w:w="3487"/>
        <w:gridCol w:w="1193"/>
        <w:gridCol w:w="3486"/>
        <w:gridCol w:w="1193"/>
        <w:gridCol w:w="1774"/>
        <w:gridCol w:w="2060"/>
        <w:gridCol w:w="2343"/>
      </w:tblGrid>
      <w:tr>
        <w:tblPrEx>
          <w:tblLayout w:type="fixed"/>
          <w:tblCellMar>
            <w:top w:w="0" w:type="dxa"/>
            <w:left w:w="108" w:type="dxa"/>
            <w:bottom w:w="0" w:type="dxa"/>
            <w:right w:w="108" w:type="dxa"/>
          </w:tblCellMar>
        </w:tblPrEx>
        <w:trPr>
          <w:trHeight w:val="398" w:hRule="atLeast"/>
        </w:trPr>
        <w:tc>
          <w:tcPr>
            <w:tcW w:w="15536"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黑体" w:hAnsi="黑体" w:eastAsia="黑体" w:cs="宋体"/>
                <w:b/>
                <w:bCs/>
                <w:color w:val="000000"/>
                <w:sz w:val="32"/>
                <w:szCs w:val="32"/>
              </w:rPr>
            </w:pPr>
            <w:r>
              <w:rPr>
                <w:rFonts w:hint="eastAsia" w:ascii="黑体" w:hAnsi="黑体" w:eastAsia="黑体"/>
                <w:b/>
                <w:bCs/>
                <w:color w:val="000000"/>
                <w:sz w:val="32"/>
                <w:szCs w:val="32"/>
              </w:rPr>
              <w:t>财政拨款收支预算总表</w:t>
            </w:r>
          </w:p>
        </w:tc>
      </w:tr>
      <w:tr>
        <w:tblPrEx>
          <w:tblLayout w:type="fixed"/>
          <w:tblCellMar>
            <w:top w:w="0" w:type="dxa"/>
            <w:left w:w="108" w:type="dxa"/>
            <w:bottom w:w="0" w:type="dxa"/>
            <w:right w:w="108" w:type="dxa"/>
          </w:tblCellMar>
        </w:tblPrEx>
        <w:trPr>
          <w:trHeight w:val="342" w:hRule="atLeast"/>
        </w:trPr>
        <w:tc>
          <w:tcPr>
            <w:tcW w:w="4680"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r>
              <w:rPr>
                <w:rFonts w:hint="eastAsia" w:ascii="宋体" w:hAnsi="宋体" w:eastAsia="宋体" w:cs="宋体"/>
                <w:color w:val="000000"/>
                <w:kern w:val="0"/>
                <w:sz w:val="22"/>
              </w:rPr>
              <w:t>九寨沟县市政公用事业服务中心</w:t>
            </w:r>
          </w:p>
        </w:tc>
        <w:tc>
          <w:tcPr>
            <w:tcW w:w="3486" w:type="dxa"/>
            <w:tcBorders>
              <w:top w:val="nil"/>
              <w:left w:val="nil"/>
              <w:bottom w:val="nil"/>
              <w:right w:val="nil"/>
            </w:tcBorders>
            <w:shd w:val="clear" w:color="auto" w:fill="auto"/>
            <w:vAlign w:val="center"/>
          </w:tcPr>
          <w:p>
            <w:pPr>
              <w:rPr>
                <w:rFonts w:ascii="宋体" w:hAnsi="宋体" w:eastAsia="宋体" w:cs="宋体"/>
                <w:sz w:val="18"/>
                <w:szCs w:val="18"/>
              </w:rPr>
            </w:pPr>
            <w:r>
              <w:rPr>
                <w:rFonts w:hint="eastAsia"/>
                <w:sz w:val="18"/>
                <w:szCs w:val="18"/>
              </w:rPr>
              <w:t>　</w:t>
            </w:r>
          </w:p>
        </w:tc>
        <w:tc>
          <w:tcPr>
            <w:tcW w:w="1193"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1774"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2060"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2343" w:type="dxa"/>
            <w:tcBorders>
              <w:top w:val="nil"/>
              <w:left w:val="single" w:color="FFFFFF" w:sz="4" w:space="0"/>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4680"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收    入</w:t>
            </w:r>
          </w:p>
        </w:tc>
        <w:tc>
          <w:tcPr>
            <w:tcW w:w="10856" w:type="dxa"/>
            <w:gridSpan w:val="5"/>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支    出</w:t>
            </w:r>
          </w:p>
        </w:tc>
      </w:tr>
      <w:tr>
        <w:tblPrEx>
          <w:tblLayout w:type="fixed"/>
          <w:tblCellMar>
            <w:top w:w="0" w:type="dxa"/>
            <w:left w:w="108" w:type="dxa"/>
            <w:bottom w:w="0" w:type="dxa"/>
            <w:right w:w="108" w:type="dxa"/>
          </w:tblCellMar>
        </w:tblPrEx>
        <w:trPr>
          <w:trHeight w:val="428" w:hRule="atLeast"/>
        </w:trPr>
        <w:tc>
          <w:tcPr>
            <w:tcW w:w="3487" w:type="dxa"/>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193"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预算数</w:t>
            </w:r>
          </w:p>
        </w:tc>
        <w:tc>
          <w:tcPr>
            <w:tcW w:w="3486"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193"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774"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w:t>
            </w:r>
          </w:p>
        </w:tc>
        <w:tc>
          <w:tcPr>
            <w:tcW w:w="2060"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政府性基金预算</w:t>
            </w:r>
          </w:p>
        </w:tc>
        <w:tc>
          <w:tcPr>
            <w:tcW w:w="2343"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w:t>
            </w: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一般公共预算拨款收入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一般公共服务支出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政府性基金预算拨款收入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外交支出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国有资本经营预算拨款收入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国防支出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二、上年结转</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公共安全支出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一般公共预算拨款收入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教育支出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政府性基金预算拨款收入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科学技术支出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国有资本经营预算拨款收入</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文化旅游体育与传媒支出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社会保障和就业支出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59.20</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59.20</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社会保险基金支出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卫生健康支出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22.11</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22.11</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节能环保支出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城乡社区支出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867.99</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867.99</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农林水支出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交通运输支出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资源勘探工业信息等支出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商业服务业等支出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金融支出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援助其他地区支出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自然资源海洋气象等支出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住房保障支出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17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粮油物资储备支出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国有资本经营预算支出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灾害防治及应急管理支出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债务还本支出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债务付息支出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债务发行费用支出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487"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48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抗疫特别国债安排的支出</w:t>
            </w:r>
          </w:p>
        </w:tc>
        <w:tc>
          <w:tcPr>
            <w:tcW w:w="119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774"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060"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343"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bl>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
        <w:rPr>
          <w:rFonts w:hint="eastAsia" w:ascii="仿宋_GB2312" w:hAnsi="仿宋" w:eastAsia="仿宋_GB2312"/>
          <w:sz w:val="32"/>
          <w:szCs w:val="32"/>
        </w:rPr>
        <w:t>表</w:t>
      </w:r>
      <w:r>
        <w:rPr>
          <w:rFonts w:ascii="仿宋_GB2312" w:hAnsi="仿宋" w:eastAsia="仿宋_GB2312"/>
          <w:sz w:val="32"/>
          <w:szCs w:val="32"/>
        </w:rPr>
        <w:t>5</w:t>
      </w:r>
      <w:r>
        <w:rPr>
          <w:rFonts w:hint="eastAsia" w:ascii="仿宋_GB2312" w:hAnsi="仿宋" w:eastAsia="仿宋_GB2312"/>
          <w:sz w:val="32"/>
          <w:szCs w:val="32"/>
        </w:rPr>
        <w:t>财政拨款支出预算表（部门经济分类科目）</w:t>
      </w:r>
    </w:p>
    <w:tbl>
      <w:tblPr>
        <w:tblStyle w:val="11"/>
        <w:tblW w:w="15614" w:type="dxa"/>
        <w:tblInd w:w="0" w:type="dxa"/>
        <w:tblLayout w:type="fixed"/>
        <w:tblCellMar>
          <w:top w:w="0" w:type="dxa"/>
          <w:left w:w="108" w:type="dxa"/>
          <w:bottom w:w="0" w:type="dxa"/>
          <w:right w:w="108" w:type="dxa"/>
        </w:tblCellMar>
      </w:tblPr>
      <w:tblGrid>
        <w:gridCol w:w="321"/>
        <w:gridCol w:w="287"/>
        <w:gridCol w:w="448"/>
        <w:gridCol w:w="678"/>
        <w:gridCol w:w="421"/>
        <w:gridCol w:w="421"/>
        <w:gridCol w:w="377"/>
        <w:gridCol w:w="447"/>
        <w:gridCol w:w="447"/>
        <w:gridCol w:w="377"/>
        <w:gridCol w:w="447"/>
        <w:gridCol w:w="447"/>
        <w:gridCol w:w="331"/>
        <w:gridCol w:w="447"/>
        <w:gridCol w:w="447"/>
        <w:gridCol w:w="331"/>
        <w:gridCol w:w="331"/>
        <w:gridCol w:w="447"/>
        <w:gridCol w:w="447"/>
        <w:gridCol w:w="331"/>
        <w:gridCol w:w="447"/>
        <w:gridCol w:w="447"/>
        <w:gridCol w:w="331"/>
        <w:gridCol w:w="447"/>
        <w:gridCol w:w="447"/>
        <w:gridCol w:w="348"/>
        <w:gridCol w:w="348"/>
        <w:gridCol w:w="447"/>
        <w:gridCol w:w="447"/>
        <w:gridCol w:w="331"/>
        <w:gridCol w:w="447"/>
        <w:gridCol w:w="447"/>
        <w:gridCol w:w="331"/>
        <w:gridCol w:w="447"/>
        <w:gridCol w:w="447"/>
        <w:gridCol w:w="331"/>
        <w:gridCol w:w="447"/>
        <w:gridCol w:w="447"/>
      </w:tblGrid>
      <w:tr>
        <w:tblPrEx>
          <w:tblLayout w:type="fixed"/>
          <w:tblCellMar>
            <w:top w:w="0" w:type="dxa"/>
            <w:left w:w="108" w:type="dxa"/>
            <w:bottom w:w="0" w:type="dxa"/>
            <w:right w:w="108" w:type="dxa"/>
          </w:tblCellMar>
        </w:tblPrEx>
        <w:trPr>
          <w:trHeight w:val="398" w:hRule="atLeast"/>
        </w:trPr>
        <w:tc>
          <w:tcPr>
            <w:tcW w:w="15614" w:type="dxa"/>
            <w:gridSpan w:val="3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b/>
                <w:bCs/>
                <w:color w:val="000000"/>
                <w:sz w:val="32"/>
                <w:szCs w:val="32"/>
              </w:rPr>
            </w:pPr>
            <w:r>
              <w:rPr>
                <w:rFonts w:hint="eastAsia"/>
                <w:b/>
                <w:bCs/>
                <w:color w:val="000000"/>
                <w:sz w:val="32"/>
                <w:szCs w:val="32"/>
              </w:rPr>
              <w:t>财政拨款支出预算表（部门经济分类科目）</w:t>
            </w:r>
          </w:p>
          <w:p>
            <w:pPr>
              <w:pStyle w:val="2"/>
              <w:ind w:left="0" w:leftChars="0" w:firstLine="0" w:firstLineChars="0"/>
              <w:rPr>
                <w:sz w:val="22"/>
              </w:rPr>
            </w:pPr>
            <w:r>
              <w:rPr>
                <w:rFonts w:hint="eastAsia"/>
                <w:sz w:val="22"/>
                <w:lang w:eastAsia="zh-CN"/>
              </w:rPr>
              <w:t>单位</w:t>
            </w:r>
            <w:r>
              <w:rPr>
                <w:rFonts w:hint="eastAsia"/>
                <w:sz w:val="22"/>
              </w:rPr>
              <w:t xml:space="preserve">：九寨沟县市政公用事业服务中心                                                                                           </w:t>
            </w: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1734"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421"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总计</w:t>
            </w:r>
          </w:p>
        </w:tc>
        <w:tc>
          <w:tcPr>
            <w:tcW w:w="4188" w:type="dxa"/>
            <w:gridSpan w:val="10"/>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省级当年财政拨款安排</w:t>
            </w:r>
          </w:p>
        </w:tc>
        <w:tc>
          <w:tcPr>
            <w:tcW w:w="4006" w:type="dxa"/>
            <w:gridSpan w:val="10"/>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中央提前通知专项转移支付等</w:t>
            </w:r>
          </w:p>
        </w:tc>
        <w:tc>
          <w:tcPr>
            <w:tcW w:w="5265" w:type="dxa"/>
            <w:gridSpan w:val="1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上年结转安排</w:t>
            </w:r>
          </w:p>
        </w:tc>
      </w:tr>
      <w:tr>
        <w:tblPrEx>
          <w:tblLayout w:type="fixed"/>
          <w:tblCellMar>
            <w:top w:w="0" w:type="dxa"/>
            <w:left w:w="108" w:type="dxa"/>
            <w:bottom w:w="0" w:type="dxa"/>
            <w:right w:w="108" w:type="dxa"/>
          </w:tblCellMar>
        </w:tblPrEx>
        <w:trPr>
          <w:trHeight w:val="428" w:hRule="atLeast"/>
        </w:trPr>
        <w:tc>
          <w:tcPr>
            <w:tcW w:w="608"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448"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678"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421" w:type="dxa"/>
            <w:vMerge w:val="continue"/>
            <w:tcBorders>
              <w:top w:val="single" w:color="C0C0C0" w:sz="4" w:space="0"/>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421"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271"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一般公共预算拨款</w:t>
            </w:r>
          </w:p>
        </w:tc>
        <w:tc>
          <w:tcPr>
            <w:tcW w:w="1271"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政府性基金安排</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国有资本经营预算安排</w:t>
            </w:r>
          </w:p>
        </w:tc>
        <w:tc>
          <w:tcPr>
            <w:tcW w:w="331"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一般公共预算拨款</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政府性基金安排</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国有资本经营预算安排</w:t>
            </w:r>
          </w:p>
        </w:tc>
        <w:tc>
          <w:tcPr>
            <w:tcW w:w="348"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242"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一般公共预算拨款</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政府性基金安排</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国有资本经营预算安排</w:t>
            </w:r>
          </w:p>
        </w:tc>
        <w:tc>
          <w:tcPr>
            <w:tcW w:w="1225"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上年应返还额度结转</w:t>
            </w:r>
          </w:p>
        </w:tc>
      </w:tr>
      <w:tr>
        <w:tblPrEx>
          <w:tblLayout w:type="fixed"/>
          <w:tblCellMar>
            <w:top w:w="0" w:type="dxa"/>
            <w:left w:w="108" w:type="dxa"/>
            <w:bottom w:w="0" w:type="dxa"/>
            <w:right w:w="108" w:type="dxa"/>
          </w:tblCellMar>
        </w:tblPrEx>
        <w:trPr>
          <w:trHeight w:val="428" w:hRule="atLeast"/>
        </w:trPr>
        <w:tc>
          <w:tcPr>
            <w:tcW w:w="321" w:type="dxa"/>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28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448"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678"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421" w:type="dxa"/>
            <w:vMerge w:val="continue"/>
            <w:tcBorders>
              <w:top w:val="single" w:color="C0C0C0" w:sz="4" w:space="0"/>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421"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37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7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48"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348"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c>
          <w:tcPr>
            <w:tcW w:w="331"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447"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678"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4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678" w:type="dxa"/>
            <w:tcBorders>
              <w:top w:val="single" w:color="C0C0C0" w:sz="4" w:space="0"/>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市政公用事业服务中心</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市政公用事业服务中心</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市政公用事业服务中心</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市政公用事业服务中心</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工资福利支出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工资福利支出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工资福利支出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工资福利支出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86.22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17.76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16.37</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0.03</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1.37</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71.61</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7.19</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64.43</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绩效工资</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62.26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38.06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21.14</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18.50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3.61</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1.90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0.48</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1.43</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31.72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109.51</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长聘人员经费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长聘人员经费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长聘人员经费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长聘人员经费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66.40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聘用人员养老保险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聘用人员养老保险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聘用人员养老保险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聘用人员养老保险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22.02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聘用人员医疗保险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聘用人员医疗保险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聘用人员医疗保险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聘用人员医疗保险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16.06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聘用人员工伤保险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聘用人员工伤保险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聘用人员工伤保险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聘用人员工伤保险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聘用人员失业保险</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聘用人员失业保险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聘用人员失业保险</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聘用人员失业保险</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0.83</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聘用人员住房公积金</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聘用人员住房公积金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聘用人员住房公积金</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聘用人员住房公积金</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3.98</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22.72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518.72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22.72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8.00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2.50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46.00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0.72</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2.30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0.30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0.09</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委托业务费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委托业务费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委托业务费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委托业务费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450.00</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27</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3.14</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其他交通费用</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其他交通费用</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其他交通费用</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其他交通费用</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8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48"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509001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其他商品和服务支出</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2.66</w:t>
            </w:r>
          </w:p>
        </w:tc>
        <w:tc>
          <w:tcPr>
            <w:tcW w:w="331" w:type="dxa"/>
            <w:tcBorders>
              <w:top w:val="nil"/>
              <w:left w:val="nil"/>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r>
      <w:tr>
        <w:tblPrEx>
          <w:tblLayout w:type="fixed"/>
          <w:tblCellMar>
            <w:top w:w="0" w:type="dxa"/>
            <w:left w:w="108" w:type="dxa"/>
            <w:bottom w:w="0" w:type="dxa"/>
            <w:right w:w="108" w:type="dxa"/>
          </w:tblCellMar>
        </w:tblPrEx>
        <w:trPr>
          <w:trHeight w:val="398" w:hRule="atLeast"/>
        </w:trPr>
        <w:tc>
          <w:tcPr>
            <w:tcW w:w="321" w:type="dxa"/>
            <w:tcBorders>
              <w:top w:val="nil"/>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28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8"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67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市政公用事业服务中心</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2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7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37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市政公用事业服务中心</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市政公用事业服务中心</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34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331"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市政公用事业服务中心</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981.01</w:t>
            </w:r>
          </w:p>
        </w:tc>
        <w:tc>
          <w:tcPr>
            <w:tcW w:w="447"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485.01</w:t>
            </w:r>
          </w:p>
        </w:tc>
        <w:tc>
          <w:tcPr>
            <w:tcW w:w="331"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i w:val="0"/>
                <w:color w:val="000000"/>
                <w:kern w:val="0"/>
                <w:sz w:val="22"/>
                <w:szCs w:val="22"/>
                <w:u w:val="none"/>
                <w:lang w:val="en-US" w:eastAsia="zh-CN" w:bidi="ar"/>
              </w:rPr>
              <w:t>496.00</w:t>
            </w: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c>
          <w:tcPr>
            <w:tcW w:w="447" w:type="dxa"/>
            <w:tcBorders>
              <w:top w:val="nil"/>
              <w:left w:val="nil"/>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szCs w:val="22"/>
              </w:rPr>
            </w:pPr>
          </w:p>
        </w:tc>
      </w:tr>
    </w:tbl>
    <w:p>
      <w:pPr>
        <w:rPr>
          <w:rFonts w:hint="eastAsia" w:asciiTheme="minorEastAsia" w:hAnsiTheme="minorEastAsia" w:eastAsiaTheme="minorEastAsia" w:cstheme="minorEastAsia"/>
          <w:sz w:val="22"/>
          <w:szCs w:val="22"/>
        </w:rPr>
      </w:pPr>
    </w:p>
    <w:p>
      <w:pPr>
        <w:pStyle w:val="2"/>
        <w:rPr>
          <w:rFonts w:ascii="仿宋_GB2312" w:hAnsi="仿宋" w:eastAsia="仿宋_GB2312"/>
          <w:sz w:val="32"/>
          <w:szCs w:val="32"/>
        </w:rPr>
      </w:pPr>
    </w:p>
    <w:p>
      <w:pPr>
        <w:pStyle w:val="2"/>
        <w:rPr>
          <w:rFonts w:ascii="仿宋_GB2312" w:hAnsi="仿宋" w:eastAsia="仿宋_GB2312"/>
          <w:sz w:val="32"/>
          <w:szCs w:val="32"/>
        </w:rPr>
      </w:pPr>
    </w:p>
    <w:p>
      <w:pPr>
        <w:pStyle w:val="2"/>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tbl>
      <w:tblPr>
        <w:tblStyle w:val="11"/>
        <w:tblW w:w="15614" w:type="dxa"/>
        <w:tblInd w:w="0" w:type="dxa"/>
        <w:tblLayout w:type="fixed"/>
        <w:tblCellMar>
          <w:top w:w="0" w:type="dxa"/>
          <w:left w:w="108" w:type="dxa"/>
          <w:bottom w:w="0" w:type="dxa"/>
          <w:right w:w="108" w:type="dxa"/>
        </w:tblCellMar>
      </w:tblPr>
      <w:tblGrid>
        <w:gridCol w:w="624"/>
        <w:gridCol w:w="456"/>
        <w:gridCol w:w="456"/>
        <w:gridCol w:w="1561"/>
        <w:gridCol w:w="5696"/>
        <w:gridCol w:w="1568"/>
        <w:gridCol w:w="2255"/>
        <w:gridCol w:w="2998"/>
      </w:tblGrid>
      <w:tr>
        <w:tblPrEx>
          <w:tblLayout w:type="fixed"/>
          <w:tblCellMar>
            <w:top w:w="0" w:type="dxa"/>
            <w:left w:w="108" w:type="dxa"/>
            <w:bottom w:w="0" w:type="dxa"/>
            <w:right w:w="108" w:type="dxa"/>
          </w:tblCellMar>
        </w:tblPrEx>
        <w:trPr>
          <w:trHeight w:val="398" w:hRule="atLeast"/>
        </w:trPr>
        <w:tc>
          <w:tcPr>
            <w:tcW w:w="15614"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一般公共预算支出预算表</w:t>
            </w:r>
          </w:p>
        </w:tc>
      </w:tr>
      <w:tr>
        <w:tblPrEx>
          <w:tblLayout w:type="fixed"/>
          <w:tblCellMar>
            <w:top w:w="0" w:type="dxa"/>
            <w:left w:w="108" w:type="dxa"/>
            <w:bottom w:w="0" w:type="dxa"/>
            <w:right w:w="108" w:type="dxa"/>
          </w:tblCellMar>
        </w:tblPrEx>
        <w:trPr>
          <w:trHeight w:val="342" w:hRule="atLeast"/>
        </w:trPr>
        <w:tc>
          <w:tcPr>
            <w:tcW w:w="8793"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r>
              <w:rPr>
                <w:rFonts w:hint="eastAsia" w:ascii="宋体" w:hAnsi="宋体" w:eastAsia="宋体" w:cs="宋体"/>
                <w:color w:val="000000"/>
                <w:kern w:val="0"/>
                <w:sz w:val="22"/>
              </w:rPr>
              <w:t>九寨沟县市政公用事业服务中心</w:t>
            </w:r>
          </w:p>
        </w:tc>
        <w:tc>
          <w:tcPr>
            <w:tcW w:w="1568"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2255"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2998" w:type="dxa"/>
            <w:tcBorders>
              <w:top w:val="nil"/>
              <w:left w:val="single" w:color="FFFFFF" w:sz="4" w:space="0"/>
              <w:bottom w:val="nil"/>
              <w:right w:val="single" w:color="FFFFFF" w:sz="4" w:space="0"/>
            </w:tcBorders>
            <w:shd w:val="clear" w:color="auto" w:fill="auto"/>
            <w:vAlign w:val="center"/>
          </w:tcPr>
          <w:p>
            <w:pPr>
              <w:jc w:val="right"/>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8793"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156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22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当年财政拨款安排</w:t>
            </w:r>
          </w:p>
        </w:tc>
        <w:tc>
          <w:tcPr>
            <w:tcW w:w="2998"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上年结转安排</w:t>
            </w:r>
          </w:p>
        </w:tc>
      </w:tr>
      <w:tr>
        <w:tblPrEx>
          <w:tblLayout w:type="fixed"/>
          <w:tblCellMar>
            <w:top w:w="0" w:type="dxa"/>
            <w:left w:w="108" w:type="dxa"/>
            <w:bottom w:w="0" w:type="dxa"/>
            <w:right w:w="108" w:type="dxa"/>
          </w:tblCellMar>
        </w:tblPrEx>
        <w:trPr>
          <w:trHeight w:val="428" w:hRule="atLeast"/>
        </w:trPr>
        <w:tc>
          <w:tcPr>
            <w:tcW w:w="1536"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1561"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5696"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568"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25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998"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428" w:hRule="atLeast"/>
        </w:trPr>
        <w:tc>
          <w:tcPr>
            <w:tcW w:w="624"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45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45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w:t>
            </w:r>
          </w:p>
        </w:tc>
        <w:tc>
          <w:tcPr>
            <w:tcW w:w="1561"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5696"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568"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25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998"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56"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56"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1561"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5696"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225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981.01</w:t>
            </w:r>
          </w:p>
        </w:tc>
        <w:tc>
          <w:tcPr>
            <w:tcW w:w="2998"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69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25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998"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24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56"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561"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r>
              <w:rPr>
                <w:rFonts w:hint="eastAsia" w:ascii="Dialog . plain" w:hAnsi="Dialog . plain" w:eastAsia="Dialog . plain" w:cs="Dialog . plain"/>
                <w:i w:val="0"/>
                <w:color w:val="000000"/>
                <w:kern w:val="0"/>
                <w:sz w:val="22"/>
                <w:szCs w:val="22"/>
                <w:u w:val="none"/>
                <w:lang w:val="en-US" w:eastAsia="zh-CN" w:bidi="ar"/>
              </w:rPr>
              <w:t>单位</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25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981.01</w:t>
            </w:r>
          </w:p>
        </w:tc>
        <w:tc>
          <w:tcPr>
            <w:tcW w:w="2998"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机关事业单位基本养老保险缴费支出</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机关事业单位职业年金缴费支出</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事业单位医疗</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其他行政事业单位医疗支出</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行政运行</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04</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城管执法</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305.59</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305.59</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其他城乡社区公共设施支出</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城乡社区环境卫生</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24"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221</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w:t>
            </w:r>
          </w:p>
        </w:tc>
        <w:tc>
          <w:tcPr>
            <w:tcW w:w="45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1561"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w:t>
            </w:r>
          </w:p>
        </w:tc>
        <w:tc>
          <w:tcPr>
            <w:tcW w:w="5696"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住房公积金</w:t>
            </w:r>
          </w:p>
        </w:tc>
        <w:tc>
          <w:tcPr>
            <w:tcW w:w="1568"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25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998"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bl>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7 </w:t>
      </w:r>
      <w:r>
        <w:rPr>
          <w:rFonts w:hint="eastAsia" w:ascii="仿宋_GB2312" w:hAnsi="仿宋" w:eastAsia="仿宋_GB2312"/>
          <w:sz w:val="32"/>
          <w:szCs w:val="32"/>
        </w:rPr>
        <w:t>一般公共预算支出预算表</w:t>
      </w:r>
    </w:p>
    <w:tbl>
      <w:tblPr>
        <w:tblStyle w:val="11"/>
        <w:tblW w:w="15539" w:type="dxa"/>
        <w:tblInd w:w="0" w:type="dxa"/>
        <w:tblLayout w:type="fixed"/>
        <w:tblCellMar>
          <w:top w:w="0" w:type="dxa"/>
          <w:left w:w="108" w:type="dxa"/>
          <w:bottom w:w="0" w:type="dxa"/>
          <w:right w:w="108" w:type="dxa"/>
        </w:tblCellMar>
      </w:tblPr>
      <w:tblGrid>
        <w:gridCol w:w="1038"/>
        <w:gridCol w:w="929"/>
        <w:gridCol w:w="1672"/>
        <w:gridCol w:w="6098"/>
        <w:gridCol w:w="1274"/>
        <w:gridCol w:w="1672"/>
        <w:gridCol w:w="2856"/>
      </w:tblGrid>
      <w:tr>
        <w:tblPrEx>
          <w:tblLayout w:type="fixed"/>
          <w:tblCellMar>
            <w:top w:w="0" w:type="dxa"/>
            <w:left w:w="108" w:type="dxa"/>
            <w:bottom w:w="0" w:type="dxa"/>
            <w:right w:w="108" w:type="dxa"/>
          </w:tblCellMar>
        </w:tblPrEx>
        <w:trPr>
          <w:trHeight w:val="398" w:hRule="atLeast"/>
        </w:trPr>
        <w:tc>
          <w:tcPr>
            <w:tcW w:w="15539" w:type="dxa"/>
            <w:gridSpan w:val="7"/>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一般公共预算基本支出预算表</w:t>
            </w:r>
          </w:p>
        </w:tc>
      </w:tr>
      <w:tr>
        <w:tblPrEx>
          <w:tblLayout w:type="fixed"/>
          <w:tblCellMar>
            <w:top w:w="0" w:type="dxa"/>
            <w:left w:w="108" w:type="dxa"/>
            <w:bottom w:w="0" w:type="dxa"/>
            <w:right w:w="108" w:type="dxa"/>
          </w:tblCellMar>
        </w:tblPrEx>
        <w:trPr>
          <w:trHeight w:val="342" w:hRule="atLeast"/>
        </w:trPr>
        <w:tc>
          <w:tcPr>
            <w:tcW w:w="9737" w:type="dxa"/>
            <w:gridSpan w:val="4"/>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r>
              <w:rPr>
                <w:rFonts w:hint="eastAsia" w:ascii="宋体" w:hAnsi="宋体" w:eastAsia="宋体" w:cs="宋体"/>
                <w:color w:val="000000"/>
                <w:kern w:val="0"/>
                <w:sz w:val="22"/>
              </w:rPr>
              <w:t>九寨沟县市政公用事业服务中心</w:t>
            </w:r>
          </w:p>
        </w:tc>
        <w:tc>
          <w:tcPr>
            <w:tcW w:w="1274" w:type="dxa"/>
            <w:tcBorders>
              <w:top w:val="nil"/>
              <w:left w:val="nil"/>
              <w:bottom w:val="nil"/>
              <w:right w:val="nil"/>
            </w:tcBorders>
            <w:shd w:val="clear" w:color="auto" w:fill="auto"/>
            <w:vAlign w:val="center"/>
          </w:tcPr>
          <w:p>
            <w:pPr>
              <w:rPr>
                <w:rFonts w:ascii="宋体" w:hAnsi="宋体" w:eastAsia="宋体" w:cs="宋体"/>
                <w:color w:val="000000"/>
                <w:sz w:val="22"/>
              </w:rPr>
            </w:pPr>
          </w:p>
        </w:tc>
        <w:tc>
          <w:tcPr>
            <w:tcW w:w="1672" w:type="dxa"/>
            <w:tcBorders>
              <w:top w:val="nil"/>
              <w:left w:val="single" w:color="FFFFFF" w:sz="4" w:space="0"/>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2856" w:type="dxa"/>
            <w:tcBorders>
              <w:top w:val="nil"/>
              <w:left w:val="nil"/>
              <w:bottom w:val="nil"/>
              <w:right w:val="single" w:color="FFFFFF" w:sz="4" w:space="0"/>
            </w:tcBorders>
            <w:shd w:val="clear" w:color="auto" w:fill="auto"/>
            <w:vAlign w:val="center"/>
          </w:tcPr>
          <w:p>
            <w:pPr>
              <w:jc w:val="right"/>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9737"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5802" w:type="dxa"/>
            <w:gridSpan w:val="3"/>
            <w:tcBorders>
              <w:top w:val="single" w:color="C0C0C0" w:sz="4" w:space="0"/>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r>
      <w:tr>
        <w:tblPrEx>
          <w:tblLayout w:type="fixed"/>
          <w:tblCellMar>
            <w:top w:w="0" w:type="dxa"/>
            <w:left w:w="108" w:type="dxa"/>
            <w:bottom w:w="0" w:type="dxa"/>
            <w:right w:w="108" w:type="dxa"/>
          </w:tblCellMar>
        </w:tblPrEx>
        <w:trPr>
          <w:trHeight w:val="428" w:hRule="atLeast"/>
        </w:trPr>
        <w:tc>
          <w:tcPr>
            <w:tcW w:w="1967"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1672"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6098"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274"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672"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人员经费</w:t>
            </w:r>
          </w:p>
        </w:tc>
        <w:tc>
          <w:tcPr>
            <w:tcW w:w="2856" w:type="dxa"/>
            <w:vMerge w:val="restart"/>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公用经费</w:t>
            </w:r>
          </w:p>
        </w:tc>
      </w:tr>
      <w:tr>
        <w:tblPrEx>
          <w:tblLayout w:type="fixed"/>
          <w:tblCellMar>
            <w:top w:w="0" w:type="dxa"/>
            <w:left w:w="108" w:type="dxa"/>
            <w:bottom w:w="0" w:type="dxa"/>
            <w:right w:w="108" w:type="dxa"/>
          </w:tblCellMar>
        </w:tblPrEx>
        <w:trPr>
          <w:trHeight w:val="428" w:hRule="atLeast"/>
        </w:trPr>
        <w:tc>
          <w:tcPr>
            <w:tcW w:w="1038" w:type="dxa"/>
            <w:tcBorders>
              <w:top w:val="nil"/>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929" w:type="dxa"/>
            <w:tcBorders>
              <w:top w:val="nil"/>
              <w:left w:val="nil"/>
              <w:bottom w:val="single" w:color="C0C0C0" w:sz="4" w:space="0"/>
              <w:right w:val="single" w:color="C0C0C0"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1672"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6098"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1274"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1672"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c>
          <w:tcPr>
            <w:tcW w:w="2856" w:type="dxa"/>
            <w:vMerge w:val="continue"/>
            <w:tcBorders>
              <w:top w:val="nil"/>
              <w:left w:val="single" w:color="C0C0C0" w:sz="4" w:space="0"/>
              <w:bottom w:val="single" w:color="C0C0C0" w:sz="4" w:space="0"/>
              <w:right w:val="single" w:color="C0C0C0"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b/>
                <w:bCs/>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b/>
                <w:bCs/>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b/>
                <w:bCs/>
                <w:color w:val="000000"/>
                <w:sz w:val="22"/>
              </w:rPr>
            </w:pPr>
          </w:p>
        </w:tc>
        <w:tc>
          <w:tcPr>
            <w:tcW w:w="6098"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274"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485.01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462.29</w:t>
            </w: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22.72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6098" w:type="dxa"/>
            <w:tcBorders>
              <w:top w:val="single" w:color="C0C0C0" w:sz="4" w:space="0"/>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485.01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工资福利支出</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462.29</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基本工资</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86.22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86.22</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津贴补贴</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17.76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17.76</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3010202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艰苦边远地区津贴</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16.37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16.37</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3010203</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高海拔地区折算工龄补贴</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0.03</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3010207</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其他国家津补贴</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1.37</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30103</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奖金</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71.61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71.61</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3010301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年终一次性奖金</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7.19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7.19</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3010302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基础绩效奖</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64.43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64.43</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30107</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绩效工资</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62.26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62.26</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08</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30108</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机关事业单位基本养老保险缴费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38.06</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30109</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职业年金缴费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21.14</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10</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30110</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职工基本医疗保险缴费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18.50</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公务员医疗补助缴费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3.61</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其他社会保障缴费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1.90</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1.90</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3011201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工伤保险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0.48</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0.48</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3011202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失业保险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1.43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1.43</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30113</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住房公积金</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31.72</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其他工资福利支出</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109.51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109.51</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长聘人员经费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66.40</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聘用人员养老保险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22.02</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聘用人员医疗保险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16.06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16.06</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3019913</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聘用人员工伤保险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0.22</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3019914</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聘用人员失业保险</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0.83</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0.83</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301</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3019915</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聘用人员住房公积金</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3.98</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3.98</w:t>
            </w:r>
          </w:p>
        </w:tc>
        <w:tc>
          <w:tcPr>
            <w:tcW w:w="2856"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ajorEastAsia" w:hAnsiTheme="majorEastAsia" w:eastAsiaTheme="majorEastAsia" w:cstheme="majorEastAsia"/>
                <w:color w:val="000000"/>
                <w:sz w:val="22"/>
              </w:rPr>
            </w:pPr>
          </w:p>
        </w:tc>
        <w:tc>
          <w:tcPr>
            <w:tcW w:w="929" w:type="dxa"/>
            <w:tcBorders>
              <w:top w:val="nil"/>
              <w:left w:val="nil"/>
              <w:bottom w:val="single" w:color="C0C0C0" w:sz="4" w:space="0"/>
              <w:right w:val="single" w:color="C0C0C0" w:sz="4" w:space="0"/>
            </w:tcBorders>
            <w:shd w:val="clear" w:color="auto" w:fill="auto"/>
            <w:textDirection w:val="lrTb"/>
            <w:vAlign w:val="center"/>
          </w:tcPr>
          <w:p>
            <w:pPr>
              <w:jc w:val="left"/>
              <w:rPr>
                <w:rFonts w:hint="eastAsia" w:asciiTheme="majorEastAsia" w:hAnsiTheme="majorEastAsia" w:eastAsiaTheme="majorEastAsia" w:cstheme="majorEastAsia"/>
                <w:color w:val="000000"/>
                <w:sz w:val="22"/>
              </w:rPr>
            </w:pP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商品和服务支出</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22.72</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30201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办公费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02</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30202</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印刷费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2.50</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2.50</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07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30207</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邮电费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0.72</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0.72</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11</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30211</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差旅费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2.30</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2.30</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16</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30216</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培训费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0.30</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0.30</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17</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30217</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公务接待费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28</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30228</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工会经费</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3.14</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3.14</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30239</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其他交通费用</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3.01</w:t>
            </w:r>
          </w:p>
        </w:tc>
      </w:tr>
      <w:tr>
        <w:tblPrEx>
          <w:tblLayout w:type="fixed"/>
          <w:tblCellMar>
            <w:top w:w="0" w:type="dxa"/>
            <w:left w:w="108" w:type="dxa"/>
            <w:bottom w:w="0" w:type="dxa"/>
            <w:right w:w="108" w:type="dxa"/>
          </w:tblCellMar>
        </w:tblPrEx>
        <w:trPr>
          <w:trHeight w:val="398" w:hRule="atLeast"/>
        </w:trPr>
        <w:tc>
          <w:tcPr>
            <w:tcW w:w="1038" w:type="dxa"/>
            <w:tcBorders>
              <w:top w:val="nil"/>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302</w:t>
            </w:r>
          </w:p>
        </w:tc>
        <w:tc>
          <w:tcPr>
            <w:tcW w:w="929"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ajorEastAsia" w:hAnsiTheme="majorEastAsia" w:eastAsiaTheme="majorEastAsia" w:cstheme="majorEastAsia"/>
                <w:color w:val="000000"/>
                <w:sz w:val="22"/>
              </w:rPr>
            </w:pPr>
            <w:r>
              <w:rPr>
                <w:rFonts w:hint="eastAsia" w:asciiTheme="majorEastAsia" w:hAnsiTheme="majorEastAsia" w:eastAsiaTheme="majorEastAsia" w:cstheme="majorEastAsia"/>
                <w:i w:val="0"/>
                <w:color w:val="000000"/>
                <w:kern w:val="0"/>
                <w:sz w:val="22"/>
                <w:szCs w:val="22"/>
                <w:u w:val="none"/>
                <w:lang w:val="en-US" w:eastAsia="zh-CN" w:bidi="ar"/>
              </w:rPr>
              <w:t>99</w:t>
            </w:r>
          </w:p>
        </w:tc>
        <w:tc>
          <w:tcPr>
            <w:tcW w:w="1672"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30299</w:t>
            </w:r>
          </w:p>
        </w:tc>
        <w:tc>
          <w:tcPr>
            <w:tcW w:w="6098"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其他商品和服务支出</w:t>
            </w:r>
          </w:p>
        </w:tc>
        <w:tc>
          <w:tcPr>
            <w:tcW w:w="1274"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2.66</w:t>
            </w:r>
          </w:p>
        </w:tc>
        <w:tc>
          <w:tcPr>
            <w:tcW w:w="1672" w:type="dxa"/>
            <w:tcBorders>
              <w:top w:val="nil"/>
              <w:left w:val="nil"/>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2856" w:type="dxa"/>
            <w:tcBorders>
              <w:top w:val="nil"/>
              <w:left w:val="nil"/>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2.66</w:t>
            </w:r>
          </w:p>
        </w:tc>
      </w:tr>
    </w:tbl>
    <w:p>
      <w:pPr>
        <w:pStyle w:val="2"/>
        <w:ind w:left="0" w:leftChars="0" w:firstLine="0" w:firstLineChars="0"/>
        <w:jc w:val="left"/>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tbl>
      <w:tblPr>
        <w:tblStyle w:val="11"/>
        <w:tblW w:w="15614" w:type="dxa"/>
        <w:jc w:val="center"/>
        <w:tblInd w:w="0" w:type="dxa"/>
        <w:tblLayout w:type="fixed"/>
        <w:tblCellMar>
          <w:top w:w="0" w:type="dxa"/>
          <w:left w:w="108" w:type="dxa"/>
          <w:bottom w:w="0" w:type="dxa"/>
          <w:right w:w="108" w:type="dxa"/>
        </w:tblCellMar>
      </w:tblPr>
      <w:tblGrid>
        <w:gridCol w:w="843"/>
        <w:gridCol w:w="637"/>
        <w:gridCol w:w="643"/>
        <w:gridCol w:w="2124"/>
        <w:gridCol w:w="7735"/>
        <w:gridCol w:w="3632"/>
      </w:tblGrid>
      <w:tr>
        <w:tblPrEx>
          <w:tblLayout w:type="fixed"/>
          <w:tblCellMar>
            <w:top w:w="0" w:type="dxa"/>
            <w:left w:w="108" w:type="dxa"/>
            <w:bottom w:w="0" w:type="dxa"/>
            <w:right w:w="108" w:type="dxa"/>
          </w:tblCellMar>
        </w:tblPrEx>
        <w:trPr>
          <w:trHeight w:val="398" w:hRule="atLeast"/>
          <w:jc w:val="center"/>
        </w:trPr>
        <w:tc>
          <w:tcPr>
            <w:tcW w:w="15614"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一般公共预算项目支出预算表</w:t>
            </w:r>
          </w:p>
        </w:tc>
      </w:tr>
      <w:tr>
        <w:tblPrEx>
          <w:tblLayout w:type="fixed"/>
          <w:tblCellMar>
            <w:top w:w="0" w:type="dxa"/>
            <w:left w:w="108" w:type="dxa"/>
            <w:bottom w:w="0" w:type="dxa"/>
            <w:right w:w="108" w:type="dxa"/>
          </w:tblCellMar>
        </w:tblPrEx>
        <w:trPr>
          <w:trHeight w:val="342" w:hRule="atLeast"/>
          <w:jc w:val="center"/>
        </w:trPr>
        <w:tc>
          <w:tcPr>
            <w:tcW w:w="11982"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r>
              <w:rPr>
                <w:rFonts w:hint="eastAsia" w:ascii="宋体" w:hAnsi="宋体" w:eastAsia="宋体" w:cs="宋体"/>
                <w:color w:val="000000"/>
                <w:kern w:val="0"/>
                <w:sz w:val="22"/>
              </w:rPr>
              <w:t>九寨沟县市政公用事业服务中心</w:t>
            </w:r>
          </w:p>
        </w:tc>
        <w:tc>
          <w:tcPr>
            <w:tcW w:w="3632"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jc w:val="center"/>
        </w:trPr>
        <w:tc>
          <w:tcPr>
            <w:tcW w:w="2123"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212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773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363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金额</w:t>
            </w:r>
          </w:p>
        </w:tc>
      </w:tr>
      <w:tr>
        <w:tblPrEx>
          <w:tblLayout w:type="fixed"/>
          <w:tblCellMar>
            <w:top w:w="0" w:type="dxa"/>
            <w:left w:w="108" w:type="dxa"/>
            <w:bottom w:w="0" w:type="dxa"/>
            <w:right w:w="108" w:type="dxa"/>
          </w:tblCellMar>
        </w:tblPrEx>
        <w:trPr>
          <w:trHeight w:val="428" w:hRule="atLeast"/>
          <w:jc w:val="center"/>
        </w:trPr>
        <w:tc>
          <w:tcPr>
            <w:tcW w:w="843"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637"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643"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w:t>
            </w:r>
          </w:p>
        </w:tc>
        <w:tc>
          <w:tcPr>
            <w:tcW w:w="2124"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7735"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363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637"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643"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2124" w:type="dxa"/>
            <w:tcBorders>
              <w:top w:val="nil"/>
              <w:left w:val="nil"/>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773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其他城乡社区公共设施支出</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637"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64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99</w:t>
            </w:r>
          </w:p>
        </w:tc>
        <w:tc>
          <w:tcPr>
            <w:tcW w:w="212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城区内市政路灯电费</w:t>
            </w: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城乡社区环境卫生</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637"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643"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124"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城区清扫保洁和园林绿化市场化采购项目</w:t>
            </w: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450.00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center"/>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center"/>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center"/>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center"/>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center"/>
              <w:textAlignment w:val="center"/>
              <w:rPr>
                <w:rFonts w:ascii="宋体" w:hAnsi="宋体" w:eastAsia="宋体" w:cs="宋体"/>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b/>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3632"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496.00</w:t>
            </w:r>
          </w:p>
        </w:tc>
      </w:tr>
      <w:tr>
        <w:tblPrEx>
          <w:tblLayout w:type="fixed"/>
          <w:tblCellMar>
            <w:top w:w="0" w:type="dxa"/>
            <w:left w:w="108" w:type="dxa"/>
            <w:bottom w:w="0" w:type="dxa"/>
            <w:right w:w="108" w:type="dxa"/>
          </w:tblCellMar>
        </w:tblPrEx>
        <w:trPr>
          <w:trHeight w:val="398" w:hRule="atLeast"/>
          <w:jc w:val="center"/>
        </w:trPr>
        <w:tc>
          <w:tcPr>
            <w:tcW w:w="843"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43"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24"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73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其他城乡社区公共设施支出</w:t>
            </w:r>
          </w:p>
        </w:tc>
        <w:tc>
          <w:tcPr>
            <w:tcW w:w="3632"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46.00</w:t>
            </w:r>
          </w:p>
        </w:tc>
      </w:tr>
    </w:tbl>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tbl>
      <w:tblPr>
        <w:tblStyle w:val="11"/>
        <w:tblW w:w="15614" w:type="dxa"/>
        <w:tblInd w:w="0" w:type="dxa"/>
        <w:tblLayout w:type="fixed"/>
        <w:tblCellMar>
          <w:top w:w="0" w:type="dxa"/>
          <w:left w:w="108" w:type="dxa"/>
          <w:bottom w:w="0" w:type="dxa"/>
          <w:right w:w="108" w:type="dxa"/>
        </w:tblCellMar>
      </w:tblPr>
      <w:tblGrid>
        <w:gridCol w:w="1272"/>
        <w:gridCol w:w="4637"/>
        <w:gridCol w:w="665"/>
        <w:gridCol w:w="1836"/>
        <w:gridCol w:w="662"/>
        <w:gridCol w:w="2186"/>
        <w:gridCol w:w="2186"/>
        <w:gridCol w:w="2170"/>
      </w:tblGrid>
      <w:tr>
        <w:tblPrEx>
          <w:tblLayout w:type="fixed"/>
          <w:tblCellMar>
            <w:top w:w="0" w:type="dxa"/>
            <w:left w:w="108" w:type="dxa"/>
            <w:bottom w:w="0" w:type="dxa"/>
            <w:right w:w="108" w:type="dxa"/>
          </w:tblCellMar>
        </w:tblPrEx>
        <w:trPr>
          <w:trHeight w:val="398" w:hRule="atLeast"/>
        </w:trPr>
        <w:tc>
          <w:tcPr>
            <w:tcW w:w="15614"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一般公共预算“三公”经费支出预算表</w:t>
            </w:r>
          </w:p>
        </w:tc>
      </w:tr>
      <w:tr>
        <w:tblPrEx>
          <w:tblLayout w:type="fixed"/>
          <w:tblCellMar>
            <w:top w:w="0" w:type="dxa"/>
            <w:left w:w="108" w:type="dxa"/>
            <w:bottom w:w="0" w:type="dxa"/>
            <w:right w:w="108" w:type="dxa"/>
          </w:tblCellMar>
        </w:tblPrEx>
        <w:trPr>
          <w:trHeight w:val="342" w:hRule="atLeast"/>
        </w:trPr>
        <w:tc>
          <w:tcPr>
            <w:tcW w:w="5909"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r>
              <w:rPr>
                <w:rFonts w:hint="eastAsia" w:ascii="宋体" w:hAnsi="宋体" w:eastAsia="宋体" w:cs="宋体"/>
                <w:color w:val="000000"/>
                <w:kern w:val="0"/>
                <w:sz w:val="22"/>
              </w:rPr>
              <w:t>九寨沟县市政公用事业服务中心</w:t>
            </w:r>
          </w:p>
        </w:tc>
        <w:tc>
          <w:tcPr>
            <w:tcW w:w="665"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183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662"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8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8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70"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127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单位编码</w:t>
            </w:r>
          </w:p>
        </w:tc>
        <w:tc>
          <w:tcPr>
            <w:tcW w:w="463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9705" w:type="dxa"/>
            <w:gridSpan w:val="6"/>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当年财政拨款预算安排</w:t>
            </w:r>
          </w:p>
        </w:tc>
      </w:tr>
      <w:tr>
        <w:tblPrEx>
          <w:tblLayout w:type="fixed"/>
          <w:tblCellMar>
            <w:top w:w="0" w:type="dxa"/>
            <w:left w:w="108" w:type="dxa"/>
            <w:bottom w:w="0" w:type="dxa"/>
            <w:right w:w="108" w:type="dxa"/>
          </w:tblCellMar>
        </w:tblPrEx>
        <w:trPr>
          <w:trHeight w:val="428" w:hRule="atLeast"/>
        </w:trPr>
        <w:tc>
          <w:tcPr>
            <w:tcW w:w="127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4637"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5"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836"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因公出国（境）费用</w:t>
            </w:r>
          </w:p>
        </w:tc>
        <w:tc>
          <w:tcPr>
            <w:tcW w:w="5034" w:type="dxa"/>
            <w:gridSpan w:val="3"/>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公务用车购置及运行费</w:t>
            </w:r>
          </w:p>
        </w:tc>
        <w:tc>
          <w:tcPr>
            <w:tcW w:w="2170"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公务接待费</w:t>
            </w:r>
          </w:p>
        </w:tc>
      </w:tr>
      <w:tr>
        <w:tblPrEx>
          <w:tblLayout w:type="fixed"/>
          <w:tblCellMar>
            <w:top w:w="0" w:type="dxa"/>
            <w:left w:w="108" w:type="dxa"/>
            <w:bottom w:w="0" w:type="dxa"/>
            <w:right w:w="108" w:type="dxa"/>
          </w:tblCellMar>
        </w:tblPrEx>
        <w:trPr>
          <w:trHeight w:val="428" w:hRule="atLeast"/>
        </w:trPr>
        <w:tc>
          <w:tcPr>
            <w:tcW w:w="127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4637"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5"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836"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2"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218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公务用车购置费</w:t>
            </w:r>
          </w:p>
        </w:tc>
        <w:tc>
          <w:tcPr>
            <w:tcW w:w="218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公务用车运行费</w:t>
            </w:r>
          </w:p>
        </w:tc>
        <w:tc>
          <w:tcPr>
            <w:tcW w:w="2170"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bCs/>
                <w:color w:val="000000"/>
                <w:sz w:val="22"/>
              </w:rPr>
            </w:pPr>
          </w:p>
        </w:tc>
        <w:tc>
          <w:tcPr>
            <w:tcW w:w="4637"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66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0.09</w:t>
            </w:r>
          </w:p>
        </w:tc>
        <w:tc>
          <w:tcPr>
            <w:tcW w:w="183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c>
          <w:tcPr>
            <w:tcW w:w="662"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c>
          <w:tcPr>
            <w:tcW w:w="218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c>
          <w:tcPr>
            <w:tcW w:w="218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b/>
                <w:bCs/>
                <w:color w:val="000000"/>
                <w:sz w:val="22"/>
              </w:rPr>
            </w:pPr>
          </w:p>
        </w:tc>
        <w:tc>
          <w:tcPr>
            <w:tcW w:w="2170"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b/>
                <w:bCs/>
                <w:color w:val="000000"/>
                <w:sz w:val="22"/>
              </w:rPr>
            </w:pPr>
            <w:r>
              <w:rPr>
                <w:rFonts w:hint="eastAsia" w:ascii="宋体" w:hAnsi="宋体" w:eastAsia="宋体" w:cs="宋体"/>
                <w:b/>
                <w:i w:val="0"/>
                <w:color w:val="000000"/>
                <w:kern w:val="0"/>
                <w:sz w:val="22"/>
                <w:szCs w:val="22"/>
                <w:u w:val="none"/>
                <w:lang w:val="en-US" w:eastAsia="zh-CN" w:bidi="ar"/>
              </w:rPr>
              <w:t>0.09</w:t>
            </w: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637" w:type="dxa"/>
            <w:tcBorders>
              <w:top w:val="nil"/>
              <w:left w:val="nil"/>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665"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c>
          <w:tcPr>
            <w:tcW w:w="183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662"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18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186" w:type="dxa"/>
            <w:tcBorders>
              <w:top w:val="nil"/>
              <w:left w:val="nil"/>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170" w:type="dxa"/>
            <w:tcBorders>
              <w:top w:val="nil"/>
              <w:left w:val="nil"/>
              <w:bottom w:val="single" w:color="C2C3C4" w:sz="4" w:space="0"/>
              <w:right w:val="single" w:color="C2C3C4"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509001</w:t>
            </w:r>
          </w:p>
        </w:tc>
        <w:tc>
          <w:tcPr>
            <w:tcW w:w="4637"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市政公用事业服务中心</w:t>
            </w:r>
          </w:p>
        </w:tc>
        <w:tc>
          <w:tcPr>
            <w:tcW w:w="665"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c>
          <w:tcPr>
            <w:tcW w:w="1836"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662"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186"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186" w:type="dxa"/>
            <w:tcBorders>
              <w:top w:val="nil"/>
              <w:left w:val="nil"/>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170" w:type="dxa"/>
            <w:tcBorders>
              <w:top w:val="nil"/>
              <w:left w:val="nil"/>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0.09</w:t>
            </w:r>
          </w:p>
        </w:tc>
      </w:tr>
    </w:tbl>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p>
    <w:p>
      <w:pPr>
        <w:rPr>
          <w:rFonts w:ascii="仿宋_GB2312" w:hAnsi="仿宋" w:eastAsia="仿宋_GB2312"/>
          <w:sz w:val="32"/>
          <w:szCs w:val="32"/>
        </w:rPr>
      </w:pPr>
      <w:r>
        <w:rPr>
          <w:rFonts w:hint="eastAsia" w:ascii="仿宋_GB2312" w:hAnsi="仿宋" w:eastAsia="仿宋_GB2312"/>
          <w:sz w:val="32"/>
          <w:szCs w:val="32"/>
        </w:rPr>
        <w:t>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政府性基金预算支出预算表</w:t>
      </w:r>
    </w:p>
    <w:tbl>
      <w:tblPr>
        <w:tblStyle w:val="11"/>
        <w:tblW w:w="15614" w:type="dxa"/>
        <w:tblInd w:w="0" w:type="dxa"/>
        <w:tblLayout w:type="fixed"/>
        <w:tblCellMar>
          <w:top w:w="0" w:type="dxa"/>
          <w:left w:w="108" w:type="dxa"/>
          <w:bottom w:w="0" w:type="dxa"/>
          <w:right w:w="108" w:type="dxa"/>
        </w:tblCellMar>
      </w:tblPr>
      <w:tblGrid>
        <w:gridCol w:w="686"/>
        <w:gridCol w:w="484"/>
        <w:gridCol w:w="484"/>
        <w:gridCol w:w="1721"/>
        <w:gridCol w:w="6271"/>
        <w:gridCol w:w="1312"/>
        <w:gridCol w:w="1721"/>
        <w:gridCol w:w="2935"/>
      </w:tblGrid>
      <w:tr>
        <w:tblPrEx>
          <w:tblLayout w:type="fixed"/>
          <w:tblCellMar>
            <w:top w:w="0" w:type="dxa"/>
            <w:left w:w="108" w:type="dxa"/>
            <w:bottom w:w="0" w:type="dxa"/>
            <w:right w:w="108" w:type="dxa"/>
          </w:tblCellMar>
        </w:tblPrEx>
        <w:trPr>
          <w:trHeight w:val="398" w:hRule="atLeast"/>
        </w:trPr>
        <w:tc>
          <w:tcPr>
            <w:tcW w:w="15614"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 xml:space="preserve">政府性基金预算支出预算表 </w:t>
            </w:r>
          </w:p>
        </w:tc>
      </w:tr>
      <w:tr>
        <w:tblPrEx>
          <w:tblLayout w:type="fixed"/>
          <w:tblCellMar>
            <w:top w:w="0" w:type="dxa"/>
            <w:left w:w="108" w:type="dxa"/>
            <w:bottom w:w="0" w:type="dxa"/>
            <w:right w:w="108" w:type="dxa"/>
          </w:tblCellMar>
        </w:tblPrEx>
        <w:trPr>
          <w:trHeight w:val="342" w:hRule="atLeast"/>
        </w:trPr>
        <w:tc>
          <w:tcPr>
            <w:tcW w:w="9646" w:type="dxa"/>
            <w:gridSpan w:val="5"/>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r>
              <w:rPr>
                <w:rFonts w:hint="eastAsia" w:ascii="宋体" w:hAnsi="宋体" w:eastAsia="宋体" w:cs="宋体"/>
                <w:color w:val="000000"/>
                <w:kern w:val="0"/>
                <w:sz w:val="22"/>
              </w:rPr>
              <w:t>九寨沟县市政公用事业服务中心</w:t>
            </w:r>
          </w:p>
        </w:tc>
        <w:tc>
          <w:tcPr>
            <w:tcW w:w="1312"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1721" w:type="dxa"/>
            <w:tcBorders>
              <w:top w:val="nil"/>
              <w:left w:val="nil"/>
              <w:bottom w:val="nil"/>
              <w:right w:val="single" w:color="FFFFFF" w:sz="4" w:space="0"/>
            </w:tcBorders>
            <w:shd w:val="clear" w:color="auto" w:fill="auto"/>
            <w:vAlign w:val="center"/>
          </w:tcPr>
          <w:p>
            <w:pPr>
              <w:rPr>
                <w:rFonts w:ascii="宋体" w:hAnsi="宋体" w:eastAsia="宋体" w:cs="宋体"/>
                <w:color w:val="000000"/>
                <w:sz w:val="18"/>
                <w:szCs w:val="18"/>
              </w:rPr>
            </w:pPr>
            <w:r>
              <w:rPr>
                <w:rFonts w:hint="eastAsia"/>
                <w:color w:val="000000"/>
                <w:sz w:val="18"/>
                <w:szCs w:val="18"/>
              </w:rPr>
              <w:t>　</w:t>
            </w:r>
          </w:p>
        </w:tc>
        <w:tc>
          <w:tcPr>
            <w:tcW w:w="2935"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9646"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    目</w:t>
            </w:r>
          </w:p>
        </w:tc>
        <w:tc>
          <w:tcPr>
            <w:tcW w:w="5968" w:type="dxa"/>
            <w:gridSpan w:val="3"/>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本年政府性基金预算支出</w:t>
            </w:r>
          </w:p>
        </w:tc>
      </w:tr>
      <w:tr>
        <w:tblPrEx>
          <w:tblLayout w:type="fixed"/>
          <w:tblCellMar>
            <w:top w:w="0" w:type="dxa"/>
            <w:left w:w="108" w:type="dxa"/>
            <w:bottom w:w="0" w:type="dxa"/>
            <w:right w:w="108" w:type="dxa"/>
          </w:tblCellMar>
        </w:tblPrEx>
        <w:trPr>
          <w:trHeight w:val="428" w:hRule="atLeast"/>
        </w:trPr>
        <w:tc>
          <w:tcPr>
            <w:tcW w:w="1654"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科目编码</w:t>
            </w:r>
          </w:p>
        </w:tc>
        <w:tc>
          <w:tcPr>
            <w:tcW w:w="1721"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单位代码</w:t>
            </w:r>
          </w:p>
        </w:tc>
        <w:tc>
          <w:tcPr>
            <w:tcW w:w="6271"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1312"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721"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基本支出</w:t>
            </w:r>
          </w:p>
        </w:tc>
        <w:tc>
          <w:tcPr>
            <w:tcW w:w="2935"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项目支出</w:t>
            </w:r>
          </w:p>
        </w:tc>
      </w:tr>
      <w:tr>
        <w:tblPrEx>
          <w:tblLayout w:type="fixed"/>
          <w:tblCellMar>
            <w:top w:w="0" w:type="dxa"/>
            <w:left w:w="108" w:type="dxa"/>
            <w:bottom w:w="0" w:type="dxa"/>
            <w:right w:w="108" w:type="dxa"/>
          </w:tblCellMar>
        </w:tblPrEx>
        <w:trPr>
          <w:trHeight w:val="428" w:hRule="atLeast"/>
        </w:trPr>
        <w:tc>
          <w:tcPr>
            <w:tcW w:w="686" w:type="dxa"/>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类</w:t>
            </w:r>
          </w:p>
        </w:tc>
        <w:tc>
          <w:tcPr>
            <w:tcW w:w="484"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款</w:t>
            </w:r>
          </w:p>
        </w:tc>
        <w:tc>
          <w:tcPr>
            <w:tcW w:w="484"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项</w:t>
            </w:r>
          </w:p>
        </w:tc>
        <w:tc>
          <w:tcPr>
            <w:tcW w:w="1721"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271"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312"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721"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2935"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86" w:type="dxa"/>
            <w:tcBorders>
              <w:top w:val="nil"/>
              <w:left w:val="single" w:color="C2C3C4" w:sz="4" w:space="0"/>
              <w:bottom w:val="single" w:color="C2C3C4" w:sz="4" w:space="0"/>
              <w:right w:val="single" w:color="C2C3C4" w:sz="4" w:space="0"/>
            </w:tcBorders>
            <w:shd w:val="clear" w:color="auto" w:fill="auto"/>
            <w:vAlign w:val="center"/>
          </w:tcPr>
          <w:p>
            <w:pPr>
              <w:jc w:val="both"/>
              <w:rPr>
                <w:rFonts w:ascii="宋体" w:hAnsi="宋体" w:eastAsia="宋体" w:cs="宋体"/>
                <w:b/>
                <w:bCs/>
                <w:color w:val="000000"/>
                <w:sz w:val="22"/>
              </w:rPr>
            </w:pPr>
          </w:p>
        </w:tc>
        <w:tc>
          <w:tcPr>
            <w:tcW w:w="484" w:type="dxa"/>
            <w:tcBorders>
              <w:top w:val="nil"/>
              <w:left w:val="nil"/>
              <w:bottom w:val="single" w:color="C2C3C4" w:sz="4" w:space="0"/>
              <w:right w:val="single" w:color="C2C3C4" w:sz="4" w:space="0"/>
            </w:tcBorders>
            <w:shd w:val="clear" w:color="auto" w:fill="auto"/>
            <w:vAlign w:val="center"/>
          </w:tcPr>
          <w:p>
            <w:pPr>
              <w:jc w:val="both"/>
              <w:rPr>
                <w:rFonts w:ascii="宋体" w:hAnsi="宋体" w:eastAsia="宋体" w:cs="宋体"/>
                <w:b/>
                <w:bCs/>
                <w:color w:val="000000"/>
                <w:sz w:val="22"/>
              </w:rPr>
            </w:pPr>
          </w:p>
        </w:tc>
        <w:tc>
          <w:tcPr>
            <w:tcW w:w="484" w:type="dxa"/>
            <w:tcBorders>
              <w:top w:val="nil"/>
              <w:left w:val="nil"/>
              <w:bottom w:val="single" w:color="C2C3C4" w:sz="4" w:space="0"/>
              <w:right w:val="single" w:color="C2C3C4" w:sz="4" w:space="0"/>
            </w:tcBorders>
            <w:shd w:val="clear" w:color="auto" w:fill="auto"/>
            <w:vAlign w:val="center"/>
          </w:tcPr>
          <w:p>
            <w:pPr>
              <w:jc w:val="both"/>
              <w:rPr>
                <w:rFonts w:ascii="宋体" w:hAnsi="宋体" w:eastAsia="宋体" w:cs="宋体"/>
                <w:b/>
                <w:bCs/>
                <w:color w:val="000000"/>
                <w:sz w:val="22"/>
              </w:rPr>
            </w:pPr>
          </w:p>
        </w:tc>
        <w:tc>
          <w:tcPr>
            <w:tcW w:w="1721" w:type="dxa"/>
            <w:tcBorders>
              <w:top w:val="nil"/>
              <w:left w:val="nil"/>
              <w:bottom w:val="single" w:color="C2C3C4" w:sz="4" w:space="0"/>
              <w:right w:val="single" w:color="C2C3C4" w:sz="4" w:space="0"/>
            </w:tcBorders>
            <w:shd w:val="clear" w:color="auto" w:fill="auto"/>
            <w:vAlign w:val="center"/>
          </w:tcPr>
          <w:p>
            <w:pPr>
              <w:jc w:val="both"/>
              <w:rPr>
                <w:rFonts w:ascii="宋体" w:hAnsi="宋体" w:eastAsia="宋体" w:cs="宋体"/>
                <w:b/>
                <w:bCs/>
                <w:color w:val="000000"/>
                <w:sz w:val="22"/>
              </w:rPr>
            </w:pPr>
          </w:p>
        </w:tc>
        <w:tc>
          <w:tcPr>
            <w:tcW w:w="6271" w:type="dxa"/>
            <w:tcBorders>
              <w:top w:val="nil"/>
              <w:left w:val="nil"/>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合    计</w:t>
            </w:r>
          </w:p>
        </w:tc>
        <w:tc>
          <w:tcPr>
            <w:tcW w:w="131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p>
        </w:tc>
        <w:tc>
          <w:tcPr>
            <w:tcW w:w="172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293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68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627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31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93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8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627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31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935"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trHeight w:val="398" w:hRule="atLeast"/>
        </w:trPr>
        <w:tc>
          <w:tcPr>
            <w:tcW w:w="686"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484"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6271"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p>
        </w:tc>
        <w:tc>
          <w:tcPr>
            <w:tcW w:w="131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21"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2935"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仿宋_GB2312" w:hAnsi="仿宋" w:eastAsia="仿宋_GB2312"/>
          <w:sz w:val="32"/>
          <w:szCs w:val="32"/>
        </w:rPr>
      </w:pPr>
      <w:r>
        <w:rPr>
          <w:rFonts w:hint="eastAsia" w:ascii="仿宋_GB2312" w:hAnsi="仿宋" w:eastAsia="仿宋_GB2312"/>
          <w:sz w:val="32"/>
          <w:szCs w:val="32"/>
        </w:rPr>
        <w:t>空表说明：此表无内容</w:t>
      </w: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pPr>
    </w:p>
    <w:p>
      <w:pPr/>
      <w:r>
        <w:rPr>
          <w:rFonts w:hint="eastAsia" w:ascii="仿宋_GB2312" w:hAnsi="仿宋" w:eastAsia="仿宋_GB2312"/>
          <w:sz w:val="32"/>
          <w:szCs w:val="32"/>
        </w:rPr>
        <w:t>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tbl>
      <w:tblPr>
        <w:tblStyle w:val="11"/>
        <w:tblW w:w="15614" w:type="dxa"/>
        <w:tblInd w:w="0" w:type="dxa"/>
        <w:tblLayout w:type="fixed"/>
        <w:tblCellMar>
          <w:top w:w="0" w:type="dxa"/>
          <w:left w:w="108" w:type="dxa"/>
          <w:bottom w:w="0" w:type="dxa"/>
          <w:right w:w="108" w:type="dxa"/>
        </w:tblCellMar>
      </w:tblPr>
      <w:tblGrid>
        <w:gridCol w:w="1272"/>
        <w:gridCol w:w="4637"/>
        <w:gridCol w:w="662"/>
        <w:gridCol w:w="1836"/>
        <w:gridCol w:w="662"/>
        <w:gridCol w:w="2186"/>
        <w:gridCol w:w="2186"/>
        <w:gridCol w:w="2173"/>
      </w:tblGrid>
      <w:tr>
        <w:tblPrEx>
          <w:tblLayout w:type="fixed"/>
          <w:tblCellMar>
            <w:top w:w="0" w:type="dxa"/>
            <w:left w:w="108" w:type="dxa"/>
            <w:bottom w:w="0" w:type="dxa"/>
            <w:right w:w="108" w:type="dxa"/>
          </w:tblCellMar>
        </w:tblPrEx>
        <w:trPr>
          <w:trHeight w:val="398" w:hRule="atLeast"/>
        </w:trPr>
        <w:tc>
          <w:tcPr>
            <w:tcW w:w="15614"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jc w:val="center"/>
              <w:rPr>
                <w:rFonts w:ascii="宋体" w:hAnsi="宋体" w:eastAsia="宋体" w:cs="宋体"/>
                <w:b/>
                <w:bCs/>
                <w:color w:val="000000"/>
                <w:sz w:val="32"/>
                <w:szCs w:val="32"/>
              </w:rPr>
            </w:pPr>
            <w:r>
              <w:rPr>
                <w:rFonts w:hint="eastAsia"/>
                <w:b/>
                <w:bCs/>
                <w:color w:val="000000"/>
                <w:sz w:val="32"/>
                <w:szCs w:val="32"/>
              </w:rPr>
              <w:t>政府性基金预算“三公”经费支出预算表</w:t>
            </w:r>
          </w:p>
        </w:tc>
      </w:tr>
      <w:tr>
        <w:tblPrEx>
          <w:tblLayout w:type="fixed"/>
          <w:tblCellMar>
            <w:top w:w="0" w:type="dxa"/>
            <w:left w:w="108" w:type="dxa"/>
            <w:bottom w:w="0" w:type="dxa"/>
            <w:right w:w="108" w:type="dxa"/>
          </w:tblCellMar>
        </w:tblPrEx>
        <w:trPr>
          <w:trHeight w:val="342" w:hRule="atLeast"/>
        </w:trPr>
        <w:tc>
          <w:tcPr>
            <w:tcW w:w="5909" w:type="dxa"/>
            <w:gridSpan w:val="2"/>
            <w:tcBorders>
              <w:top w:val="single" w:color="FFFFFF" w:sz="4" w:space="0"/>
              <w:left w:val="single" w:color="FFFFFF" w:sz="4" w:space="0"/>
              <w:bottom w:val="nil"/>
              <w:right w:val="single" w:color="FFFFFF" w:sz="4" w:space="0"/>
            </w:tcBorders>
            <w:shd w:val="clear" w:color="auto" w:fill="auto"/>
            <w:vAlign w:val="center"/>
          </w:tcPr>
          <w:p>
            <w:pPr>
              <w:rPr>
                <w:rFonts w:ascii="宋体" w:hAnsi="宋体" w:eastAsia="宋体" w:cs="宋体"/>
                <w:color w:val="000000"/>
                <w:sz w:val="22"/>
              </w:rPr>
            </w:pPr>
            <w:r>
              <w:rPr>
                <w:rFonts w:hint="eastAsia"/>
                <w:color w:val="000000"/>
                <w:sz w:val="22"/>
                <w:lang w:eastAsia="zh-CN"/>
              </w:rPr>
              <w:t>单位</w:t>
            </w:r>
            <w:r>
              <w:rPr>
                <w:rFonts w:hint="eastAsia"/>
                <w:color w:val="000000"/>
                <w:sz w:val="22"/>
              </w:rPr>
              <w:t>：</w:t>
            </w:r>
            <w:r>
              <w:rPr>
                <w:rFonts w:hint="eastAsia" w:ascii="宋体" w:hAnsi="宋体" w:eastAsia="宋体" w:cs="宋体"/>
                <w:color w:val="000000"/>
                <w:kern w:val="0"/>
                <w:sz w:val="22"/>
              </w:rPr>
              <w:t>九寨沟县市政公用事业服务中心</w:t>
            </w:r>
          </w:p>
        </w:tc>
        <w:tc>
          <w:tcPr>
            <w:tcW w:w="662"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183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662"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8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86"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　</w:t>
            </w:r>
          </w:p>
        </w:tc>
        <w:tc>
          <w:tcPr>
            <w:tcW w:w="2173" w:type="dxa"/>
            <w:tcBorders>
              <w:top w:val="nil"/>
              <w:left w:val="nil"/>
              <w:bottom w:val="nil"/>
              <w:right w:val="single" w:color="FFFFFF" w:sz="4" w:space="0"/>
            </w:tcBorders>
            <w:shd w:val="clear" w:color="auto" w:fill="auto"/>
            <w:vAlign w:val="center"/>
          </w:tcPr>
          <w:p>
            <w:pPr>
              <w:jc w:val="center"/>
              <w:rPr>
                <w:rFonts w:ascii="宋体" w:hAnsi="宋体" w:eastAsia="宋体" w:cs="宋体"/>
                <w:color w:val="000000"/>
                <w:sz w:val="22"/>
              </w:rPr>
            </w:pPr>
            <w:r>
              <w:rPr>
                <w:rFonts w:hint="eastAsia"/>
                <w:color w:val="000000"/>
                <w:sz w:val="22"/>
              </w:rPr>
              <w:t>金额单位：万元</w:t>
            </w:r>
          </w:p>
        </w:tc>
      </w:tr>
      <w:tr>
        <w:tblPrEx>
          <w:tblLayout w:type="fixed"/>
          <w:tblCellMar>
            <w:top w:w="0" w:type="dxa"/>
            <w:left w:w="108" w:type="dxa"/>
            <w:bottom w:w="0" w:type="dxa"/>
            <w:right w:w="108" w:type="dxa"/>
          </w:tblCellMar>
        </w:tblPrEx>
        <w:trPr>
          <w:trHeight w:val="428" w:hRule="atLeast"/>
        </w:trPr>
        <w:tc>
          <w:tcPr>
            <w:tcW w:w="127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单位编码</w:t>
            </w:r>
          </w:p>
        </w:tc>
        <w:tc>
          <w:tcPr>
            <w:tcW w:w="4637"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单位名称（科目）</w:t>
            </w:r>
          </w:p>
        </w:tc>
        <w:tc>
          <w:tcPr>
            <w:tcW w:w="9705" w:type="dxa"/>
            <w:gridSpan w:val="6"/>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当年财政拨款预算安排</w:t>
            </w:r>
          </w:p>
        </w:tc>
      </w:tr>
      <w:tr>
        <w:tblPrEx>
          <w:tblLayout w:type="fixed"/>
          <w:tblCellMar>
            <w:top w:w="0" w:type="dxa"/>
            <w:left w:w="108" w:type="dxa"/>
            <w:bottom w:w="0" w:type="dxa"/>
            <w:right w:w="108" w:type="dxa"/>
          </w:tblCellMar>
        </w:tblPrEx>
        <w:trPr>
          <w:trHeight w:val="428" w:hRule="atLeast"/>
        </w:trPr>
        <w:tc>
          <w:tcPr>
            <w:tcW w:w="127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4637"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2"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合计</w:t>
            </w:r>
          </w:p>
        </w:tc>
        <w:tc>
          <w:tcPr>
            <w:tcW w:w="1836"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因公出国（境）费用</w:t>
            </w:r>
          </w:p>
        </w:tc>
        <w:tc>
          <w:tcPr>
            <w:tcW w:w="5034" w:type="dxa"/>
            <w:gridSpan w:val="3"/>
            <w:tcBorders>
              <w:top w:val="single" w:color="C2C3C4" w:sz="4" w:space="0"/>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公务用车购置及运行费</w:t>
            </w:r>
          </w:p>
        </w:tc>
        <w:tc>
          <w:tcPr>
            <w:tcW w:w="2173" w:type="dxa"/>
            <w:vMerge w:val="restart"/>
            <w:tcBorders>
              <w:top w:val="nil"/>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公务接待费</w:t>
            </w:r>
          </w:p>
        </w:tc>
      </w:tr>
      <w:tr>
        <w:tblPrEx>
          <w:tblLayout w:type="fixed"/>
          <w:tblCellMar>
            <w:top w:w="0" w:type="dxa"/>
            <w:left w:w="108" w:type="dxa"/>
            <w:bottom w:w="0" w:type="dxa"/>
            <w:right w:w="108" w:type="dxa"/>
          </w:tblCellMar>
        </w:tblPrEx>
        <w:trPr>
          <w:trHeight w:val="428" w:hRule="atLeast"/>
        </w:trPr>
        <w:tc>
          <w:tcPr>
            <w:tcW w:w="1272"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4637" w:type="dxa"/>
            <w:vMerge w:val="continue"/>
            <w:tcBorders>
              <w:top w:val="single" w:color="C2C3C4" w:sz="4" w:space="0"/>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2"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1836"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c>
          <w:tcPr>
            <w:tcW w:w="662"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小计</w:t>
            </w:r>
          </w:p>
        </w:tc>
        <w:tc>
          <w:tcPr>
            <w:tcW w:w="218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公务用车购置费</w:t>
            </w:r>
          </w:p>
        </w:tc>
        <w:tc>
          <w:tcPr>
            <w:tcW w:w="2186" w:type="dxa"/>
            <w:tcBorders>
              <w:top w:val="nil"/>
              <w:left w:val="nil"/>
              <w:bottom w:val="single" w:color="C2C3C4" w:sz="4" w:space="0"/>
              <w:right w:val="single" w:color="C2C3C4" w:sz="4" w:space="0"/>
            </w:tcBorders>
            <w:shd w:val="clear" w:color="EFF2F7" w:fill="EFF2F7"/>
            <w:vAlign w:val="center"/>
          </w:tcPr>
          <w:p>
            <w:pPr>
              <w:jc w:val="center"/>
              <w:rPr>
                <w:rFonts w:ascii="宋体" w:hAnsi="宋体" w:eastAsia="宋体" w:cs="宋体"/>
                <w:b/>
                <w:bCs/>
                <w:color w:val="000000"/>
                <w:sz w:val="22"/>
              </w:rPr>
            </w:pPr>
            <w:r>
              <w:rPr>
                <w:rFonts w:hint="eastAsia"/>
                <w:b/>
                <w:bCs/>
                <w:color w:val="000000"/>
                <w:sz w:val="22"/>
              </w:rPr>
              <w:t>公务用车运行费</w:t>
            </w:r>
          </w:p>
        </w:tc>
        <w:tc>
          <w:tcPr>
            <w:tcW w:w="2173" w:type="dxa"/>
            <w:vMerge w:val="continue"/>
            <w:tcBorders>
              <w:top w:val="nil"/>
              <w:left w:val="single" w:color="C2C3C4" w:sz="4" w:space="0"/>
              <w:bottom w:val="single" w:color="C2C3C4" w:sz="4" w:space="0"/>
              <w:right w:val="single" w:color="C2C3C4" w:sz="4" w:space="0"/>
            </w:tcBorders>
            <w:vAlign w:val="center"/>
          </w:tcPr>
          <w:p>
            <w:pPr>
              <w:rPr>
                <w:rFonts w:ascii="宋体" w:hAnsi="宋体" w:eastAsia="宋体" w:cs="宋体"/>
                <w:b/>
                <w:bCs/>
                <w:color w:val="000000"/>
                <w:sz w:val="22"/>
              </w:rPr>
            </w:pP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　</w:t>
            </w:r>
          </w:p>
        </w:tc>
        <w:tc>
          <w:tcPr>
            <w:tcW w:w="4637" w:type="dxa"/>
            <w:tcBorders>
              <w:top w:val="nil"/>
              <w:left w:val="nil"/>
              <w:bottom w:val="single" w:color="C2C3C4" w:sz="4" w:space="0"/>
              <w:right w:val="single" w:color="C2C3C4" w:sz="4" w:space="0"/>
            </w:tcBorders>
            <w:shd w:val="clear" w:color="auto" w:fill="auto"/>
            <w:vAlign w:val="center"/>
          </w:tcPr>
          <w:p>
            <w:pPr>
              <w:jc w:val="center"/>
              <w:rPr>
                <w:rFonts w:ascii="宋体" w:hAnsi="宋体" w:eastAsia="宋体" w:cs="宋体"/>
                <w:b/>
                <w:bCs/>
                <w:color w:val="000000"/>
                <w:sz w:val="22"/>
              </w:rPr>
            </w:pPr>
            <w:r>
              <w:rPr>
                <w:rFonts w:hint="eastAsia"/>
                <w:b/>
                <w:bCs/>
                <w:color w:val="000000"/>
                <w:sz w:val="22"/>
              </w:rPr>
              <w:t>合    计</w:t>
            </w:r>
          </w:p>
        </w:tc>
        <w:tc>
          <w:tcPr>
            <w:tcW w:w="66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183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66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218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218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c>
          <w:tcPr>
            <w:tcW w:w="2173"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b/>
                <w:bCs/>
                <w:color w:val="000000"/>
                <w:sz w:val="22"/>
              </w:rPr>
            </w:pPr>
            <w:r>
              <w:rPr>
                <w:rFonts w:hint="eastAsia"/>
                <w:b/>
                <w:bCs/>
                <w:color w:val="000000"/>
                <w:sz w:val="22"/>
              </w:rPr>
              <w:t>　</w:t>
            </w: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4637"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66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183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662"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18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186"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c>
          <w:tcPr>
            <w:tcW w:w="2173" w:type="dxa"/>
            <w:tcBorders>
              <w:top w:val="nil"/>
              <w:left w:val="nil"/>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color w:val="000000"/>
                <w:sz w:val="22"/>
              </w:rPr>
              <w:t>　</w:t>
            </w:r>
          </w:p>
        </w:tc>
      </w:tr>
      <w:tr>
        <w:tblPrEx>
          <w:tblLayout w:type="fixed"/>
          <w:tblCellMar>
            <w:top w:w="0" w:type="dxa"/>
            <w:left w:w="108" w:type="dxa"/>
            <w:bottom w:w="0" w:type="dxa"/>
            <w:right w:w="108" w:type="dxa"/>
          </w:tblCellMar>
        </w:tblPrEx>
        <w:trPr>
          <w:trHeight w:val="398" w:hRule="atLeast"/>
        </w:trPr>
        <w:tc>
          <w:tcPr>
            <w:tcW w:w="1272" w:type="dxa"/>
            <w:tcBorders>
              <w:top w:val="nil"/>
              <w:left w:val="single" w:color="C2C3C4" w:sz="4" w:space="0"/>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hint="eastAsia"/>
                <w:color w:val="000000"/>
                <w:sz w:val="22"/>
              </w:rPr>
              <w:t>　</w:t>
            </w:r>
          </w:p>
        </w:tc>
        <w:tc>
          <w:tcPr>
            <w:tcW w:w="4637" w:type="dxa"/>
            <w:tcBorders>
              <w:top w:val="nil"/>
              <w:left w:val="nil"/>
              <w:bottom w:val="single" w:color="C2C3C4" w:sz="4" w:space="0"/>
              <w:right w:val="single" w:color="C2C3C4" w:sz="4" w:space="0"/>
            </w:tcBorders>
            <w:shd w:val="clear" w:color="FFFFFF" w:fill="FFFFFF"/>
            <w:vAlign w:val="center"/>
          </w:tcPr>
          <w:p>
            <w:pPr>
              <w:rPr>
                <w:rFonts w:ascii="宋体" w:hAnsi="宋体" w:eastAsia="宋体" w:cs="宋体"/>
                <w:color w:val="000000"/>
                <w:sz w:val="22"/>
              </w:rPr>
            </w:pPr>
            <w:r>
              <w:rPr>
                <w:rFonts w:ascii="Arial" w:hAnsi="Arial" w:cs="Arial"/>
                <w:color w:val="000000"/>
                <w:sz w:val="22"/>
              </w:rPr>
              <w:t> </w:t>
            </w:r>
          </w:p>
        </w:tc>
        <w:tc>
          <w:tcPr>
            <w:tcW w:w="662"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183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662"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218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2186"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c>
          <w:tcPr>
            <w:tcW w:w="2173" w:type="dxa"/>
            <w:tcBorders>
              <w:top w:val="nil"/>
              <w:left w:val="nil"/>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r>
              <w:rPr>
                <w:rFonts w:hint="eastAsia"/>
                <w:color w:val="000000"/>
                <w:sz w:val="22"/>
              </w:rPr>
              <w:t>　</w:t>
            </w:r>
          </w:p>
        </w:tc>
      </w:tr>
    </w:tbl>
    <w:p>
      <w:pPr>
        <w:rPr>
          <w:rFonts w:ascii="仿宋_GB2312" w:hAnsi="仿宋" w:eastAsia="仿宋_GB2312"/>
          <w:sz w:val="32"/>
          <w:szCs w:val="32"/>
        </w:rPr>
      </w:pPr>
      <w:r>
        <w:rPr>
          <w:rFonts w:hint="eastAsia" w:ascii="仿宋_GB2312" w:hAnsi="仿宋" w:eastAsia="仿宋_GB2312"/>
          <w:sz w:val="32"/>
          <w:szCs w:val="32"/>
        </w:rPr>
        <w:t>空表说明：此表无内容</w:t>
      </w:r>
    </w:p>
    <w:p>
      <w:pPr>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pPr>
    </w:p>
    <w:p>
      <w:pPr/>
      <w:r>
        <w:rPr>
          <w:rFonts w:hint="eastAsia" w:ascii="仿宋_GB2312" w:hAnsi="仿宋" w:eastAsia="仿宋_GB2312"/>
          <w:sz w:val="32"/>
          <w:szCs w:val="32"/>
        </w:rPr>
        <w:t>表</w:t>
      </w:r>
      <w:r>
        <w:rPr>
          <w:rFonts w:ascii="仿宋_GB2312" w:hAnsi="仿宋" w:eastAsia="仿宋_GB2312"/>
          <w:sz w:val="32"/>
          <w:szCs w:val="32"/>
        </w:rPr>
        <w:t xml:space="preserve">12 </w:t>
      </w:r>
      <w:r>
        <w:rPr>
          <w:rFonts w:hint="eastAsia" w:ascii="仿宋_GB2312" w:hAnsi="仿宋" w:eastAsia="仿宋_GB2312"/>
          <w:sz w:val="32"/>
          <w:szCs w:val="32"/>
        </w:rPr>
        <w:t>一般公共预算项目支出预算表</w:t>
      </w:r>
    </w:p>
    <w:tbl>
      <w:tblPr>
        <w:tblStyle w:val="11"/>
        <w:tblW w:w="14340" w:type="dxa"/>
        <w:tblInd w:w="0" w:type="dxa"/>
        <w:tblLayout w:type="fixed"/>
        <w:tblCellMar>
          <w:top w:w="15" w:type="dxa"/>
          <w:left w:w="15" w:type="dxa"/>
          <w:bottom w:w="15" w:type="dxa"/>
          <w:right w:w="15" w:type="dxa"/>
        </w:tblCellMar>
      </w:tblPr>
      <w:tblGrid>
        <w:gridCol w:w="727"/>
        <w:gridCol w:w="1179"/>
        <w:gridCol w:w="1180"/>
        <w:gridCol w:w="1573"/>
        <w:gridCol w:w="4809"/>
        <w:gridCol w:w="1923"/>
        <w:gridCol w:w="1180"/>
        <w:gridCol w:w="1769"/>
      </w:tblGrid>
      <w:tr>
        <w:tblPrEx>
          <w:tblLayout w:type="fixed"/>
          <w:tblCellMar>
            <w:top w:w="15" w:type="dxa"/>
            <w:left w:w="15" w:type="dxa"/>
            <w:bottom w:w="15" w:type="dxa"/>
            <w:right w:w="15" w:type="dxa"/>
          </w:tblCellMar>
        </w:tblPrEx>
        <w:trPr>
          <w:trHeight w:val="705" w:hRule="atLeast"/>
        </w:trPr>
        <w:tc>
          <w:tcPr>
            <w:tcW w:w="14340"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国有资本经营预算支出预算表</w:t>
            </w:r>
          </w:p>
        </w:tc>
      </w:tr>
      <w:tr>
        <w:tblPrEx>
          <w:tblLayout w:type="fixed"/>
          <w:tblCellMar>
            <w:top w:w="15" w:type="dxa"/>
            <w:left w:w="15" w:type="dxa"/>
            <w:bottom w:w="15" w:type="dxa"/>
            <w:right w:w="15" w:type="dxa"/>
          </w:tblCellMar>
        </w:tblPrEx>
        <w:trPr>
          <w:trHeight w:val="393" w:hRule="atLeast"/>
        </w:trPr>
        <w:tc>
          <w:tcPr>
            <w:tcW w:w="9468"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lang w:eastAsia="zh-CN"/>
              </w:rPr>
              <w:t>单位</w:t>
            </w:r>
            <w:r>
              <w:rPr>
                <w:rFonts w:hint="eastAsia" w:ascii="宋体" w:hAnsi="宋体" w:eastAsia="宋体" w:cs="宋体"/>
                <w:color w:val="000000"/>
                <w:kern w:val="0"/>
                <w:sz w:val="22"/>
              </w:rPr>
              <w:t>：九寨沟县市政公用事业服务中心</w:t>
            </w:r>
          </w:p>
        </w:tc>
        <w:tc>
          <w:tcPr>
            <w:tcW w:w="192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69"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89" w:hRule="atLeast"/>
        </w:trPr>
        <w:tc>
          <w:tcPr>
            <w:tcW w:w="9468"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4872"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本年国有资本经营预算支出</w:t>
            </w:r>
          </w:p>
        </w:tc>
      </w:tr>
      <w:tr>
        <w:tblPrEx>
          <w:tblLayout w:type="fixed"/>
          <w:tblCellMar>
            <w:top w:w="15" w:type="dxa"/>
            <w:left w:w="15" w:type="dxa"/>
            <w:bottom w:w="15" w:type="dxa"/>
            <w:right w:w="15" w:type="dxa"/>
          </w:tblCellMar>
        </w:tblPrEx>
        <w:trPr>
          <w:trHeight w:val="489" w:hRule="atLeast"/>
        </w:trPr>
        <w:tc>
          <w:tcPr>
            <w:tcW w:w="3086"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57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480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92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1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1769"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489" w:hRule="atLeast"/>
        </w:trPr>
        <w:tc>
          <w:tcPr>
            <w:tcW w:w="727"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179"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1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57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80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92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769"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57" w:hRule="atLeast"/>
        </w:trPr>
        <w:tc>
          <w:tcPr>
            <w:tcW w:w="727"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57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809"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9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76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57" w:hRule="atLeast"/>
        </w:trPr>
        <w:tc>
          <w:tcPr>
            <w:tcW w:w="72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80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6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457" w:hRule="atLeast"/>
        </w:trPr>
        <w:tc>
          <w:tcPr>
            <w:tcW w:w="72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80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6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467" w:hRule="atLeast"/>
        </w:trPr>
        <w:tc>
          <w:tcPr>
            <w:tcW w:w="727"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7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7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80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923"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1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76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仿宋_GB2312" w:hAnsi="仿宋" w:eastAsia="仿宋_GB2312"/>
          <w:sz w:val="32"/>
          <w:szCs w:val="32"/>
        </w:rPr>
      </w:pPr>
      <w:r>
        <w:rPr>
          <w:rFonts w:hint="eastAsia" w:ascii="仿宋_GB2312" w:hAnsi="仿宋" w:eastAsia="仿宋_GB2312"/>
          <w:sz w:val="32"/>
          <w:szCs w:val="32"/>
        </w:rPr>
        <w:t>空表说明：此表无内容</w:t>
      </w:r>
    </w:p>
    <w:p>
      <w:pPr>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firstLine="640"/>
        <w:rPr>
          <w:rFonts w:ascii="仿宋_GB2312" w:hAnsi="仿宋" w:eastAsia="仿宋_GB2312"/>
          <w:sz w:val="32"/>
          <w:szCs w:val="32"/>
        </w:rPr>
      </w:pPr>
    </w:p>
    <w:p>
      <w:pPr>
        <w:pStyle w:val="2"/>
        <w:ind w:left="0" w:leftChars="0" w:firstLine="0" w:firstLineChars="0"/>
      </w:pPr>
    </w:p>
    <w:p>
      <w:pPr/>
      <w:r>
        <w:rPr>
          <w:rFonts w:hint="eastAsia" w:ascii="仿宋_GB2312" w:hAnsi="仿宋" w:eastAsia="仿宋_GB2312"/>
          <w:sz w:val="32"/>
          <w:szCs w:val="32"/>
        </w:rPr>
        <w:t>表</w:t>
      </w:r>
      <w:r>
        <w:rPr>
          <w:rFonts w:ascii="仿宋_GB2312" w:hAnsi="仿宋" w:eastAsia="仿宋_GB2312"/>
          <w:sz w:val="32"/>
          <w:szCs w:val="32"/>
        </w:rPr>
        <w:t>1</w:t>
      </w:r>
      <w:r>
        <w:rPr>
          <w:rFonts w:hint="eastAsia" w:ascii="仿宋_GB2312" w:hAnsi="仿宋" w:eastAsia="仿宋_GB2312"/>
          <w:sz w:val="32"/>
          <w:szCs w:val="32"/>
        </w:rPr>
        <w:t>3</w:t>
      </w:r>
      <w:r>
        <w:rPr>
          <w:rFonts w:hint="eastAsia" w:ascii="仿宋_GB2312" w:hAnsi="仿宋" w:eastAsia="仿宋_GB2312"/>
          <w:sz w:val="32"/>
          <w:szCs w:val="32"/>
          <w:lang w:eastAsia="zh-CN"/>
        </w:rPr>
        <w:t>单位</w:t>
      </w:r>
      <w:r>
        <w:rPr>
          <w:rFonts w:hint="eastAsia" w:ascii="仿宋_GB2312" w:hAnsi="仿宋" w:eastAsia="仿宋_GB2312"/>
          <w:sz w:val="32"/>
          <w:szCs w:val="32"/>
        </w:rPr>
        <w:t>预算项目绩效目标表（202</w:t>
      </w:r>
      <w:r>
        <w:rPr>
          <w:rFonts w:hint="eastAsia" w:ascii="仿宋_GB2312" w:hAnsi="仿宋" w:eastAsia="仿宋_GB2312"/>
          <w:sz w:val="32"/>
          <w:szCs w:val="32"/>
          <w:lang w:val="en-US" w:eastAsia="zh-CN"/>
        </w:rPr>
        <w:t>6</w:t>
      </w:r>
      <w:r>
        <w:rPr>
          <w:rFonts w:hint="eastAsia" w:ascii="仿宋_GB2312" w:hAnsi="仿宋" w:eastAsia="仿宋_GB2312"/>
          <w:sz w:val="32"/>
          <w:szCs w:val="32"/>
        </w:rPr>
        <w:t>年度）</w:t>
      </w:r>
    </w:p>
    <w:tbl>
      <w:tblPr>
        <w:tblStyle w:val="11"/>
        <w:tblW w:w="13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2113"/>
        <w:gridCol w:w="1590"/>
        <w:gridCol w:w="1341"/>
        <w:gridCol w:w="2111"/>
        <w:gridCol w:w="877"/>
        <w:gridCol w:w="892"/>
        <w:gridCol w:w="1049"/>
        <w:gridCol w:w="892"/>
        <w:gridCol w:w="673"/>
        <w:gridCol w:w="877"/>
        <w:gridCol w:w="491"/>
        <w:gridCol w:w="61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270" w:hRule="atLeast"/>
        </w:trPr>
        <w:tc>
          <w:tcPr>
            <w:tcW w:w="2113" w:type="dxa"/>
            <w:shd w:val="clear" w:color="auto" w:fill="auto"/>
            <w:vAlign w:val="center"/>
          </w:tcPr>
          <w:p>
            <w:pPr>
              <w:rPr>
                <w:rFonts w:hint="eastAsia" w:ascii="宋体" w:hAnsi="宋体" w:eastAsia="宋体" w:cs="宋体"/>
                <w:i w:val="0"/>
                <w:color w:val="000000"/>
                <w:sz w:val="22"/>
                <w:szCs w:val="22"/>
                <w:u w:val="none"/>
              </w:rPr>
            </w:pPr>
          </w:p>
        </w:tc>
        <w:tc>
          <w:tcPr>
            <w:tcW w:w="1590" w:type="dxa"/>
            <w:shd w:val="clear" w:color="auto" w:fill="auto"/>
            <w:vAlign w:val="center"/>
          </w:tcPr>
          <w:p>
            <w:pPr>
              <w:rPr>
                <w:rFonts w:hint="eastAsia" w:ascii="宋体" w:hAnsi="宋体" w:eastAsia="宋体" w:cs="宋体"/>
                <w:i w:val="0"/>
                <w:color w:val="000000"/>
                <w:sz w:val="22"/>
                <w:szCs w:val="22"/>
                <w:u w:val="none"/>
              </w:rPr>
            </w:pPr>
          </w:p>
        </w:tc>
        <w:tc>
          <w:tcPr>
            <w:tcW w:w="134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C0C0C0"/>
                <w:sz w:val="18"/>
                <w:szCs w:val="18"/>
                <w:u w:val="none"/>
              </w:rPr>
            </w:pPr>
          </w:p>
        </w:tc>
        <w:tc>
          <w:tcPr>
            <w:tcW w:w="211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C0C0C0"/>
                <w:sz w:val="18"/>
                <w:szCs w:val="18"/>
                <w:u w:val="none"/>
              </w:rPr>
            </w:pPr>
          </w:p>
        </w:tc>
        <w:tc>
          <w:tcPr>
            <w:tcW w:w="87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C0C0C0"/>
                <w:sz w:val="18"/>
                <w:szCs w:val="18"/>
                <w:u w:val="none"/>
              </w:rPr>
            </w:pPr>
          </w:p>
        </w:tc>
        <w:tc>
          <w:tcPr>
            <w:tcW w:w="892" w:type="dxa"/>
            <w:shd w:val="clear" w:color="auto" w:fill="auto"/>
            <w:vAlign w:val="center"/>
          </w:tcPr>
          <w:p>
            <w:pPr>
              <w:rPr>
                <w:rFonts w:hint="eastAsia" w:ascii="宋体" w:hAnsi="宋体" w:eastAsia="宋体" w:cs="宋体"/>
                <w:i w:val="0"/>
                <w:color w:val="C0C0C0"/>
                <w:sz w:val="18"/>
                <w:szCs w:val="18"/>
                <w:u w:val="none"/>
              </w:rPr>
            </w:pPr>
          </w:p>
        </w:tc>
        <w:tc>
          <w:tcPr>
            <w:tcW w:w="104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C0C0C0"/>
                <w:sz w:val="18"/>
                <w:szCs w:val="18"/>
                <w:u w:val="none"/>
              </w:rPr>
            </w:pPr>
          </w:p>
        </w:tc>
        <w:tc>
          <w:tcPr>
            <w:tcW w:w="892" w:type="dxa"/>
            <w:shd w:val="clear" w:color="auto" w:fill="auto"/>
            <w:vAlign w:val="center"/>
          </w:tcPr>
          <w:p>
            <w:pPr>
              <w:rPr>
                <w:rFonts w:hint="eastAsia" w:ascii="宋体" w:hAnsi="宋体" w:eastAsia="宋体" w:cs="宋体"/>
                <w:i w:val="0"/>
                <w:color w:val="C0C0C0"/>
                <w:sz w:val="18"/>
                <w:szCs w:val="18"/>
                <w:u w:val="none"/>
              </w:rPr>
            </w:pPr>
          </w:p>
        </w:tc>
        <w:tc>
          <w:tcPr>
            <w:tcW w:w="673" w:type="dxa"/>
            <w:shd w:val="clear" w:color="auto" w:fill="auto"/>
            <w:vAlign w:val="center"/>
          </w:tcPr>
          <w:p>
            <w:pPr>
              <w:rPr>
                <w:rFonts w:hint="eastAsia" w:ascii="宋体" w:hAnsi="宋体" w:eastAsia="宋体" w:cs="宋体"/>
                <w:i w:val="0"/>
                <w:color w:val="C0C0C0"/>
                <w:sz w:val="18"/>
                <w:szCs w:val="18"/>
                <w:u w:val="none"/>
              </w:rPr>
            </w:pPr>
          </w:p>
        </w:tc>
        <w:tc>
          <w:tcPr>
            <w:tcW w:w="877" w:type="dxa"/>
            <w:shd w:val="clear" w:color="auto" w:fill="auto"/>
            <w:vAlign w:val="center"/>
          </w:tcPr>
          <w:p>
            <w:pPr>
              <w:rPr>
                <w:rFonts w:hint="eastAsia" w:ascii="宋体" w:hAnsi="宋体" w:eastAsia="宋体" w:cs="宋体"/>
                <w:i w:val="0"/>
                <w:color w:val="C0C0C0"/>
                <w:sz w:val="18"/>
                <w:szCs w:val="18"/>
                <w:u w:val="none"/>
              </w:rPr>
            </w:pPr>
          </w:p>
        </w:tc>
        <w:tc>
          <w:tcPr>
            <w:tcW w:w="491" w:type="dxa"/>
            <w:shd w:val="clear" w:color="auto" w:fill="auto"/>
            <w:vAlign w:val="center"/>
          </w:tcPr>
          <w:p>
            <w:pPr>
              <w:rPr>
                <w:rFonts w:hint="eastAsia" w:ascii="宋体" w:hAnsi="宋体" w:eastAsia="宋体" w:cs="宋体"/>
                <w:i w:val="0"/>
                <w:color w:val="C0C0C0"/>
                <w:sz w:val="18"/>
                <w:szCs w:val="18"/>
                <w:u w:val="none"/>
              </w:rPr>
            </w:pPr>
          </w:p>
        </w:tc>
        <w:tc>
          <w:tcPr>
            <w:tcW w:w="616"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hint="eastAsia" w:ascii="宋体" w:hAnsi="宋体" w:eastAsia="宋体" w:cs="宋体"/>
                <w:i w:val="0"/>
                <w:color w:val="C0C0C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13522" w:type="dxa"/>
            <w:gridSpan w:val="12"/>
            <w:tcBorders>
              <w:top w:val="single" w:color="FFFFFF" w:sz="4" w:space="0"/>
              <w:left w:val="single" w:color="FFFFFF" w:sz="4" w:space="0"/>
              <w:bottom w:val="single" w:color="FFFFFF" w:sz="4" w:space="0"/>
              <w:right w:val="single" w:color="FFFFFF"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单位预算项目绩效目标表（2026年度）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7155" w:type="dxa"/>
            <w:gridSpan w:val="4"/>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877"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892"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1049"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892"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673" w:type="dxa"/>
            <w:tcBorders>
              <w:top w:val="single" w:color="FFFFFF" w:sz="4" w:space="0"/>
              <w:left w:val="single" w:color="FFFFFF" w:sz="4" w:space="0"/>
              <w:right w:val="single" w:color="FFFFFF" w:sz="4" w:space="0"/>
            </w:tcBorders>
            <w:shd w:val="clear" w:color="auto" w:fill="auto"/>
            <w:vAlign w:val="center"/>
          </w:tcPr>
          <w:p>
            <w:pPr>
              <w:rPr>
                <w:rFonts w:hint="eastAsia" w:ascii="宋体" w:hAnsi="宋体" w:eastAsia="宋体" w:cs="宋体"/>
                <w:i w:val="0"/>
                <w:color w:val="000000"/>
                <w:sz w:val="22"/>
                <w:szCs w:val="22"/>
                <w:u w:val="none"/>
              </w:rPr>
            </w:pPr>
          </w:p>
        </w:tc>
        <w:tc>
          <w:tcPr>
            <w:tcW w:w="1984" w:type="dxa"/>
            <w:gridSpan w:val="3"/>
            <w:tcBorders>
              <w:top w:val="single" w:color="FFFFFF" w:sz="4" w:space="0"/>
              <w:left w:val="single" w:color="FFFFFF" w:sz="4" w:space="0"/>
              <w:right w:val="single" w:color="FFFFFF"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金额单位：万元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20" w:hRule="atLeast"/>
        </w:trPr>
        <w:tc>
          <w:tcPr>
            <w:tcW w:w="211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单位名称</w:t>
            </w:r>
          </w:p>
        </w:tc>
        <w:tc>
          <w:tcPr>
            <w:tcW w:w="1590"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项目名称</w:t>
            </w:r>
          </w:p>
        </w:tc>
        <w:tc>
          <w:tcPr>
            <w:tcW w:w="134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预算数</w:t>
            </w:r>
          </w:p>
        </w:tc>
        <w:tc>
          <w:tcPr>
            <w:tcW w:w="211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年度目标</w:t>
            </w:r>
          </w:p>
        </w:tc>
        <w:tc>
          <w:tcPr>
            <w:tcW w:w="877"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892"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049"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892"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指标性质</w:t>
            </w:r>
          </w:p>
        </w:tc>
        <w:tc>
          <w:tcPr>
            <w:tcW w:w="673"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877"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度量单位</w:t>
            </w:r>
          </w:p>
        </w:tc>
        <w:tc>
          <w:tcPr>
            <w:tcW w:w="491"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权重</w:t>
            </w:r>
          </w:p>
        </w:tc>
        <w:tc>
          <w:tcPr>
            <w:tcW w:w="616" w:type="dxa"/>
            <w:tcBorders>
              <w:top w:val="single" w:color="000000" w:sz="4" w:space="0"/>
              <w:left w:val="single" w:color="000000" w:sz="4" w:space="0"/>
              <w:bottom w:val="single" w:color="000000" w:sz="4" w:space="0"/>
              <w:right w:val="single" w:color="000000" w:sz="4" w:space="0"/>
            </w:tcBorders>
            <w:shd w:val="clear" w:color="EFF2F7" w:fill="EFF2F7"/>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指标方向性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509-市政公用事业服务中心</w:t>
            </w:r>
          </w:p>
        </w:tc>
        <w:tc>
          <w:tcPr>
            <w:tcW w:w="1590"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3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518.72</w:t>
            </w:r>
          </w:p>
        </w:tc>
        <w:tc>
          <w:tcPr>
            <w:tcW w:w="211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509001-市政公用事业服务中心</w:t>
            </w: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城区清扫保洁和园林绿化市场化采购项目</w:t>
            </w:r>
          </w:p>
        </w:tc>
        <w:tc>
          <w:tcPr>
            <w:tcW w:w="13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450.00</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区环境卫生质量得到显著提升，城区环境卫生不断改善，有效提升了九寨沟县城区形象，为九寨县城区居民创造出干净整洁、舒适优美的宜居环境，提升居民幸福指数，巩固国家卫生城市、文明城市创建成果。完成城区清扫保洁面积58.3万平方米、园林绿化养护面积19.13万平方米、河道保洁面积18万平方米。</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成本完成率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清扫保洁面积</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583000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平方米</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保洁整洁率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河道面积</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180000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平方米</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保洁绿化时长</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12</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月</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9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园林绿化面积</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191300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平方米</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城市环境卫生综合考核得分</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可持续影响指标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持续影响时长</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定性</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持续影响时长情况良好</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群众满意度</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城区内市政路灯电费</w:t>
            </w:r>
          </w:p>
        </w:tc>
        <w:tc>
          <w:tcPr>
            <w:tcW w:w="13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46.00</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保障城区内1640个市政路灯用电。</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保障城区夜间照明安全，提升居民出行便利行和安全感。</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单个路灯年均用电成本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487</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元</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城区主干道夜间照明保障率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满意度指标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服务对象满意度指标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供电路灯覆盖城区群众满意度</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路灯供电覆盖率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95</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保障路灯用电数量</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1640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棵</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时效指标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路灯供电及时率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经济成本指标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项目总成本</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80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万元</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日常公用经费(九寨沟)</w:t>
            </w:r>
          </w:p>
        </w:tc>
        <w:tc>
          <w:tcPr>
            <w:tcW w:w="134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22.72</w:t>
            </w:r>
          </w:p>
        </w:tc>
        <w:tc>
          <w:tcPr>
            <w:tcW w:w="211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提高预算编制质量，严格执行预算，保障单位日常运转。</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社会效益指标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运转保障率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正向指标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575"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质量指标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预算编制准确率（计算方法为：∣（执行数-预算数）/预算数∣）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80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效益指标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经济效益指标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211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59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4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211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产出指标</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数量指标</w:t>
            </w:r>
          </w:p>
        </w:tc>
        <w:tc>
          <w:tcPr>
            <w:tcW w:w="104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科目调整次数</w:t>
            </w:r>
          </w:p>
        </w:tc>
        <w:tc>
          <w:tcPr>
            <w:tcW w:w="89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w:t>
            </w:r>
          </w:p>
        </w:tc>
        <w:tc>
          <w:tcPr>
            <w:tcW w:w="6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8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次</w:t>
            </w:r>
          </w:p>
        </w:tc>
        <w:tc>
          <w:tcPr>
            <w:tcW w:w="4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w:t>
            </w:r>
          </w:p>
        </w:tc>
        <w:tc>
          <w:tcPr>
            <w:tcW w:w="61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反向指标</w:t>
            </w:r>
          </w:p>
        </w:tc>
      </w:tr>
    </w:tbl>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ind w:left="0" w:leftChars="0" w:firstLine="0" w:firstLineChars="0"/>
      </w:pPr>
    </w:p>
    <w:p>
      <w:pPr/>
      <w:r>
        <w:rPr>
          <w:rFonts w:hint="eastAsia" w:ascii="仿宋_GB2312" w:hAnsi="仿宋" w:eastAsia="仿宋_GB2312"/>
          <w:sz w:val="32"/>
          <w:szCs w:val="32"/>
        </w:rPr>
        <w:t>表</w:t>
      </w:r>
      <w:r>
        <w:rPr>
          <w:rFonts w:ascii="仿宋_GB2312" w:hAnsi="仿宋" w:eastAsia="仿宋_GB2312"/>
          <w:sz w:val="32"/>
          <w:szCs w:val="32"/>
        </w:rPr>
        <w:t>1</w:t>
      </w:r>
      <w:r>
        <w:rPr>
          <w:rFonts w:hint="eastAsia" w:ascii="仿宋_GB2312" w:hAnsi="仿宋" w:eastAsia="仿宋_GB2312"/>
          <w:sz w:val="32"/>
          <w:szCs w:val="32"/>
        </w:rPr>
        <w:t>4</w:t>
      </w:r>
      <w:r>
        <w:rPr>
          <w:rFonts w:hint="eastAsia" w:ascii="仿宋_GB2312" w:hAnsi="仿宋" w:eastAsia="仿宋_GB2312"/>
          <w:sz w:val="32"/>
          <w:szCs w:val="32"/>
          <w:lang w:eastAsia="zh-CN"/>
        </w:rPr>
        <w:t>单位</w:t>
      </w:r>
      <w:r>
        <w:rPr>
          <w:rFonts w:hint="eastAsia" w:ascii="仿宋_GB2312" w:hAnsi="仿宋" w:eastAsia="仿宋_GB2312"/>
          <w:sz w:val="32"/>
          <w:szCs w:val="32"/>
        </w:rPr>
        <w:t>整体绩效目标表</w:t>
      </w:r>
    </w:p>
    <w:tbl>
      <w:tblPr>
        <w:tblStyle w:val="11"/>
        <w:tblW w:w="130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994"/>
        <w:gridCol w:w="1339"/>
        <w:gridCol w:w="989"/>
        <w:gridCol w:w="1876"/>
        <w:gridCol w:w="2071"/>
        <w:gridCol w:w="1386"/>
        <w:gridCol w:w="1386"/>
        <w:gridCol w:w="1036"/>
        <w:gridCol w:w="192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1125" w:hRule="atLeast"/>
        </w:trPr>
        <w:tc>
          <w:tcPr>
            <w:tcW w:w="13000" w:type="dxa"/>
            <w:gridSpan w:val="9"/>
            <w:shd w:val="clear" w:color="auto" w:fill="auto"/>
            <w:vAlign w:val="top"/>
          </w:tcPr>
          <w:p>
            <w:pPr>
              <w:keepNext w:val="0"/>
              <w:keepLines w:val="0"/>
              <w:widowControl/>
              <w:suppressLineNumbers w:val="0"/>
              <w:jc w:val="center"/>
              <w:textAlignment w:val="top"/>
              <w:rPr>
                <w:rFonts w:hint="eastAsia" w:ascii="宋体" w:hAnsi="宋体" w:eastAsia="宋体" w:cs="宋体"/>
                <w:b/>
                <w:i w:val="0"/>
                <w:color w:val="000000"/>
                <w:sz w:val="30"/>
                <w:szCs w:val="30"/>
                <w:u w:val="none"/>
              </w:rPr>
            </w:pPr>
            <w:r>
              <w:rPr>
                <w:rFonts w:hint="eastAsia" w:ascii="宋体" w:hAnsi="宋体" w:eastAsia="宋体" w:cs="宋体"/>
                <w:b/>
                <w:i w:val="0"/>
                <w:color w:val="000000"/>
                <w:kern w:val="0"/>
                <w:sz w:val="30"/>
                <w:szCs w:val="30"/>
                <w:u w:val="none"/>
                <w:lang w:val="en-US" w:eastAsia="zh-CN" w:bidi="ar"/>
              </w:rPr>
              <w:t>2026年度单位整体绩效目标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40" w:hRule="atLeast"/>
        </w:trPr>
        <w:tc>
          <w:tcPr>
            <w:tcW w:w="994" w:type="dxa"/>
            <w:shd w:val="clear" w:color="auto" w:fill="auto"/>
            <w:vAlign w:val="top"/>
          </w:tcPr>
          <w:p>
            <w:pPr>
              <w:keepNext w:val="0"/>
              <w:keepLines w:val="0"/>
              <w:widowControl/>
              <w:suppressLineNumbers w:val="0"/>
              <w:jc w:val="left"/>
              <w:textAlignment w:val="top"/>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单位名称：</w:t>
            </w:r>
          </w:p>
        </w:tc>
        <w:tc>
          <w:tcPr>
            <w:tcW w:w="7661" w:type="dxa"/>
            <w:gridSpan w:val="5"/>
            <w:shd w:val="clear" w:color="auto" w:fill="auto"/>
            <w:vAlign w:val="top"/>
          </w:tcPr>
          <w:p>
            <w:pPr>
              <w:keepNext w:val="0"/>
              <w:keepLines w:val="0"/>
              <w:widowControl/>
              <w:suppressLineNumbers w:val="0"/>
              <w:jc w:val="left"/>
              <w:textAlignment w:val="top"/>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市政公用事业服务中心</w:t>
            </w:r>
          </w:p>
        </w:tc>
        <w:tc>
          <w:tcPr>
            <w:tcW w:w="1386" w:type="dxa"/>
            <w:shd w:val="clear" w:color="auto" w:fill="auto"/>
            <w:vAlign w:val="center"/>
          </w:tcPr>
          <w:p>
            <w:pPr>
              <w:rPr>
                <w:rFonts w:hint="eastAsia" w:ascii="黑体" w:hAnsi="黑体" w:eastAsia="黑体" w:cs="黑体"/>
                <w:i w:val="0"/>
                <w:color w:val="000000"/>
                <w:sz w:val="18"/>
                <w:szCs w:val="18"/>
                <w:u w:val="none"/>
              </w:rPr>
            </w:pPr>
          </w:p>
        </w:tc>
        <w:tc>
          <w:tcPr>
            <w:tcW w:w="1036" w:type="dxa"/>
            <w:shd w:val="clear" w:color="auto" w:fill="auto"/>
            <w:vAlign w:val="center"/>
          </w:tcPr>
          <w:p>
            <w:pPr>
              <w:rPr>
                <w:rFonts w:hint="eastAsia" w:ascii="黑体" w:hAnsi="黑体" w:eastAsia="黑体" w:cs="黑体"/>
                <w:i w:val="0"/>
                <w:color w:val="000000"/>
                <w:sz w:val="18"/>
                <w:szCs w:val="18"/>
                <w:u w:val="none"/>
              </w:rPr>
            </w:pPr>
          </w:p>
        </w:tc>
        <w:tc>
          <w:tcPr>
            <w:tcW w:w="1923" w:type="dxa"/>
            <w:shd w:val="clear" w:color="auto" w:fill="auto"/>
            <w:vAlign w:val="top"/>
          </w:tcPr>
          <w:p>
            <w:pPr>
              <w:keepNext w:val="0"/>
              <w:keepLines w:val="0"/>
              <w:widowControl/>
              <w:suppressLineNumbers w:val="0"/>
              <w:jc w:val="right"/>
              <w:textAlignment w:val="top"/>
              <w:rPr>
                <w:rFonts w:ascii="宋体" w:hAnsi="宋体" w:eastAsia="宋体" w:cs="宋体"/>
                <w:i w:val="0"/>
                <w:color w:val="000000"/>
                <w:sz w:val="16"/>
                <w:szCs w:val="16"/>
                <w:u w:val="none"/>
              </w:rPr>
            </w:pPr>
            <w:r>
              <w:rPr>
                <w:rFonts w:ascii="宋体" w:hAnsi="宋体" w:eastAsia="宋体" w:cs="宋体"/>
                <w:i w:val="0"/>
                <w:color w:val="000000"/>
                <w:kern w:val="0"/>
                <w:sz w:val="16"/>
                <w:szCs w:val="16"/>
                <w:u w:val="none"/>
                <w:lang w:val="en-US" w:eastAsia="zh-CN" w:bidi="ar"/>
              </w:rPr>
              <w:t>单位：万元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3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年度单位整体预算</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资金总额</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财政拨款</w:t>
            </w: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其他资金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3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收入预算</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55" w:hRule="atLeast"/>
        </w:trPr>
        <w:tc>
          <w:tcPr>
            <w:tcW w:w="3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支出预算</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981.01</w:t>
            </w:r>
          </w:p>
        </w:tc>
        <w:tc>
          <w:tcPr>
            <w:tcW w:w="277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981.01</w:t>
            </w:r>
          </w:p>
        </w:tc>
        <w:tc>
          <w:tcPr>
            <w:tcW w:w="295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1350" w:hRule="atLeast"/>
        </w:trPr>
        <w:tc>
          <w:tcPr>
            <w:tcW w:w="332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年度总体目标</w:t>
            </w:r>
          </w:p>
        </w:tc>
        <w:tc>
          <w:tcPr>
            <w:tcW w:w="967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认真贯彻落实党的二十大精神，时刻秉持“人民城市人民管·管好城市为人民”的服务宗旨，紧紧围绕一手抓思想建设，一手抓城市管理的工作原则，切实抓好各项城市管理服务工作，实现了城市管理水平新提高。2025年主要做好如下工作：</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1、职工工资福利、社会保险及住房公积金。</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2、日常公用经费。</w:t>
            </w:r>
            <w:r>
              <w:rPr>
                <w:rFonts w:hint="eastAsia" w:ascii="宋体" w:hAnsi="宋体" w:eastAsia="宋体" w:cs="宋体"/>
                <w:i w:val="0"/>
                <w:color w:val="000000"/>
                <w:kern w:val="0"/>
                <w:sz w:val="18"/>
                <w:szCs w:val="18"/>
                <w:u w:val="none"/>
                <w:lang w:val="en-US" w:eastAsia="zh-CN" w:bidi="ar"/>
              </w:rPr>
              <w:br w:type="textWrapping"/>
            </w:r>
            <w:r>
              <w:rPr>
                <w:rFonts w:hint="eastAsia" w:ascii="宋体" w:hAnsi="宋体" w:eastAsia="宋体" w:cs="宋体"/>
                <w:i w:val="0"/>
                <w:color w:val="000000"/>
                <w:kern w:val="0"/>
                <w:sz w:val="18"/>
                <w:szCs w:val="18"/>
                <w:u w:val="none"/>
                <w:lang w:val="en-US" w:eastAsia="zh-CN" w:bidi="ar"/>
              </w:rPr>
              <w:t>3、长聘人员经费。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25" w:hRule="atLeast"/>
        </w:trPr>
        <w:tc>
          <w:tcPr>
            <w:tcW w:w="130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管理效率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3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8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187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20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指标值</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指标参考值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3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98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87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20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三年均值</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2023</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2024</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2025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财政拨款预算偏离度</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191.22%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191.22%</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260.15%</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107.97%</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205.54%</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单位收入统筹度</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预算年终结余率</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4.44%</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4.44%</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2.59%</w:t>
            </w: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5.94%</w:t>
            </w: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4.79%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预算管理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一般性支出金额</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2.71万元</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2.71万元</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2.71万元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财务管理规范</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优</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lef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6</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资产配置预算偏离度</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7</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成本指标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采购管理</w:t>
            </w:r>
          </w:p>
        </w:tc>
        <w:tc>
          <w:tcPr>
            <w:tcW w:w="18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采购执行率</w:t>
            </w:r>
          </w:p>
        </w:tc>
        <w:tc>
          <w:tcPr>
            <w:tcW w:w="20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100%</w:t>
            </w: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3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03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c>
          <w:tcPr>
            <w:tcW w:w="192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right"/>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300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22"/>
                <w:szCs w:val="22"/>
                <w:u w:val="none"/>
              </w:rPr>
            </w:pPr>
            <w:r>
              <w:rPr>
                <w:rFonts w:hint="eastAsia" w:ascii="宋体" w:hAnsi="宋体" w:eastAsia="宋体" w:cs="宋体"/>
                <w:b/>
                <w:i w:val="0"/>
                <w:color w:val="000000"/>
                <w:kern w:val="0"/>
                <w:sz w:val="22"/>
                <w:szCs w:val="22"/>
                <w:u w:val="none"/>
                <w:lang w:val="en-US" w:eastAsia="zh-CN" w:bidi="ar"/>
              </w:rPr>
              <w:t>履职效能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序号</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一级指标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二级指标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i w:val="0"/>
                <w:color w:val="000000"/>
                <w:sz w:val="18"/>
                <w:szCs w:val="18"/>
                <w:u w:val="none"/>
              </w:rPr>
            </w:pPr>
            <w:r>
              <w:rPr>
                <w:rFonts w:hint="eastAsia" w:ascii="宋体" w:hAnsi="宋体" w:eastAsia="宋体" w:cs="宋体"/>
                <w:b/>
                <w:i w:val="0"/>
                <w:color w:val="000000"/>
                <w:kern w:val="0"/>
                <w:sz w:val="18"/>
                <w:szCs w:val="18"/>
                <w:u w:val="none"/>
                <w:lang w:val="en-US" w:eastAsia="zh-CN" w:bidi="ar"/>
              </w:rPr>
              <w:t>三级指标</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b/>
                <w:i w:val="0"/>
                <w:color w:val="000000"/>
                <w:sz w:val="18"/>
                <w:szCs w:val="18"/>
                <w:u w:val="none"/>
              </w:rPr>
            </w:pPr>
            <w:r>
              <w:rPr>
                <w:rFonts w:ascii="宋体" w:hAnsi="宋体" w:eastAsia="宋体" w:cs="宋体"/>
                <w:b/>
                <w:i w:val="0"/>
                <w:color w:val="000000"/>
                <w:kern w:val="0"/>
                <w:sz w:val="18"/>
                <w:szCs w:val="18"/>
                <w:u w:val="none"/>
                <w:lang w:val="en-US" w:eastAsia="zh-CN" w:bidi="ar"/>
              </w:rPr>
              <w:t>指标值（包括数字及文字描述）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1</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产出指标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时效指标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工资及项目资金支付及时率</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等于100%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2</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产出指标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职工工资发放人数</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3</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产出指标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资金支付审核准确率</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≥98%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4</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效益指标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保障环卫等群体稳定增收</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9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sz w:val="18"/>
                <w:szCs w:val="18"/>
                <w:u w:val="none"/>
              </w:rPr>
            </w:pPr>
            <w:r>
              <w:rPr>
                <w:rFonts w:hint="eastAsia" w:ascii="宋体" w:hAnsi="宋体" w:eastAsia="宋体" w:cs="宋体"/>
                <w:i w:val="0"/>
                <w:color w:val="000000"/>
                <w:kern w:val="0"/>
                <w:sz w:val="18"/>
                <w:szCs w:val="18"/>
                <w:u w:val="none"/>
                <w:lang w:val="en-US" w:eastAsia="zh-CN" w:bidi="ar"/>
              </w:rPr>
              <w:t>5</w:t>
            </w:r>
          </w:p>
        </w:tc>
        <w:tc>
          <w:tcPr>
            <w:tcW w:w="133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黑体" w:hAnsi="黑体" w:eastAsia="黑体" w:cs="黑体"/>
                <w:i w:val="0"/>
                <w:color w:val="000000"/>
                <w:sz w:val="18"/>
                <w:szCs w:val="18"/>
                <w:u w:val="none"/>
              </w:rPr>
            </w:pPr>
            <w:r>
              <w:rPr>
                <w:rFonts w:hint="eastAsia" w:ascii="黑体" w:hAnsi="黑体" w:eastAsia="黑体" w:cs="黑体"/>
                <w:i w:val="0"/>
                <w:color w:val="000000"/>
                <w:kern w:val="0"/>
                <w:sz w:val="18"/>
                <w:szCs w:val="18"/>
                <w:u w:val="none"/>
                <w:lang w:val="en-US" w:eastAsia="zh-CN" w:bidi="ar"/>
              </w:rPr>
              <w:t>效益指标</w:t>
            </w:r>
          </w:p>
        </w:tc>
        <w:tc>
          <w:tcPr>
            <w:tcW w:w="98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394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保障市政中心工作有序开展</w:t>
            </w:r>
          </w:p>
        </w:tc>
        <w:tc>
          <w:tcPr>
            <w:tcW w:w="573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有效保障</w:t>
            </w:r>
          </w:p>
        </w:tc>
      </w:tr>
    </w:tbl>
    <w:p>
      <w:pPr>
        <w:rPr>
          <w:rFonts w:ascii="方正小标宋简体" w:hAnsi="黑体" w:eastAsia="方正小标宋简体"/>
          <w:sz w:val="44"/>
          <w:szCs w:val="44"/>
        </w:rPr>
      </w:pPr>
    </w:p>
    <w:p>
      <w:pPr>
        <w:rPr>
          <w:rFonts w:ascii="方正小标宋简体" w:hAnsi="黑体" w:eastAsia="方正小标宋简体"/>
          <w:sz w:val="44"/>
          <w:szCs w:val="44"/>
        </w:rPr>
      </w:pPr>
    </w:p>
    <w:p>
      <w:pPr>
        <w:rPr>
          <w:rFonts w:ascii="方正小标宋简体" w:hAnsi="黑体" w:eastAsia="方正小标宋简体"/>
          <w:sz w:val="44"/>
          <w:szCs w:val="44"/>
        </w:rPr>
        <w:sectPr>
          <w:type w:val="continuous"/>
          <w:pgSz w:w="16838" w:h="11906" w:orient="landscape"/>
          <w:pgMar w:top="720" w:right="720" w:bottom="720" w:left="720" w:header="851" w:footer="992" w:gutter="0"/>
          <w:pgNumType w:fmt="numberInDash"/>
          <w:cols w:space="425" w:num="1"/>
          <w:docGrid w:type="lines" w:linePitch="312" w:charSpace="0"/>
        </w:sectPr>
      </w:pPr>
    </w:p>
    <w:p>
      <w:pPr>
        <w:spacing w:line="560" w:lineRule="exact"/>
        <w:jc w:val="center"/>
        <w:rPr>
          <w:rFonts w:ascii="方正小标宋简体" w:hAnsi="黑体" w:eastAsia="方正小标宋简体"/>
          <w:color w:val="00B0F0"/>
          <w:sz w:val="44"/>
          <w:szCs w:val="44"/>
        </w:rPr>
      </w:pPr>
    </w:p>
    <w:p>
      <w:pPr>
        <w:spacing w:line="560" w:lineRule="exact"/>
        <w:jc w:val="center"/>
        <w:rPr>
          <w:rFonts w:ascii="方正小标宋简体" w:hAnsi="黑体" w:eastAsia="方正小标宋简体"/>
          <w:color w:val="000000" w:themeColor="text1"/>
          <w:sz w:val="44"/>
          <w:szCs w:val="44"/>
          <w14:textFill>
            <w14:solidFill>
              <w14:schemeClr w14:val="tx1"/>
            </w14:solidFill>
          </w14:textFill>
        </w:rPr>
      </w:pPr>
      <w:r>
        <w:rPr>
          <w:rFonts w:hint="eastAsia" w:ascii="方正小标宋简体" w:hAnsi="黑体" w:eastAsia="方正小标宋简体"/>
          <w:color w:val="000000" w:themeColor="text1"/>
          <w:sz w:val="44"/>
          <w:szCs w:val="44"/>
          <w14:textFill>
            <w14:solidFill>
              <w14:schemeClr w14:val="tx1"/>
            </w14:solidFill>
          </w14:textFill>
        </w:rPr>
        <w:t>第三部分  九寨沟县市政公用事业服务</w:t>
      </w:r>
    </w:p>
    <w:p>
      <w:pPr>
        <w:spacing w:line="560" w:lineRule="exact"/>
        <w:jc w:val="center"/>
        <w:rPr>
          <w:rFonts w:ascii="方正小标宋简体" w:hAnsi="黑体" w:eastAsia="方正小标宋简体"/>
          <w:color w:val="000000" w:themeColor="text1"/>
          <w:sz w:val="44"/>
          <w:szCs w:val="44"/>
          <w14:textFill>
            <w14:solidFill>
              <w14:schemeClr w14:val="tx1"/>
            </w14:solidFill>
          </w14:textFill>
        </w:rPr>
      </w:pPr>
      <w:r>
        <w:rPr>
          <w:rFonts w:hint="eastAsia" w:ascii="方正小标宋简体" w:hAnsi="黑体" w:eastAsia="方正小标宋简体"/>
          <w:color w:val="000000" w:themeColor="text1"/>
          <w:sz w:val="44"/>
          <w:szCs w:val="44"/>
          <w14:textFill>
            <w14:solidFill>
              <w14:schemeClr w14:val="tx1"/>
            </w14:solidFill>
          </w14:textFill>
        </w:rPr>
        <w:t>中心</w:t>
      </w:r>
      <w:r>
        <w:rPr>
          <w:rFonts w:hint="eastAsia" w:ascii="Times New Roman" w:hAnsi="Times New Roman" w:eastAsia="方正小标宋简体"/>
          <w:color w:val="000000" w:themeColor="text1"/>
          <w:sz w:val="44"/>
          <w:szCs w:val="44"/>
          <w14:textFill>
            <w14:solidFill>
              <w14:schemeClr w14:val="tx1"/>
            </w14:solidFill>
          </w14:textFill>
        </w:rPr>
        <w:t>202</w:t>
      </w:r>
      <w:r>
        <w:rPr>
          <w:rFonts w:hint="eastAsia" w:ascii="Times New Roman" w:hAnsi="Times New Roman" w:eastAsia="方正小标宋简体"/>
          <w:color w:val="000000" w:themeColor="text1"/>
          <w:sz w:val="44"/>
          <w:szCs w:val="44"/>
          <w:lang w:val="en-US" w:eastAsia="zh-CN"/>
          <w14:textFill>
            <w14:solidFill>
              <w14:schemeClr w14:val="tx1"/>
            </w14:solidFill>
          </w14:textFill>
        </w:rPr>
        <w:t>6</w:t>
      </w:r>
      <w:r>
        <w:rPr>
          <w:rFonts w:hint="eastAsia" w:ascii="方正小标宋简体" w:hAnsi="黑体" w:eastAsia="方正小标宋简体"/>
          <w:color w:val="000000" w:themeColor="text1"/>
          <w:sz w:val="44"/>
          <w:szCs w:val="44"/>
          <w14:textFill>
            <w14:solidFill>
              <w14:schemeClr w14:val="tx1"/>
            </w14:solidFill>
          </w14:textFill>
        </w:rPr>
        <w:t>年</w:t>
      </w:r>
      <w:r>
        <w:rPr>
          <w:rFonts w:hint="eastAsia" w:ascii="方正小标宋简体" w:hAnsi="黑体" w:eastAsia="方正小标宋简体"/>
          <w:color w:val="000000" w:themeColor="text1"/>
          <w:sz w:val="44"/>
          <w:szCs w:val="44"/>
          <w:lang w:eastAsia="zh-CN"/>
          <w14:textFill>
            <w14:solidFill>
              <w14:schemeClr w14:val="tx1"/>
            </w14:solidFill>
          </w14:textFill>
        </w:rPr>
        <w:t>单位</w:t>
      </w:r>
      <w:r>
        <w:rPr>
          <w:rFonts w:ascii="方正小标宋简体" w:hAnsi="黑体" w:eastAsia="方正小标宋简体"/>
          <w:color w:val="000000" w:themeColor="text1"/>
          <w:sz w:val="44"/>
          <w:szCs w:val="44"/>
          <w14:textFill>
            <w14:solidFill>
              <w14:schemeClr w14:val="tx1"/>
            </w14:solidFill>
          </w14:textFill>
        </w:rPr>
        <w:t>预算</w:t>
      </w:r>
      <w:r>
        <w:rPr>
          <w:rFonts w:hint="eastAsia" w:ascii="方正小标宋简体" w:hAnsi="黑体" w:eastAsia="方正小标宋简体"/>
          <w:color w:val="000000" w:themeColor="text1"/>
          <w:sz w:val="44"/>
          <w:szCs w:val="44"/>
          <w14:textFill>
            <w14:solidFill>
              <w14:schemeClr w14:val="tx1"/>
            </w14:solidFill>
          </w14:textFill>
        </w:rPr>
        <w:t>情况说明</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一、收支预算情况说明</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按照综合预算的原则，九寨沟县市政公用事业服务中心所有收入和支出均纳入</w:t>
      </w:r>
      <w:r>
        <w:rPr>
          <w:rFonts w:hint="eastAsia" w:ascii="仿宋_GB2312" w:hAnsi="黑体" w:eastAsia="仿宋_GB2312"/>
          <w:color w:val="000000" w:themeColor="text1"/>
          <w:sz w:val="32"/>
          <w:szCs w:val="32"/>
          <w:lang w:eastAsia="zh-CN"/>
          <w14:textFill>
            <w14:solidFill>
              <w14:schemeClr w14:val="tx1"/>
            </w14:solidFill>
          </w14:textFill>
        </w:rPr>
        <w:t>单位</w:t>
      </w:r>
      <w:r>
        <w:rPr>
          <w:rFonts w:hint="eastAsia" w:ascii="仿宋_GB2312" w:hAnsi="黑体" w:eastAsia="仿宋_GB2312"/>
          <w:color w:val="000000" w:themeColor="text1"/>
          <w:sz w:val="32"/>
          <w:szCs w:val="32"/>
          <w14:textFill>
            <w14:solidFill>
              <w14:schemeClr w14:val="tx1"/>
            </w14:solidFill>
          </w14:textFill>
        </w:rPr>
        <w:t>预算管理。收入包括：一般公共预算拨款收入、政府性基金预算拨款收入；支出包括：社会保障和就业支出、卫生健康支出、城乡社区支出、住房保障支出、其他支出。九寨沟县市政公用事业服务中心202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年收支预算总数981.01万元，比202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年收支预算总数</w:t>
      </w:r>
      <w:r>
        <w:rPr>
          <w:rFonts w:hint="eastAsia" w:ascii="仿宋_GB2312" w:hAnsi="黑体" w:eastAsia="仿宋_GB2312"/>
          <w:color w:val="000000" w:themeColor="text1"/>
          <w:sz w:val="32"/>
          <w:szCs w:val="32"/>
          <w:lang w:val="en-US" w:eastAsia="zh-CN"/>
          <w14:textFill>
            <w14:solidFill>
              <w14:schemeClr w14:val="tx1"/>
            </w14:solidFill>
          </w14:textFill>
        </w:rPr>
        <w:t>减少377.29</w:t>
      </w:r>
      <w:r>
        <w:rPr>
          <w:rFonts w:hint="eastAsia" w:ascii="仿宋_GB2312" w:hAnsi="黑体" w:eastAsia="仿宋_GB2312"/>
          <w:color w:val="000000" w:themeColor="text1"/>
          <w:sz w:val="32"/>
          <w:szCs w:val="32"/>
          <w14:textFill>
            <w14:solidFill>
              <w14:schemeClr w14:val="tx1"/>
            </w14:solidFill>
          </w14:textFill>
        </w:rPr>
        <w:t>万元，主要原因是:</w:t>
      </w:r>
      <w:r>
        <w:rPr>
          <w:rFonts w:hint="eastAsia" w:ascii="仿宋_GB2312" w:hAnsi="黑体" w:eastAsia="仿宋_GB2312"/>
          <w:color w:val="000000" w:themeColor="text1"/>
          <w:sz w:val="32"/>
          <w:szCs w:val="32"/>
          <w:lang w:eastAsia="zh-CN"/>
          <w14:textFill>
            <w14:solidFill>
              <w14:schemeClr w14:val="tx1"/>
            </w14:solidFill>
          </w14:textFill>
        </w:rPr>
        <w:t>今年</w:t>
      </w:r>
      <w:r>
        <w:rPr>
          <w:rFonts w:hint="eastAsia" w:ascii="仿宋_GB2312" w:hAnsi="仿宋_GB2312" w:eastAsia="仿宋_GB2312" w:cs="仿宋_GB2312"/>
          <w:b w:val="0"/>
          <w:bCs w:val="0"/>
          <w:color w:val="000000" w:themeColor="text1"/>
          <w:sz w:val="32"/>
          <w:szCs w:val="32"/>
          <w14:textFill>
            <w14:solidFill>
              <w14:schemeClr w14:val="tx1"/>
            </w14:solidFill>
          </w14:textFill>
        </w:rPr>
        <w:t>政府性基金预算拨款收入</w:t>
      </w:r>
      <w:r>
        <w:rPr>
          <w:rFonts w:hint="eastAsia" w:ascii="仿宋_GB2312" w:hAnsi="黑体" w:eastAsia="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300</w:t>
      </w:r>
      <w:r>
        <w:rPr>
          <w:rFonts w:hint="eastAsia" w:ascii="仿宋_GB2312" w:hAnsi="仿宋_GB2312" w:eastAsia="仿宋_GB2312" w:cs="仿宋_GB2312"/>
          <w:b w:val="0"/>
          <w:bCs w:val="0"/>
          <w:color w:val="000000" w:themeColor="text1"/>
          <w:sz w:val="32"/>
          <w:szCs w:val="32"/>
          <w14:textFill>
            <w14:solidFill>
              <w14:schemeClr w14:val="tx1"/>
            </w14:solidFill>
          </w14:textFill>
        </w:rPr>
        <w:t>万</w:t>
      </w:r>
      <w:r>
        <w:rPr>
          <w:rFonts w:hint="eastAsia" w:ascii="仿宋_GB2312" w:hAnsi="仿宋" w:eastAsia="仿宋_GB2312" w:cs="仿宋_GB2312"/>
          <w:color w:val="000000" w:themeColor="text1"/>
          <w:sz w:val="32"/>
          <w:szCs w:val="32"/>
          <w14:textFill>
            <w14:solidFill>
              <w14:schemeClr w14:val="tx1"/>
            </w14:solidFill>
          </w14:textFill>
        </w:rPr>
        <w:t>元</w:t>
      </w:r>
      <w:r>
        <w:rPr>
          <w:rFonts w:hint="eastAsia" w:ascii="仿宋_GB2312" w:hAnsi="仿宋" w:eastAsia="仿宋_GB2312" w:cs="仿宋_GB2312"/>
          <w:color w:val="000000" w:themeColor="text1"/>
          <w:sz w:val="32"/>
          <w:szCs w:val="32"/>
          <w:lang w:eastAsia="zh-CN"/>
          <w14:textFill>
            <w14:solidFill>
              <w14:schemeClr w14:val="tx1"/>
            </w14:solidFill>
          </w14:textFill>
        </w:rPr>
        <w:t>等项目预算，</w:t>
      </w:r>
      <w:r>
        <w:rPr>
          <w:rFonts w:hint="eastAsia" w:ascii="仿宋_GB2312" w:hAnsi="仿宋_GB2312" w:eastAsia="仿宋_GB2312" w:cs="仿宋_GB2312"/>
          <w:color w:val="000000" w:themeColor="text1"/>
          <w:sz w:val="32"/>
          <w:szCs w:val="32"/>
          <w14:textFill>
            <w14:solidFill>
              <w14:schemeClr w14:val="tx1"/>
            </w14:solidFill>
          </w14:textFill>
        </w:rPr>
        <w:t>故</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14:textFill>
            <w14:solidFill>
              <w14:schemeClr w14:val="tx1"/>
            </w14:solidFill>
          </w14:textFill>
        </w:rPr>
        <w:t>了预算数。</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（一）收入预算情况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年收入预算981.01万元，其中：一般公共预算拨款收入981.01万元，占</w:t>
      </w:r>
      <w:r>
        <w:rPr>
          <w:rFonts w:hint="eastAsia" w:ascii="仿宋_GB2312" w:hAnsi="黑体" w:eastAsia="仿宋_GB2312"/>
          <w:color w:val="000000" w:themeColor="text1"/>
          <w:sz w:val="32"/>
          <w:szCs w:val="32"/>
          <w:lang w:val="en-US" w:eastAsia="zh-CN"/>
          <w14:textFill>
            <w14:solidFill>
              <w14:schemeClr w14:val="tx1"/>
            </w14:solidFill>
          </w14:textFill>
        </w:rPr>
        <w:t>100</w:t>
      </w:r>
      <w:r>
        <w:rPr>
          <w:rFonts w:hint="eastAsia" w:ascii="仿宋_GB2312" w:hAnsi="黑体" w:eastAsia="仿宋_GB2312"/>
          <w:color w:val="000000" w:themeColor="text1"/>
          <w:sz w:val="32"/>
          <w:szCs w:val="32"/>
          <w14:textFill>
            <w14:solidFill>
              <w14:schemeClr w14:val="tx1"/>
            </w14:solidFill>
          </w14:textFill>
        </w:rPr>
        <w:t>%。</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（二）支出预算情况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年支出预算981.01万元，其中：基本支出485.01万元，占</w:t>
      </w:r>
      <w:r>
        <w:rPr>
          <w:rFonts w:hint="eastAsia" w:ascii="仿宋_GB2312" w:hAnsi="黑体" w:eastAsia="仿宋_GB2312"/>
          <w:color w:val="000000" w:themeColor="text1"/>
          <w:sz w:val="32"/>
          <w:szCs w:val="32"/>
          <w:lang w:val="en-US" w:eastAsia="zh-CN"/>
          <w14:textFill>
            <w14:solidFill>
              <w14:schemeClr w14:val="tx1"/>
            </w14:solidFill>
          </w14:textFill>
        </w:rPr>
        <w:t>48.94</w:t>
      </w:r>
      <w:r>
        <w:rPr>
          <w:rFonts w:hint="eastAsia" w:ascii="仿宋_GB2312" w:hAnsi="黑体" w:eastAsia="仿宋_GB2312"/>
          <w:color w:val="000000" w:themeColor="text1"/>
          <w:sz w:val="32"/>
          <w:szCs w:val="32"/>
          <w14:textFill>
            <w14:solidFill>
              <w14:schemeClr w14:val="tx1"/>
            </w14:solidFill>
          </w14:textFill>
        </w:rPr>
        <w:t>%；项目支出496万元，占</w:t>
      </w:r>
      <w:r>
        <w:rPr>
          <w:rFonts w:hint="eastAsia" w:ascii="仿宋_GB2312" w:hAnsi="黑体" w:eastAsia="仿宋_GB2312"/>
          <w:color w:val="000000" w:themeColor="text1"/>
          <w:sz w:val="32"/>
          <w:szCs w:val="32"/>
          <w:lang w:val="en-US" w:eastAsia="zh-CN"/>
          <w14:textFill>
            <w14:solidFill>
              <w14:schemeClr w14:val="tx1"/>
            </w14:solidFill>
          </w14:textFill>
        </w:rPr>
        <w:t>51.06</w:t>
      </w:r>
      <w:r>
        <w:rPr>
          <w:rFonts w:hint="eastAsia" w:ascii="仿宋_GB2312" w:hAnsi="黑体" w:eastAsia="仿宋_GB2312"/>
          <w:color w:val="000000" w:themeColor="text1"/>
          <w:sz w:val="32"/>
          <w:szCs w:val="32"/>
          <w14:textFill>
            <w14:solidFill>
              <w14:schemeClr w14:val="tx1"/>
            </w14:solidFill>
          </w14:textFill>
        </w:rPr>
        <w:t>%。</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二、财政拨款收支预算情况说明</w:t>
      </w:r>
    </w:p>
    <w:p>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年财政拨款收支预算总数981.01元，比202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年财政拨款收支预算总数</w:t>
      </w:r>
      <w:r>
        <w:rPr>
          <w:rFonts w:hint="eastAsia" w:ascii="仿宋_GB2312" w:hAnsi="黑体" w:eastAsia="仿宋_GB2312"/>
          <w:color w:val="000000" w:themeColor="text1"/>
          <w:sz w:val="32"/>
          <w:szCs w:val="32"/>
          <w:lang w:eastAsia="zh-CN"/>
          <w14:textFill>
            <w14:solidFill>
              <w14:schemeClr w14:val="tx1"/>
            </w14:solidFill>
          </w14:textFill>
        </w:rPr>
        <w:t>减少，</w:t>
      </w:r>
      <w:r>
        <w:rPr>
          <w:rFonts w:hint="eastAsia" w:ascii="仿宋_GB2312" w:hAnsi="黑体" w:eastAsia="仿宋_GB2312"/>
          <w:color w:val="000000" w:themeColor="text1"/>
          <w:sz w:val="32"/>
          <w:szCs w:val="32"/>
          <w14:textFill>
            <w14:solidFill>
              <w14:schemeClr w14:val="tx1"/>
            </w14:solidFill>
          </w14:textFill>
        </w:rPr>
        <w:t>主要原因是</w:t>
      </w:r>
      <w:r>
        <w:rPr>
          <w:rFonts w:hint="eastAsia" w:ascii="仿宋_GB2312" w:hAnsi="黑体" w:eastAsia="仿宋_GB2312"/>
          <w:color w:val="000000" w:themeColor="text1"/>
          <w:sz w:val="32"/>
          <w:szCs w:val="32"/>
          <w:lang w:eastAsia="zh-CN"/>
          <w14:textFill>
            <w14:solidFill>
              <w14:schemeClr w14:val="tx1"/>
            </w14:solidFill>
          </w14:textFill>
        </w:rPr>
        <w:t>今年减少了</w:t>
      </w:r>
      <w:r>
        <w:rPr>
          <w:rFonts w:hint="eastAsia" w:ascii="仿宋_GB2312" w:hAnsi="仿宋_GB2312" w:eastAsia="仿宋_GB2312" w:cs="仿宋_GB2312"/>
          <w:b w:val="0"/>
          <w:bCs w:val="0"/>
          <w:color w:val="000000" w:themeColor="text1"/>
          <w:sz w:val="32"/>
          <w:szCs w:val="32"/>
          <w14:textFill>
            <w14:solidFill>
              <w14:schemeClr w14:val="tx1"/>
            </w14:solidFill>
          </w14:textFill>
        </w:rPr>
        <w:t>政府性基金预算拨款收入</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300</w:t>
      </w:r>
      <w:r>
        <w:rPr>
          <w:rFonts w:hint="eastAsia" w:ascii="仿宋_GB2312" w:hAnsi="仿宋_GB2312" w:eastAsia="仿宋_GB2312" w:cs="仿宋_GB2312"/>
          <w:b w:val="0"/>
          <w:bCs w:val="0"/>
          <w:color w:val="000000" w:themeColor="text1"/>
          <w:sz w:val="32"/>
          <w:szCs w:val="32"/>
          <w14:textFill>
            <w14:solidFill>
              <w14:schemeClr w14:val="tx1"/>
            </w14:solidFill>
          </w14:textFill>
        </w:rPr>
        <w:t>万</w:t>
      </w:r>
      <w:r>
        <w:rPr>
          <w:rFonts w:hint="eastAsia" w:ascii="仿宋_GB2312" w:hAnsi="仿宋" w:eastAsia="仿宋_GB2312" w:cs="仿宋_GB2312"/>
          <w:color w:val="000000" w:themeColor="text1"/>
          <w:sz w:val="32"/>
          <w:szCs w:val="32"/>
          <w14:textFill>
            <w14:solidFill>
              <w14:schemeClr w14:val="tx1"/>
            </w14:solidFill>
          </w14:textFill>
        </w:rPr>
        <w:t>元</w:t>
      </w:r>
      <w:r>
        <w:rPr>
          <w:rFonts w:hint="eastAsia" w:ascii="仿宋_GB2312" w:hAnsi="仿宋" w:eastAsia="仿宋_GB2312" w:cs="仿宋_GB2312"/>
          <w:color w:val="000000" w:themeColor="text1"/>
          <w:sz w:val="32"/>
          <w:szCs w:val="32"/>
          <w:lang w:eastAsia="zh-CN"/>
          <w14:textFill>
            <w14:solidFill>
              <w14:schemeClr w14:val="tx1"/>
            </w14:solidFill>
          </w14:textFill>
        </w:rPr>
        <w:t>等项目预算，</w:t>
      </w:r>
      <w:r>
        <w:rPr>
          <w:rFonts w:hint="eastAsia" w:ascii="仿宋_GB2312" w:hAnsi="仿宋_GB2312" w:eastAsia="仿宋_GB2312" w:cs="仿宋_GB2312"/>
          <w:color w:val="000000" w:themeColor="text1"/>
          <w:sz w:val="32"/>
          <w:szCs w:val="32"/>
          <w14:textFill>
            <w14:solidFill>
              <w14:schemeClr w14:val="tx1"/>
            </w14:solidFill>
          </w14:textFill>
        </w:rPr>
        <w:t>故</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14:textFill>
            <w14:solidFill>
              <w14:schemeClr w14:val="tx1"/>
            </w14:solidFill>
          </w14:textFill>
        </w:rPr>
        <w:t>了预算数。</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收入包括：本年一般公共预算拨款收入981.01万元.支出包括：社会保障和就业支出59.2万元、卫生健康支出22.11万元、城乡社区支出867.99万元、住房保障支出31.72万元。</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三、一般公共预算当年拨款情况说明</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（一）一般公共预算当年拨款规模变化情况</w:t>
      </w: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年一般公共预算当年拨款981.01万元，比202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年预算数</w:t>
      </w:r>
      <w:r>
        <w:rPr>
          <w:rFonts w:hint="eastAsia" w:ascii="仿宋_GB2312" w:hAnsi="黑体" w:eastAsia="仿宋_GB2312"/>
          <w:color w:val="000000" w:themeColor="text1"/>
          <w:sz w:val="32"/>
          <w:szCs w:val="32"/>
          <w:lang w:val="en-US" w:eastAsia="zh-CN"/>
          <w14:textFill>
            <w14:solidFill>
              <w14:schemeClr w14:val="tx1"/>
            </w14:solidFill>
          </w14:textFill>
        </w:rPr>
        <w:t>减少377.29</w:t>
      </w:r>
      <w:r>
        <w:rPr>
          <w:rFonts w:hint="eastAsia" w:ascii="仿宋_GB2312" w:hAnsi="黑体" w:eastAsia="仿宋_GB2312"/>
          <w:color w:val="000000" w:themeColor="text1"/>
          <w:sz w:val="32"/>
          <w:szCs w:val="32"/>
          <w14:textFill>
            <w14:solidFill>
              <w14:schemeClr w14:val="tx1"/>
            </w14:solidFill>
          </w14:textFill>
        </w:rPr>
        <w:t>万元，主要原因是工资福利支出比上年预算增加</w:t>
      </w:r>
      <w:r>
        <w:rPr>
          <w:rFonts w:hint="eastAsia" w:ascii="仿宋_GB2312" w:hAnsi="黑体" w:eastAsia="仿宋_GB2312"/>
          <w:color w:val="000000" w:themeColor="text1"/>
          <w:sz w:val="32"/>
          <w:szCs w:val="32"/>
          <w:lang w:val="en-US" w:eastAsia="zh-CN"/>
          <w14:textFill>
            <w14:solidFill>
              <w14:schemeClr w14:val="tx1"/>
            </w14:solidFill>
          </w14:textFill>
        </w:rPr>
        <w:t>39.1</w:t>
      </w:r>
      <w:r>
        <w:rPr>
          <w:rFonts w:hint="eastAsia" w:ascii="仿宋_GB2312" w:hAnsi="黑体" w:eastAsia="仿宋_GB2312"/>
          <w:color w:val="000000" w:themeColor="text1"/>
          <w:sz w:val="32"/>
          <w:szCs w:val="32"/>
          <w14:textFill>
            <w14:solidFill>
              <w14:schemeClr w14:val="tx1"/>
            </w14:solidFill>
          </w14:textFill>
        </w:rPr>
        <w:t>万元；</w:t>
      </w:r>
      <w:r>
        <w:rPr>
          <w:rFonts w:hint="eastAsia" w:ascii="仿宋_GB2312" w:hAnsi="Arial" w:eastAsia="仿宋_GB2312" w:cs="Arial"/>
          <w:color w:val="000000" w:themeColor="text1"/>
          <w:sz w:val="32"/>
          <w:szCs w:val="32"/>
          <w:lang w:eastAsia="zh-CN"/>
          <w14:textFill>
            <w14:solidFill>
              <w14:schemeClr w14:val="tx1"/>
            </w14:solidFill>
          </w14:textFill>
        </w:rPr>
        <w:t>商品和服务支出</w:t>
      </w:r>
      <w:r>
        <w:rPr>
          <w:rFonts w:hint="eastAsia" w:ascii="仿宋_GB2312" w:hAnsi="Arial" w:eastAsia="仿宋_GB2312" w:cs="Arial"/>
          <w:color w:val="000000" w:themeColor="text1"/>
          <w:sz w:val="32"/>
          <w:szCs w:val="32"/>
          <w14:textFill>
            <w14:solidFill>
              <w14:schemeClr w14:val="tx1"/>
            </w14:solidFill>
          </w14:textFill>
        </w:rPr>
        <w:t>相比</w:t>
      </w:r>
      <w:r>
        <w:rPr>
          <w:rFonts w:hint="eastAsia" w:ascii="仿宋_GB2312" w:hAnsi="仿宋_GB2312" w:eastAsia="仿宋_GB2312" w:cs="仿宋_GB2312"/>
          <w:color w:val="000000" w:themeColor="text1"/>
          <w:sz w:val="32"/>
          <w:szCs w:val="32"/>
          <w:lang w:eastAsia="zh-CN"/>
          <w14:textFill>
            <w14:solidFill>
              <w14:schemeClr w14:val="tx1"/>
            </w14:solidFill>
          </w14:textFill>
        </w:rPr>
        <w:t>上</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83.61万元</w:t>
      </w:r>
      <w:r>
        <w:rPr>
          <w:rFonts w:hint="eastAsia" w:ascii="仿宋_GB2312" w:hAnsi="仿宋_GB2312"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lang w:eastAsia="zh-CN"/>
          <w14:textFill>
            <w14:solidFill>
              <w14:schemeClr w14:val="tx1"/>
            </w14:solidFill>
          </w14:textFill>
        </w:rPr>
        <w:t>对企业补助相比上年减少</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500万元</w:t>
      </w:r>
      <w:r>
        <w:rPr>
          <w:rFonts w:hint="eastAsia" w:ascii="仿宋_GB2312" w:hAnsi="仿宋" w:eastAsia="仿宋_GB2312" w:cs="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故</w:t>
      </w:r>
      <w:r>
        <w:rPr>
          <w:rFonts w:hint="eastAsia" w:ascii="仿宋_GB2312" w:hAnsi="仿宋_GB2312" w:eastAsia="仿宋_GB2312" w:cs="仿宋_GB2312"/>
          <w:color w:val="000000" w:themeColor="text1"/>
          <w:sz w:val="32"/>
          <w:szCs w:val="32"/>
          <w:lang w:eastAsia="zh-CN"/>
          <w14:textFill>
            <w14:solidFill>
              <w14:schemeClr w14:val="tx1"/>
            </w14:solidFill>
          </w14:textFill>
        </w:rPr>
        <w:t>减少</w:t>
      </w:r>
      <w:r>
        <w:rPr>
          <w:rFonts w:hint="eastAsia" w:ascii="仿宋_GB2312" w:hAnsi="仿宋_GB2312" w:eastAsia="仿宋_GB2312" w:cs="仿宋_GB2312"/>
          <w:color w:val="000000" w:themeColor="text1"/>
          <w:sz w:val="32"/>
          <w:szCs w:val="32"/>
          <w14:textFill>
            <w14:solidFill>
              <w14:schemeClr w14:val="tx1"/>
            </w14:solidFill>
          </w14:textFill>
        </w:rPr>
        <w:t>了预算数</w:t>
      </w:r>
      <w:r>
        <w:rPr>
          <w:rFonts w:hint="eastAsia" w:ascii="仿宋_GB2312" w:hAnsi="仿宋_GB2312" w:eastAsia="仿宋_GB2312" w:cs="仿宋_GB2312"/>
          <w:color w:val="000000" w:themeColor="text1"/>
          <w:sz w:val="32"/>
          <w:szCs w:val="32"/>
          <w:lang w:eastAsia="zh-CN"/>
          <w14:textFill>
            <w14:solidFill>
              <w14:schemeClr w14:val="tx1"/>
            </w14:solidFill>
          </w14:textFill>
        </w:rPr>
        <w:t>总数</w:t>
      </w:r>
      <w:r>
        <w:rPr>
          <w:rFonts w:hint="eastAsia" w:ascii="仿宋_GB2312" w:hAnsi="仿宋_GB2312" w:eastAsia="仿宋_GB2312" w:cs="仿宋_GB2312"/>
          <w:color w:val="000000" w:themeColor="text1"/>
          <w:sz w:val="32"/>
          <w:szCs w:val="32"/>
          <w14:textFill>
            <w14:solidFill>
              <w14:schemeClr w14:val="tx1"/>
            </w14:solidFill>
          </w14:textFill>
        </w:rPr>
        <w:t>。</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（二）一般公共预算当年拨款结构情况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机关事业单位基本养老保险缴费支出</w:t>
      </w:r>
      <w:r>
        <w:rPr>
          <w:rFonts w:hint="eastAsia" w:ascii="仿宋_GB2312" w:hAnsi="黑体" w:eastAsia="仿宋_GB2312"/>
          <w:color w:val="000000" w:themeColor="text1"/>
          <w:sz w:val="32"/>
          <w:szCs w:val="32"/>
          <w:lang w:val="en-US" w:eastAsia="zh-CN"/>
          <w14:textFill>
            <w14:solidFill>
              <w14:schemeClr w14:val="tx1"/>
            </w14:solidFill>
          </w14:textFill>
        </w:rPr>
        <w:t>38.06万元</w:t>
      </w:r>
      <w:r>
        <w:rPr>
          <w:rFonts w:hint="eastAsia" w:ascii="仿宋_GB2312" w:hAnsi="黑体" w:eastAsia="仿宋_GB2312"/>
          <w:color w:val="000000" w:themeColor="text1"/>
          <w:sz w:val="32"/>
          <w:szCs w:val="32"/>
          <w14:textFill>
            <w14:solidFill>
              <w14:schemeClr w14:val="tx1"/>
            </w14:solidFill>
          </w14:textFill>
        </w:rPr>
        <w:t>，占</w:t>
      </w:r>
      <w:r>
        <w:rPr>
          <w:rFonts w:hint="eastAsia" w:ascii="仿宋_GB2312" w:hAnsi="黑体" w:eastAsia="仿宋_GB2312"/>
          <w:color w:val="000000" w:themeColor="text1"/>
          <w:sz w:val="32"/>
          <w:szCs w:val="32"/>
          <w:lang w:val="en-US" w:eastAsia="zh-CN"/>
          <w14:textFill>
            <w14:solidFill>
              <w14:schemeClr w14:val="tx1"/>
            </w14:solidFill>
          </w14:textFill>
        </w:rPr>
        <w:t>3.88</w:t>
      </w:r>
      <w:r>
        <w:rPr>
          <w:rFonts w:hint="eastAsia" w:ascii="仿宋_GB2312" w:hAnsi="黑体" w:eastAsia="仿宋_GB2312"/>
          <w:color w:val="000000" w:themeColor="text1"/>
          <w:sz w:val="32"/>
          <w:szCs w:val="32"/>
          <w14:textFill>
            <w14:solidFill>
              <w14:schemeClr w14:val="tx1"/>
            </w14:solidFill>
          </w14:textFill>
        </w:rPr>
        <w:t>%；机关事业单位职业年金缴费支出</w:t>
      </w:r>
      <w:r>
        <w:rPr>
          <w:rFonts w:hint="eastAsia" w:ascii="仿宋_GB2312" w:hAnsi="黑体" w:eastAsia="仿宋_GB2312"/>
          <w:color w:val="000000" w:themeColor="text1"/>
          <w:sz w:val="32"/>
          <w:szCs w:val="32"/>
          <w:lang w:val="en-US" w:eastAsia="zh-CN"/>
          <w14:textFill>
            <w14:solidFill>
              <w14:schemeClr w14:val="tx1"/>
            </w14:solidFill>
          </w14:textFill>
        </w:rPr>
        <w:t>21.14</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2.15</w:t>
      </w:r>
      <w:r>
        <w:rPr>
          <w:rFonts w:hint="eastAsia" w:ascii="仿宋_GB2312" w:hAnsi="黑体" w:eastAsia="仿宋_GB2312"/>
          <w:color w:val="000000" w:themeColor="text1"/>
          <w:sz w:val="32"/>
          <w:szCs w:val="32"/>
          <w14:textFill>
            <w14:solidFill>
              <w14:schemeClr w14:val="tx1"/>
            </w14:solidFill>
          </w14:textFill>
        </w:rPr>
        <w:t>%；事业单位医疗</w:t>
      </w:r>
      <w:r>
        <w:rPr>
          <w:rFonts w:hint="eastAsia" w:ascii="仿宋_GB2312" w:hAnsi="黑体" w:eastAsia="仿宋_GB2312"/>
          <w:color w:val="000000" w:themeColor="text1"/>
          <w:sz w:val="32"/>
          <w:szCs w:val="32"/>
          <w:lang w:val="en-US" w:eastAsia="zh-CN"/>
          <w14:textFill>
            <w14:solidFill>
              <w14:schemeClr w14:val="tx1"/>
            </w14:solidFill>
          </w14:textFill>
        </w:rPr>
        <w:t>18.5</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1.89</w:t>
      </w:r>
      <w:r>
        <w:rPr>
          <w:rFonts w:hint="eastAsia" w:ascii="仿宋_GB2312" w:hAnsi="黑体" w:eastAsia="仿宋_GB2312"/>
          <w:color w:val="000000" w:themeColor="text1"/>
          <w:sz w:val="32"/>
          <w:szCs w:val="32"/>
          <w14:textFill>
            <w14:solidFill>
              <w14:schemeClr w14:val="tx1"/>
            </w14:solidFill>
          </w14:textFill>
        </w:rPr>
        <w:t>%；其他行政事业医疗支出</w:t>
      </w:r>
      <w:r>
        <w:rPr>
          <w:rFonts w:hint="eastAsia" w:ascii="仿宋_GB2312" w:hAnsi="黑体" w:eastAsia="仿宋_GB2312"/>
          <w:color w:val="000000" w:themeColor="text1"/>
          <w:sz w:val="32"/>
          <w:szCs w:val="32"/>
          <w:lang w:val="en-US" w:eastAsia="zh-CN"/>
          <w14:textFill>
            <w14:solidFill>
              <w14:schemeClr w14:val="tx1"/>
            </w14:solidFill>
          </w14:textFill>
        </w:rPr>
        <w:t>3.61</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0.37</w:t>
      </w:r>
      <w:r>
        <w:rPr>
          <w:rFonts w:hint="eastAsia" w:ascii="仿宋_GB2312" w:hAnsi="黑体" w:eastAsia="仿宋_GB2312"/>
          <w:color w:val="000000" w:themeColor="text1"/>
          <w:sz w:val="32"/>
          <w:szCs w:val="32"/>
          <w14:textFill>
            <w14:solidFill>
              <w14:schemeClr w14:val="tx1"/>
            </w14:solidFill>
          </w14:textFill>
        </w:rPr>
        <w:t>%；城管执法</w:t>
      </w:r>
      <w:r>
        <w:rPr>
          <w:rFonts w:hint="eastAsia" w:ascii="仿宋_GB2312" w:hAnsi="黑体" w:eastAsia="仿宋_GB2312"/>
          <w:color w:val="000000" w:themeColor="text1"/>
          <w:sz w:val="32"/>
          <w:szCs w:val="32"/>
          <w:lang w:val="en-US" w:eastAsia="zh-CN"/>
          <w14:textFill>
            <w14:solidFill>
              <w14:schemeClr w14:val="tx1"/>
            </w14:solidFill>
          </w14:textFill>
        </w:rPr>
        <w:t>371.99</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37.92</w:t>
      </w:r>
      <w:r>
        <w:rPr>
          <w:rFonts w:hint="eastAsia" w:ascii="仿宋_GB2312" w:hAnsi="黑体" w:eastAsia="仿宋_GB2312"/>
          <w:color w:val="000000" w:themeColor="text1"/>
          <w:sz w:val="32"/>
          <w:szCs w:val="32"/>
          <w14:textFill>
            <w14:solidFill>
              <w14:schemeClr w14:val="tx1"/>
            </w14:solidFill>
          </w14:textFill>
        </w:rPr>
        <w:t>%；其他城乡社区公共设施支出</w:t>
      </w:r>
      <w:r>
        <w:rPr>
          <w:rFonts w:hint="eastAsia" w:ascii="仿宋_GB2312" w:hAnsi="黑体" w:eastAsia="仿宋_GB2312"/>
          <w:color w:val="000000" w:themeColor="text1"/>
          <w:sz w:val="32"/>
          <w:szCs w:val="32"/>
          <w:lang w:val="en-US" w:eastAsia="zh-CN"/>
          <w14:textFill>
            <w14:solidFill>
              <w14:schemeClr w14:val="tx1"/>
            </w14:solidFill>
          </w14:textFill>
        </w:rPr>
        <w:t>46</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4.69</w:t>
      </w:r>
      <w:r>
        <w:rPr>
          <w:rFonts w:hint="eastAsia" w:ascii="仿宋_GB2312" w:hAnsi="黑体" w:eastAsia="仿宋_GB2312"/>
          <w:color w:val="000000" w:themeColor="text1"/>
          <w:sz w:val="32"/>
          <w:szCs w:val="32"/>
          <w14:textFill>
            <w14:solidFill>
              <w14:schemeClr w14:val="tx1"/>
            </w14:solidFill>
          </w14:textFill>
        </w:rPr>
        <w:t>%；城乡社区环境卫生支出</w:t>
      </w:r>
      <w:r>
        <w:rPr>
          <w:rFonts w:hint="eastAsia" w:ascii="仿宋_GB2312" w:hAnsi="黑体" w:eastAsia="仿宋_GB2312"/>
          <w:color w:val="000000" w:themeColor="text1"/>
          <w:sz w:val="32"/>
          <w:szCs w:val="32"/>
          <w:lang w:val="en-US" w:eastAsia="zh-CN"/>
          <w14:textFill>
            <w14:solidFill>
              <w14:schemeClr w14:val="tx1"/>
            </w14:solidFill>
          </w14:textFill>
        </w:rPr>
        <w:t>450</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45.87</w:t>
      </w:r>
      <w:r>
        <w:rPr>
          <w:rFonts w:hint="eastAsia" w:ascii="仿宋_GB2312" w:hAnsi="黑体" w:eastAsia="仿宋_GB2312"/>
          <w:color w:val="000000" w:themeColor="text1"/>
          <w:sz w:val="32"/>
          <w:szCs w:val="32"/>
          <w14:textFill>
            <w14:solidFill>
              <w14:schemeClr w14:val="tx1"/>
            </w14:solidFill>
          </w14:textFill>
        </w:rPr>
        <w:t>%；住房公积金支出</w:t>
      </w:r>
      <w:r>
        <w:rPr>
          <w:rFonts w:hint="eastAsia" w:ascii="仿宋_GB2312" w:hAnsi="黑体" w:eastAsia="仿宋_GB2312"/>
          <w:color w:val="000000" w:themeColor="text1"/>
          <w:sz w:val="32"/>
          <w:szCs w:val="32"/>
          <w:lang w:val="en-US" w:eastAsia="zh-CN"/>
          <w14:textFill>
            <w14:solidFill>
              <w14:schemeClr w14:val="tx1"/>
            </w14:solidFill>
          </w14:textFill>
        </w:rPr>
        <w:t>31.72</w:t>
      </w:r>
      <w:r>
        <w:rPr>
          <w:rFonts w:hint="eastAsia" w:ascii="仿宋_GB2312" w:hAnsi="黑体" w:eastAsia="仿宋_GB2312"/>
          <w:color w:val="000000" w:themeColor="text1"/>
          <w:sz w:val="32"/>
          <w:szCs w:val="32"/>
          <w14:textFill>
            <w14:solidFill>
              <w14:schemeClr w14:val="tx1"/>
            </w14:solidFill>
          </w14:textFill>
        </w:rPr>
        <w:t>万元，占</w:t>
      </w:r>
      <w:r>
        <w:rPr>
          <w:rFonts w:hint="eastAsia" w:ascii="仿宋_GB2312" w:hAnsi="黑体" w:eastAsia="仿宋_GB2312"/>
          <w:color w:val="000000" w:themeColor="text1"/>
          <w:sz w:val="32"/>
          <w:szCs w:val="32"/>
          <w:lang w:val="en-US" w:eastAsia="zh-CN"/>
          <w14:textFill>
            <w14:solidFill>
              <w14:schemeClr w14:val="tx1"/>
            </w14:solidFill>
          </w14:textFill>
        </w:rPr>
        <w:t>3.23</w:t>
      </w:r>
      <w:r>
        <w:rPr>
          <w:rFonts w:hint="eastAsia" w:ascii="仿宋_GB2312" w:hAnsi="黑体" w:eastAsia="仿宋_GB2312"/>
          <w:color w:val="000000" w:themeColor="text1"/>
          <w:sz w:val="32"/>
          <w:szCs w:val="32"/>
          <w14:textFill>
            <w14:solidFill>
              <w14:schemeClr w14:val="tx1"/>
            </w14:solidFill>
          </w14:textFill>
        </w:rPr>
        <w:t>%。</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（三）一般公共预算当年拨款具体使用情况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1.社会保障和就业（208）行政事业单位养老支出（05）机关事业单位基本养老保险缴费支出（05）202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38.06</w:t>
      </w:r>
      <w:r>
        <w:rPr>
          <w:rFonts w:hint="eastAsia" w:ascii="仿宋_GB2312" w:hAnsi="黑体" w:eastAsia="仿宋_GB2312"/>
          <w:color w:val="000000" w:themeColor="text1"/>
          <w:sz w:val="32"/>
          <w:szCs w:val="32"/>
          <w14:textFill>
            <w14:solidFill>
              <w14:schemeClr w14:val="tx1"/>
            </w14:solidFill>
          </w14:textFill>
        </w:rPr>
        <w:t>万元，主要用于：实施养老保险制度由单位缴纳的基本养老保险支出。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2.社会保障和就业（208）行政事业单位养老支出（05）机关事业单位职业年金缴费支出（06）202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21.14</w:t>
      </w:r>
      <w:r>
        <w:rPr>
          <w:rFonts w:hint="eastAsia" w:ascii="仿宋_GB2312" w:hAnsi="黑体" w:eastAsia="仿宋_GB2312"/>
          <w:color w:val="000000" w:themeColor="text1"/>
          <w:sz w:val="32"/>
          <w:szCs w:val="32"/>
          <w14:textFill>
            <w14:solidFill>
              <w14:schemeClr w14:val="tx1"/>
            </w14:solidFill>
          </w14:textFill>
        </w:rPr>
        <w:t>万元，主要用于：实施养老保险制度由单位缴纳的职业年金支出。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3.卫生健康（210）行政事业单位医疗（11）事业单位医疗</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02</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18.5</w:t>
      </w:r>
      <w:r>
        <w:rPr>
          <w:rFonts w:hint="eastAsia" w:ascii="仿宋_GB2312" w:hAnsi="黑体" w:eastAsia="仿宋_GB2312"/>
          <w:color w:val="000000" w:themeColor="text1"/>
          <w:sz w:val="32"/>
          <w:szCs w:val="32"/>
          <w14:textFill>
            <w14:solidFill>
              <w14:schemeClr w14:val="tx1"/>
            </w14:solidFill>
          </w14:textFill>
        </w:rPr>
        <w:t>万元，主要用于：九寨沟县市政公用事业服务中心按规定由单位缴纳的基本医疗保险支出。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4.卫生健康（210）行政事业单位医疗（11）公务员医疗补助（99）202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3.61</w:t>
      </w:r>
      <w:r>
        <w:rPr>
          <w:rFonts w:hint="eastAsia" w:ascii="仿宋_GB2312" w:hAnsi="黑体" w:eastAsia="仿宋_GB2312"/>
          <w:color w:val="000000" w:themeColor="text1"/>
          <w:sz w:val="32"/>
          <w:szCs w:val="32"/>
          <w14:textFill>
            <w14:solidFill>
              <w14:schemeClr w14:val="tx1"/>
            </w14:solidFill>
          </w14:textFill>
        </w:rPr>
        <w:t>万元，主要用于：九寨沟县市政公用事业服务中心集中缴纳公务员医疗补助支出。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5.城乡社区</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212）管理事务（01）城管执法（04）202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371.99</w:t>
      </w:r>
      <w:r>
        <w:rPr>
          <w:rFonts w:hint="eastAsia" w:ascii="仿宋_GB2312" w:hAnsi="黑体" w:eastAsia="仿宋_GB2312"/>
          <w:color w:val="000000" w:themeColor="text1"/>
          <w:sz w:val="32"/>
          <w:szCs w:val="32"/>
          <w14:textFill>
            <w14:solidFill>
              <w14:schemeClr w14:val="tx1"/>
            </w14:solidFill>
          </w14:textFill>
        </w:rPr>
        <w:t>万元，主要用于九寨沟县市政公用事业服务中心正常运转的基本支出，包括职工基本工资、津贴补贴</w:t>
      </w:r>
      <w:r>
        <w:rPr>
          <w:rFonts w:hint="eastAsia" w:ascii="仿宋_GB2312" w:hAnsi="黑体" w:eastAsia="仿宋_GB2312"/>
          <w:color w:val="000000" w:themeColor="text1"/>
          <w:sz w:val="32"/>
          <w:szCs w:val="32"/>
          <w:lang w:eastAsia="zh-CN"/>
          <w14:textFill>
            <w14:solidFill>
              <w14:schemeClr w14:val="tx1"/>
            </w14:solidFill>
          </w14:textFill>
        </w:rPr>
        <w:t>、聘用人员工资、保险</w:t>
      </w:r>
      <w:r>
        <w:rPr>
          <w:rFonts w:hint="eastAsia" w:ascii="仿宋_GB2312" w:hAnsi="黑体" w:eastAsia="仿宋_GB2312"/>
          <w:color w:val="000000" w:themeColor="text1"/>
          <w:sz w:val="32"/>
          <w:szCs w:val="32"/>
          <w14:textFill>
            <w14:solidFill>
              <w14:schemeClr w14:val="tx1"/>
            </w14:solidFill>
          </w14:textFill>
        </w:rPr>
        <w:t>等人员经费以及办公费、印刷费、邮电费等日常公用经费，保障</w:t>
      </w:r>
      <w:r>
        <w:rPr>
          <w:rFonts w:hint="eastAsia" w:ascii="仿宋_GB2312" w:hAnsi="黑体" w:eastAsia="仿宋_GB2312"/>
          <w:color w:val="000000" w:themeColor="text1"/>
          <w:sz w:val="32"/>
          <w:szCs w:val="32"/>
          <w:lang w:eastAsia="zh-CN"/>
          <w14:textFill>
            <w14:solidFill>
              <w14:schemeClr w14:val="tx1"/>
            </w14:solidFill>
          </w14:textFill>
        </w:rPr>
        <w:t>单位</w:t>
      </w:r>
      <w:r>
        <w:rPr>
          <w:rFonts w:hint="eastAsia" w:ascii="仿宋_GB2312" w:hAnsi="黑体" w:eastAsia="仿宋_GB2312"/>
          <w:color w:val="000000" w:themeColor="text1"/>
          <w:sz w:val="32"/>
          <w:szCs w:val="32"/>
          <w14:textFill>
            <w14:solidFill>
              <w14:schemeClr w14:val="tx1"/>
            </w14:solidFill>
          </w14:textFill>
        </w:rPr>
        <w:t>正常运转。</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6.城乡社区（212）城乡社区公共设施（03）其他城乡社区公共设施支出（99）202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46</w:t>
      </w:r>
      <w:r>
        <w:rPr>
          <w:rFonts w:hint="eastAsia" w:ascii="仿宋_GB2312" w:hAnsi="黑体" w:eastAsia="仿宋_GB2312"/>
          <w:color w:val="000000" w:themeColor="text1"/>
          <w:sz w:val="32"/>
          <w:szCs w:val="32"/>
          <w14:textFill>
            <w14:solidFill>
              <w14:schemeClr w14:val="tx1"/>
            </w14:solidFill>
          </w14:textFill>
        </w:rPr>
        <w:t>万元，主要用于：市政基础设施维修项目基本支出。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lang w:val="en-US" w:eastAsia="zh-CN"/>
          <w14:textFill>
            <w14:solidFill>
              <w14:schemeClr w14:val="tx1"/>
            </w14:solidFill>
          </w14:textFill>
        </w:rPr>
        <w:t>7</w:t>
      </w:r>
      <w:r>
        <w:rPr>
          <w:rFonts w:hint="eastAsia" w:ascii="仿宋_GB2312" w:hAnsi="黑体" w:eastAsia="仿宋_GB2312"/>
          <w:color w:val="000000" w:themeColor="text1"/>
          <w:sz w:val="32"/>
          <w:szCs w:val="32"/>
          <w14:textFill>
            <w14:solidFill>
              <w14:schemeClr w14:val="tx1"/>
            </w14:solidFill>
          </w14:textFill>
        </w:rPr>
        <w:t>.城乡社区（212）城乡社区环境卫生（05）城乡社区环境卫生（01）202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年预算数为</w:t>
      </w:r>
      <w:r>
        <w:rPr>
          <w:rFonts w:hint="eastAsia" w:ascii="仿宋_GB2312" w:hAnsi="黑体" w:eastAsia="仿宋_GB2312"/>
          <w:color w:val="000000" w:themeColor="text1"/>
          <w:sz w:val="32"/>
          <w:szCs w:val="32"/>
          <w:lang w:val="en-US" w:eastAsia="zh-CN"/>
          <w14:textFill>
            <w14:solidFill>
              <w14:schemeClr w14:val="tx1"/>
            </w14:solidFill>
          </w14:textFill>
        </w:rPr>
        <w:t>450</w:t>
      </w:r>
      <w:r>
        <w:rPr>
          <w:rFonts w:hint="eastAsia" w:ascii="仿宋_GB2312" w:hAnsi="黑体" w:eastAsia="仿宋_GB2312"/>
          <w:color w:val="000000" w:themeColor="text1"/>
          <w:sz w:val="32"/>
          <w:szCs w:val="32"/>
          <w14:textFill>
            <w14:solidFill>
              <w14:schemeClr w14:val="tx1"/>
            </w14:solidFill>
          </w14:textFill>
        </w:rPr>
        <w:t>万元，主要用于：九寨沟县城区清扫保洁和园林绿化市场化采购项目基本支出。</w:t>
      </w:r>
    </w:p>
    <w:p>
      <w:pPr>
        <w:spacing w:line="560" w:lineRule="exact"/>
        <w:ind w:firstLine="640" w:firstLineChars="200"/>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8.住房保障（221）住房改革支出（02）住房公积金（01）2026年预算数为31.72万元，主要用于：</w:t>
      </w:r>
      <w:r>
        <w:rPr>
          <w:rFonts w:hint="eastAsia" w:ascii="仿宋_GB2312" w:hAnsi="黑体" w:eastAsia="仿宋_GB2312"/>
          <w:color w:val="000000" w:themeColor="text1"/>
          <w:sz w:val="32"/>
          <w:szCs w:val="32"/>
          <w14:textFill>
            <w14:solidFill>
              <w14:schemeClr w14:val="tx1"/>
            </w14:solidFill>
          </w14:textFill>
        </w:rPr>
        <w:t>九寨沟县市政公用事业服务中心</w:t>
      </w:r>
      <w:r>
        <w:rPr>
          <w:rFonts w:hint="eastAsia" w:ascii="仿宋_GB2312" w:hAnsi="黑体" w:eastAsia="仿宋_GB2312"/>
          <w:color w:val="000000" w:themeColor="text1"/>
          <w:sz w:val="32"/>
          <w:szCs w:val="32"/>
          <w:lang w:eastAsia="zh-CN"/>
          <w14:textFill>
            <w14:solidFill>
              <w14:schemeClr w14:val="tx1"/>
            </w14:solidFill>
          </w14:textFill>
        </w:rPr>
        <w:t>按规定为职工</w:t>
      </w:r>
      <w:r>
        <w:rPr>
          <w:rFonts w:hint="eastAsia" w:ascii="仿宋_GB2312" w:hAnsi="黑体" w:eastAsia="仿宋_GB2312"/>
          <w:color w:val="000000" w:themeColor="text1"/>
          <w:sz w:val="32"/>
          <w:szCs w:val="32"/>
          <w14:textFill>
            <w14:solidFill>
              <w14:schemeClr w14:val="tx1"/>
            </w14:solidFill>
          </w14:textFill>
        </w:rPr>
        <w:t>缴纳</w:t>
      </w:r>
      <w:r>
        <w:rPr>
          <w:rFonts w:hint="eastAsia" w:ascii="仿宋_GB2312" w:hAnsi="黑体" w:eastAsia="仿宋_GB2312"/>
          <w:color w:val="000000" w:themeColor="text1"/>
          <w:sz w:val="32"/>
          <w:szCs w:val="32"/>
          <w:lang w:eastAsia="zh-CN"/>
          <w14:textFill>
            <w14:solidFill>
              <w14:schemeClr w14:val="tx1"/>
            </w14:solidFill>
          </w14:textFill>
        </w:rPr>
        <w:t>的住房公积金</w:t>
      </w:r>
      <w:r>
        <w:rPr>
          <w:rFonts w:hint="eastAsia" w:ascii="仿宋_GB2312" w:hAnsi="黑体" w:eastAsia="仿宋_GB2312"/>
          <w:color w:val="000000" w:themeColor="text1"/>
          <w:sz w:val="32"/>
          <w:szCs w:val="32"/>
          <w14:textFill>
            <w14:solidFill>
              <w14:schemeClr w14:val="tx1"/>
            </w14:solidFill>
          </w14:textFill>
        </w:rPr>
        <w:t>支出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四、一般公共预算基本支出情况说明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年一般公共预算基本支出</w:t>
      </w:r>
      <w:r>
        <w:rPr>
          <w:rFonts w:hint="eastAsia" w:ascii="仿宋_GB2312" w:hAnsi="黑体" w:eastAsia="仿宋_GB2312"/>
          <w:color w:val="000000" w:themeColor="text1"/>
          <w:sz w:val="32"/>
          <w:szCs w:val="32"/>
          <w:lang w:val="en-US" w:eastAsia="zh-CN"/>
          <w14:textFill>
            <w14:solidFill>
              <w14:schemeClr w14:val="tx1"/>
            </w14:solidFill>
          </w14:textFill>
        </w:rPr>
        <w:t>485.01</w:t>
      </w:r>
      <w:r>
        <w:rPr>
          <w:rFonts w:hint="eastAsia" w:ascii="仿宋_GB2312" w:hAnsi="黑体" w:eastAsia="仿宋_GB2312"/>
          <w:color w:val="000000" w:themeColor="text1"/>
          <w:sz w:val="32"/>
          <w:szCs w:val="32"/>
          <w14:textFill>
            <w14:solidFill>
              <w14:schemeClr w14:val="tx1"/>
            </w14:solidFill>
          </w14:textFill>
        </w:rPr>
        <w:t>万元，其中：</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人员经费</w:t>
      </w:r>
      <w:r>
        <w:rPr>
          <w:rFonts w:hint="eastAsia" w:ascii="仿宋_GB2312" w:hAnsi="黑体" w:eastAsia="仿宋_GB2312"/>
          <w:color w:val="000000" w:themeColor="text1"/>
          <w:sz w:val="32"/>
          <w:szCs w:val="32"/>
          <w:lang w:val="en-US" w:eastAsia="zh-CN"/>
          <w14:textFill>
            <w14:solidFill>
              <w14:schemeClr w14:val="tx1"/>
            </w14:solidFill>
          </w14:textFill>
        </w:rPr>
        <w:t>462.29</w:t>
      </w:r>
      <w:r>
        <w:rPr>
          <w:rFonts w:hint="eastAsia" w:ascii="仿宋_GB2312" w:hAnsi="黑体" w:eastAsia="仿宋_GB2312"/>
          <w:color w:val="000000" w:themeColor="text1"/>
          <w:sz w:val="32"/>
          <w:szCs w:val="32"/>
          <w14:textFill>
            <w14:solidFill>
              <w14:schemeClr w14:val="tx1"/>
            </w14:solidFill>
          </w14:textFill>
        </w:rPr>
        <w:t>万元，主要包括：基本工资、津贴补贴、奖金、基础绩效、绩效工资、社会保险缴费、住房公积金、长聘人员工资及保险等支出。</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公用经费2</w:t>
      </w:r>
      <w:r>
        <w:rPr>
          <w:rFonts w:hint="eastAsia" w:ascii="仿宋_GB2312" w:hAnsi="黑体" w:eastAsia="仿宋_GB2312"/>
          <w:color w:val="000000" w:themeColor="text1"/>
          <w:sz w:val="32"/>
          <w:szCs w:val="32"/>
          <w:lang w:val="en-US" w:eastAsia="zh-CN"/>
          <w14:textFill>
            <w14:solidFill>
              <w14:schemeClr w14:val="tx1"/>
            </w14:solidFill>
          </w14:textFill>
        </w:rPr>
        <w:t>2.72</w:t>
      </w:r>
      <w:r>
        <w:rPr>
          <w:rFonts w:hint="eastAsia" w:ascii="仿宋_GB2312" w:hAnsi="黑体" w:eastAsia="仿宋_GB2312"/>
          <w:color w:val="000000" w:themeColor="text1"/>
          <w:sz w:val="32"/>
          <w:szCs w:val="32"/>
          <w14:textFill>
            <w14:solidFill>
              <w14:schemeClr w14:val="tx1"/>
            </w14:solidFill>
          </w14:textFill>
        </w:rPr>
        <w:t>万元，主要包活：办公费、印刷费、邮电费、差旅费、培训费、工会经费、福利费、其他交通费用等支出。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五、“三公”经费财政拨款预算安排情况说明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我中心202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年“三公”经费财政拨款预算数为0.09万元。</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六、政府性基金预算支出情况说明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lang w:eastAsia="zh-CN"/>
          <w14:textFill>
            <w14:solidFill>
              <w14:schemeClr w14:val="tx1"/>
            </w14:solidFill>
          </w14:textFill>
        </w:rPr>
        <w:t>无</w:t>
      </w:r>
      <w:r>
        <w:rPr>
          <w:rFonts w:hint="eastAsia" w:ascii="仿宋_GB2312" w:hAnsi="黑体" w:eastAsia="仿宋_GB2312"/>
          <w:color w:val="000000" w:themeColor="text1"/>
          <w:sz w:val="32"/>
          <w:szCs w:val="32"/>
          <w14:textFill>
            <w14:solidFill>
              <w14:schemeClr w14:val="tx1"/>
            </w14:solidFill>
          </w14:textFill>
        </w:rPr>
        <w:t>使用政府性基金预算拨款安排的支出。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七、国有资本经营预算情况说明</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九寨沟县市政公用事业服务中心202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年无使用国有资本经营预算拨款安排的支出。</w:t>
      </w:r>
    </w:p>
    <w:p>
      <w:pPr>
        <w:spacing w:line="560" w:lineRule="exact"/>
        <w:ind w:firstLine="640" w:firstLineChars="200"/>
        <w:rPr>
          <w:rFonts w:ascii="黑体" w:hAnsi="黑体" w:eastAsia="黑体"/>
          <w:color w:val="000000" w:themeColor="text1"/>
          <w:sz w:val="32"/>
          <w:szCs w:val="32"/>
          <w14:textFill>
            <w14:solidFill>
              <w14:schemeClr w14:val="tx1"/>
            </w14:solidFill>
          </w14:textFill>
        </w:rPr>
      </w:pPr>
      <w:r>
        <w:rPr>
          <w:rFonts w:hint="eastAsia" w:ascii="黑体" w:hAnsi="黑体" w:eastAsia="黑体"/>
          <w:color w:val="000000" w:themeColor="text1"/>
          <w:sz w:val="32"/>
          <w:szCs w:val="32"/>
          <w14:textFill>
            <w14:solidFill>
              <w14:schemeClr w14:val="tx1"/>
            </w14:solidFill>
          </w14:textFill>
        </w:rPr>
        <w:t>八、其他重要事项的情况说明</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ascii="楷体" w:hAnsi="楷体" w:eastAsia="楷体"/>
          <w:b/>
          <w:color w:val="000000" w:themeColor="text1"/>
          <w:sz w:val="32"/>
          <w:szCs w:val="32"/>
          <w14:textFill>
            <w14:solidFill>
              <w14:schemeClr w14:val="tx1"/>
            </w14:solidFill>
          </w14:textFill>
        </w:rPr>
        <w:t>（</w:t>
      </w:r>
      <w:r>
        <w:rPr>
          <w:rFonts w:hint="eastAsia" w:ascii="楷体" w:hAnsi="楷体" w:eastAsia="楷体"/>
          <w:b/>
          <w:color w:val="000000" w:themeColor="text1"/>
          <w:sz w:val="32"/>
          <w:szCs w:val="32"/>
          <w14:textFill>
            <w14:solidFill>
              <w14:schemeClr w14:val="tx1"/>
            </w14:solidFill>
          </w14:textFill>
        </w:rPr>
        <w:t>一</w:t>
      </w:r>
      <w:r>
        <w:rPr>
          <w:rFonts w:ascii="楷体" w:hAnsi="楷体" w:eastAsia="楷体"/>
          <w:b/>
          <w:color w:val="000000" w:themeColor="text1"/>
          <w:sz w:val="32"/>
          <w:szCs w:val="32"/>
          <w14:textFill>
            <w14:solidFill>
              <w14:schemeClr w14:val="tx1"/>
            </w14:solidFill>
          </w14:textFill>
        </w:rPr>
        <w:t>）</w:t>
      </w:r>
      <w:r>
        <w:rPr>
          <w:rFonts w:hint="eastAsia" w:ascii="楷体" w:hAnsi="楷体" w:eastAsia="楷体"/>
          <w:b/>
          <w:color w:val="000000" w:themeColor="text1"/>
          <w:sz w:val="32"/>
          <w:szCs w:val="32"/>
          <w14:textFill>
            <w14:solidFill>
              <w14:schemeClr w14:val="tx1"/>
            </w14:solidFill>
          </w14:textFill>
        </w:rPr>
        <w:t>机关运行经费情况</w:t>
      </w:r>
    </w:p>
    <w:p>
      <w:pPr>
        <w:spacing w:line="560" w:lineRule="exact"/>
        <w:ind w:firstLine="640" w:firstLineChars="200"/>
        <w:rPr>
          <w:rFonts w:eastAsia="仿宋_GB2312"/>
          <w:color w:val="000000" w:themeColor="text1"/>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年，九寨沟县市政公用事业服务中心下属0个机构的机关运行经费财政拨款预算0万元。</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（二</w:t>
      </w:r>
      <w:r>
        <w:rPr>
          <w:rFonts w:ascii="楷体" w:hAnsi="楷体" w:eastAsia="楷体"/>
          <w:b/>
          <w:color w:val="000000" w:themeColor="text1"/>
          <w:sz w:val="32"/>
          <w:szCs w:val="32"/>
          <w14:textFill>
            <w14:solidFill>
              <w14:schemeClr w14:val="tx1"/>
            </w14:solidFill>
          </w14:textFill>
        </w:rPr>
        <w:t>）</w:t>
      </w:r>
      <w:r>
        <w:rPr>
          <w:rFonts w:hint="eastAsia" w:ascii="楷体" w:hAnsi="楷体" w:eastAsia="楷体"/>
          <w:b/>
          <w:color w:val="000000" w:themeColor="text1"/>
          <w:sz w:val="32"/>
          <w:szCs w:val="32"/>
          <w14:textFill>
            <w14:solidFill>
              <w14:schemeClr w14:val="tx1"/>
            </w14:solidFill>
          </w14:textFill>
        </w:rPr>
        <w:t>政府采购情况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20</w:t>
      </w:r>
      <w:r>
        <w:rPr>
          <w:rFonts w:ascii="仿宋_GB2312" w:hAnsi="黑体" w:eastAsia="仿宋_GB2312"/>
          <w:color w:val="000000" w:themeColor="text1"/>
          <w:sz w:val="32"/>
          <w:szCs w:val="32"/>
          <w14:textFill>
            <w14:solidFill>
              <w14:schemeClr w14:val="tx1"/>
            </w14:solidFill>
          </w14:textFill>
        </w:rPr>
        <w:t>2</w:t>
      </w:r>
      <w:r>
        <w:rPr>
          <w:rFonts w:hint="eastAsia" w:ascii="仿宋_GB2312" w:hAnsi="黑体" w:eastAsia="仿宋_GB2312"/>
          <w:color w:val="000000" w:themeColor="text1"/>
          <w:sz w:val="32"/>
          <w:szCs w:val="32"/>
          <w:lang w:val="en-US" w:eastAsia="zh-CN"/>
          <w14:textFill>
            <w14:solidFill>
              <w14:schemeClr w14:val="tx1"/>
            </w14:solidFill>
          </w14:textFill>
        </w:rPr>
        <w:t>6</w:t>
      </w:r>
      <w:r>
        <w:rPr>
          <w:rFonts w:hint="eastAsia" w:ascii="仿宋_GB2312" w:hAnsi="黑体" w:eastAsia="仿宋_GB2312"/>
          <w:color w:val="000000" w:themeColor="text1"/>
          <w:sz w:val="32"/>
          <w:szCs w:val="32"/>
          <w14:textFill>
            <w14:solidFill>
              <w14:schemeClr w14:val="tx1"/>
            </w14:solidFill>
          </w14:textFill>
        </w:rPr>
        <w:t>年，九寨沟县市政公用事业服务中心</w:t>
      </w:r>
      <w:r>
        <w:rPr>
          <w:rFonts w:hint="eastAsia" w:ascii="仿宋_GB2312" w:hAnsi="黑体" w:eastAsia="仿宋_GB2312"/>
          <w:color w:val="000000" w:themeColor="text1"/>
          <w:sz w:val="32"/>
          <w:szCs w:val="32"/>
          <w:lang w:eastAsia="zh-CN"/>
          <w14:textFill>
            <w14:solidFill>
              <w14:schemeClr w14:val="tx1"/>
            </w14:solidFill>
          </w14:textFill>
        </w:rPr>
        <w:t>无</w:t>
      </w:r>
      <w:r>
        <w:rPr>
          <w:rFonts w:hint="eastAsia" w:ascii="仿宋_GB2312" w:hAnsi="黑体" w:eastAsia="仿宋_GB2312"/>
          <w:color w:val="000000" w:themeColor="text1"/>
          <w:sz w:val="32"/>
          <w:szCs w:val="32"/>
          <w14:textFill>
            <w14:solidFill>
              <w14:schemeClr w14:val="tx1"/>
            </w14:solidFill>
          </w14:textFill>
        </w:rPr>
        <w:t>政府采购预算</w:t>
      </w:r>
      <w:r>
        <w:rPr>
          <w:rFonts w:hint="eastAsia" w:ascii="仿宋_GB2312" w:hAnsi="黑体" w:eastAsia="仿宋_GB2312"/>
          <w:color w:val="000000" w:themeColor="text1"/>
          <w:sz w:val="32"/>
          <w:szCs w:val="32"/>
          <w:lang w:val="en-US" w:eastAsia="zh-CN"/>
          <w14:textFill>
            <w14:solidFill>
              <w14:schemeClr w14:val="tx1"/>
            </w14:solidFill>
          </w14:textFill>
        </w:rPr>
        <w:t>450</w:t>
      </w:r>
      <w:r>
        <w:rPr>
          <w:rFonts w:hint="eastAsia" w:ascii="仿宋_GB2312" w:hAnsi="黑体" w:eastAsia="仿宋_GB2312"/>
          <w:color w:val="000000" w:themeColor="text1"/>
          <w:sz w:val="32"/>
          <w:szCs w:val="32"/>
          <w14:textFill>
            <w14:solidFill>
              <w14:schemeClr w14:val="tx1"/>
            </w14:solidFill>
          </w14:textFill>
        </w:rPr>
        <w:t>万元。（九寨沟县城区清扫保洁和园林绿化市场化采购项目）</w:t>
      </w:r>
    </w:p>
    <w:p>
      <w:pPr>
        <w:spacing w:line="560" w:lineRule="exact"/>
        <w:ind w:firstLine="643" w:firstLineChars="200"/>
        <w:rPr>
          <w:rFonts w:ascii="楷体" w:hAnsi="楷体" w:eastAsia="楷体"/>
          <w:b/>
          <w:color w:val="000000" w:themeColor="text1"/>
          <w:sz w:val="32"/>
          <w:szCs w:val="32"/>
          <w14:textFill>
            <w14:solidFill>
              <w14:schemeClr w14:val="tx1"/>
            </w14:solidFill>
          </w14:textFill>
        </w:rPr>
      </w:pPr>
      <w:r>
        <w:rPr>
          <w:rFonts w:hint="eastAsia" w:ascii="楷体" w:hAnsi="楷体" w:eastAsia="楷体"/>
          <w:b/>
          <w:color w:val="000000" w:themeColor="text1"/>
          <w:sz w:val="32"/>
          <w:szCs w:val="32"/>
          <w14:textFill>
            <w14:solidFill>
              <w14:schemeClr w14:val="tx1"/>
            </w14:solidFill>
          </w14:textFill>
        </w:rPr>
        <w:t>（三）国有资产占有使用情况</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截至202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年底，九寨沟县市政公用事业服务中心所属车辆</w:t>
      </w:r>
      <w:r>
        <w:rPr>
          <w:rFonts w:hint="eastAsia" w:ascii="仿宋_GB2312" w:hAnsi="黑体" w:eastAsia="仿宋_GB2312"/>
          <w:color w:val="000000" w:themeColor="text1"/>
          <w:sz w:val="32"/>
          <w:szCs w:val="32"/>
          <w:lang w:val="en-US" w:eastAsia="zh-CN"/>
          <w14:textFill>
            <w14:solidFill>
              <w14:schemeClr w14:val="tx1"/>
            </w14:solidFill>
          </w14:textFill>
        </w:rPr>
        <w:t>17</w:t>
      </w:r>
      <w:r>
        <w:rPr>
          <w:rFonts w:hint="eastAsia" w:ascii="仿宋_GB2312" w:hAnsi="黑体" w:eastAsia="仿宋_GB2312"/>
          <w:color w:val="000000" w:themeColor="text1"/>
          <w:sz w:val="32"/>
          <w:szCs w:val="32"/>
          <w14:textFill>
            <w14:solidFill>
              <w14:schemeClr w14:val="tx1"/>
            </w14:solidFill>
          </w14:textFill>
        </w:rPr>
        <w:t>辆，其中，领导干部用车0辆、定向保障用车0辆、执法执勤用车0辆。单位价值200万元以上大型设备0台</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套</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202</w:t>
      </w:r>
      <w:r>
        <w:rPr>
          <w:rFonts w:hint="eastAsia" w:ascii="仿宋_GB2312" w:hAnsi="黑体" w:eastAsia="仿宋_GB2312"/>
          <w:color w:val="000000" w:themeColor="text1"/>
          <w:sz w:val="32"/>
          <w:szCs w:val="32"/>
          <w:lang w:val="en-US" w:eastAsia="zh-CN"/>
          <w14:textFill>
            <w14:solidFill>
              <w14:schemeClr w14:val="tx1"/>
            </w14:solidFill>
          </w14:textFill>
        </w:rPr>
        <w:t>5</w:t>
      </w:r>
      <w:r>
        <w:rPr>
          <w:rFonts w:hint="eastAsia" w:ascii="仿宋_GB2312" w:hAnsi="黑体" w:eastAsia="仿宋_GB2312"/>
          <w:color w:val="000000" w:themeColor="text1"/>
          <w:sz w:val="32"/>
          <w:szCs w:val="32"/>
          <w14:textFill>
            <w14:solidFill>
              <w14:schemeClr w14:val="tx1"/>
            </w14:solidFill>
          </w14:textFill>
        </w:rPr>
        <w:t>年</w:t>
      </w:r>
      <w:r>
        <w:rPr>
          <w:rFonts w:hint="eastAsia" w:ascii="仿宋_GB2312" w:hAnsi="黑体" w:eastAsia="仿宋_GB2312"/>
          <w:color w:val="000000" w:themeColor="text1"/>
          <w:sz w:val="32"/>
          <w:szCs w:val="32"/>
          <w:lang w:eastAsia="zh-CN"/>
          <w14:textFill>
            <w14:solidFill>
              <w14:schemeClr w14:val="tx1"/>
            </w14:solidFill>
          </w14:textFill>
        </w:rPr>
        <w:t>单位</w:t>
      </w:r>
      <w:r>
        <w:rPr>
          <w:rFonts w:hint="eastAsia" w:ascii="仿宋_GB2312" w:hAnsi="黑体" w:eastAsia="仿宋_GB2312"/>
          <w:color w:val="000000" w:themeColor="text1"/>
          <w:sz w:val="32"/>
          <w:szCs w:val="32"/>
          <w14:textFill>
            <w14:solidFill>
              <w14:schemeClr w14:val="tx1"/>
            </w14:solidFill>
          </w14:textFill>
        </w:rPr>
        <w:t>预算没有安排购置车辆及单位价值200万元以上大型设备。</w:t>
      </w:r>
    </w:p>
    <w:p>
      <w:pPr>
        <w:spacing w:line="560" w:lineRule="exact"/>
        <w:ind w:firstLine="640" w:firstLineChars="200"/>
        <w:rPr>
          <w:rFonts w:ascii="仿宋_GB2312" w:hAnsi="黑体" w:eastAsia="仿宋_GB2312"/>
          <w:color w:val="000000" w:themeColor="text1"/>
          <w:sz w:val="32"/>
          <w:szCs w:val="32"/>
          <w14:textFill>
            <w14:solidFill>
              <w14:schemeClr w14:val="tx1"/>
            </w14:solidFill>
          </w14:textFill>
        </w:rPr>
      </w:pPr>
    </w:p>
    <w:p>
      <w:pPr>
        <w:pStyle w:val="2"/>
        <w:ind w:left="0" w:leftChars="0" w:firstLine="0" w:firstLineChars="0"/>
        <w:rPr>
          <w:rFonts w:ascii="仿宋_GB2312" w:hAnsi="黑体" w:eastAsia="仿宋_GB2312"/>
          <w:color w:val="000000" w:themeColor="text1"/>
          <w:sz w:val="32"/>
          <w:szCs w:val="32"/>
          <w14:textFill>
            <w14:solidFill>
              <w14:schemeClr w14:val="tx1"/>
            </w14:solidFill>
          </w14:textFill>
        </w:rPr>
      </w:pPr>
    </w:p>
    <w:p>
      <w:pPr>
        <w:pStyle w:val="2"/>
        <w:ind w:firstLine="640"/>
        <w:rPr>
          <w:rFonts w:ascii="仿宋_GB2312" w:hAnsi="黑体" w:eastAsia="仿宋_GB2312"/>
          <w:color w:val="000000" w:themeColor="text1"/>
          <w:sz w:val="32"/>
          <w:szCs w:val="32"/>
          <w14:textFill>
            <w14:solidFill>
              <w14:schemeClr w14:val="tx1"/>
            </w14:solidFill>
          </w14:textFill>
        </w:rPr>
      </w:pPr>
    </w:p>
    <w:p>
      <w:pPr>
        <w:spacing w:line="560" w:lineRule="exact"/>
        <w:rPr>
          <w:rFonts w:ascii="方正小标宋简体" w:hAnsi="黑体" w:eastAsia="方正小标宋简体"/>
          <w:color w:val="000000" w:themeColor="text1"/>
          <w:sz w:val="44"/>
          <w:szCs w:val="44"/>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br w:type="page"/>
      </w:r>
    </w:p>
    <w:p>
      <w:pPr>
        <w:spacing w:line="560" w:lineRule="exact"/>
        <w:jc w:val="center"/>
        <w:rPr>
          <w:rFonts w:ascii="方正小标宋简体" w:hAnsi="黑体" w:eastAsia="方正小标宋简体"/>
          <w:color w:val="000000" w:themeColor="text1"/>
          <w:sz w:val="44"/>
          <w:szCs w:val="44"/>
          <w14:textFill>
            <w14:solidFill>
              <w14:schemeClr w14:val="tx1"/>
            </w14:solidFill>
          </w14:textFill>
        </w:rPr>
      </w:pPr>
      <w:r>
        <w:rPr>
          <w:rFonts w:hint="eastAsia" w:ascii="方正小标宋简体" w:hAnsi="黑体" w:eastAsia="方正小标宋简体"/>
          <w:color w:val="000000" w:themeColor="text1"/>
          <w:sz w:val="44"/>
          <w:szCs w:val="44"/>
          <w14:textFill>
            <w14:solidFill>
              <w14:schemeClr w14:val="tx1"/>
            </w14:solidFill>
          </w14:textFill>
        </w:rPr>
        <w:t>第四部分  名词解释</w:t>
      </w:r>
    </w:p>
    <w:p>
      <w:pPr>
        <w:pStyle w:val="2"/>
        <w:rPr>
          <w:color w:val="000000" w:themeColor="text1"/>
          <w14:textFill>
            <w14:solidFill>
              <w14:schemeClr w14:val="tx1"/>
            </w14:solidFill>
          </w14:textFill>
        </w:rPr>
      </w:pPr>
    </w:p>
    <w:p>
      <w:p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（一）一般公共预算拨款收入：指县级财政当年拨付的资金。</w:t>
      </w:r>
    </w:p>
    <w:p>
      <w:pPr>
        <w:numPr>
          <w:ilvl w:val="0"/>
          <w:numId w:val="1"/>
        </w:numPr>
        <w:spacing w:line="560" w:lineRule="exact"/>
        <w:ind w:firstLine="640" w:firstLineChars="20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政府性基金预算收入：指按规定收取、转入或通过当年财政安排，纳入政府预算管理，具有指定用途的政府性基金收入。</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（三）社会保障和就业（208）行政事业单位养老支出（05）机关事业单位基本养老保险缴费支出（05）：指</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实施养老保险制度由单位缴纳的养老保险的支出。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（四）社会保障和就业（208）行政事业单位养老支出（05）机关事业单位职业年金缴费支出（06）：指</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实施养老保险制度由单位缴纳的职业年金的支出。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（五）</w:t>
      </w:r>
      <w:r>
        <w:rPr>
          <w:rFonts w:hint="eastAsia" w:ascii="仿宋_GB2312" w:hAnsi="黑体" w:eastAsia="仿宋_GB2312"/>
          <w:color w:val="000000" w:themeColor="text1"/>
          <w:sz w:val="32"/>
          <w:szCs w:val="32"/>
          <w14:textFill>
            <w14:solidFill>
              <w14:schemeClr w14:val="tx1"/>
            </w14:solidFill>
          </w14:textFill>
        </w:rPr>
        <w:t>卫生健康（210）行政事业单位医疗（11）事业单位医疗</w:t>
      </w:r>
      <w:r>
        <w:rPr>
          <w:rFonts w:ascii="仿宋_GB2312" w:hAnsi="黑体" w:eastAsia="仿宋_GB2312"/>
          <w:color w:val="000000" w:themeColor="text1"/>
          <w:sz w:val="32"/>
          <w:szCs w:val="32"/>
          <w14:textFill>
            <w14:solidFill>
              <w14:schemeClr w14:val="tx1"/>
            </w14:solidFill>
          </w14:textFill>
        </w:rPr>
        <w:t>（</w:t>
      </w:r>
      <w:r>
        <w:rPr>
          <w:rFonts w:hint="eastAsia" w:ascii="仿宋_GB2312" w:hAnsi="黑体" w:eastAsia="仿宋_GB2312"/>
          <w:color w:val="000000" w:themeColor="text1"/>
          <w:sz w:val="32"/>
          <w:szCs w:val="32"/>
          <w14:textFill>
            <w14:solidFill>
              <w14:schemeClr w14:val="tx1"/>
            </w14:solidFill>
          </w14:textFill>
        </w:rPr>
        <w:t>02</w:t>
      </w:r>
      <w:r>
        <w:rPr>
          <w:rFonts w:ascii="仿宋_GB2312" w:hAnsi="黑体" w:eastAsia="仿宋_GB2312"/>
          <w:color w:val="000000" w:themeColor="text1"/>
          <w:sz w:val="32"/>
          <w:szCs w:val="32"/>
          <w14:textFill>
            <w14:solidFill>
              <w14:schemeClr w14:val="tx1"/>
            </w14:solidFill>
          </w14:textFill>
        </w:rPr>
        <w:t>）</w:t>
      </w:r>
      <w:r>
        <w:rPr>
          <w:rFonts w:hint="eastAsia" w:ascii="仿宋_GB2312" w:hAnsi="仿宋_GB2312" w:eastAsia="仿宋_GB2312" w:cs="仿宋_GB2312"/>
          <w:color w:val="000000" w:themeColor="text1"/>
          <w:sz w:val="32"/>
          <w:szCs w:val="32"/>
          <w14:textFill>
            <w14:solidFill>
              <w14:schemeClr w14:val="tx1"/>
            </w14:solidFill>
          </w14:textFill>
        </w:rPr>
        <w:t>：指事业单位用于单位应缴纳基本医疗保险支出。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（六）</w:t>
      </w:r>
      <w:r>
        <w:rPr>
          <w:rFonts w:hint="eastAsia" w:ascii="仿宋_GB2312" w:hAnsi="黑体" w:eastAsia="仿宋_GB2312"/>
          <w:color w:val="000000" w:themeColor="text1"/>
          <w:sz w:val="32"/>
          <w:szCs w:val="32"/>
          <w14:textFill>
            <w14:solidFill>
              <w14:schemeClr w14:val="tx1"/>
            </w14:solidFill>
          </w14:textFill>
        </w:rPr>
        <w:t>卫生健康（210）行政事业单位医疗（11）公务员医疗补助（99）</w:t>
      </w:r>
      <w:r>
        <w:rPr>
          <w:rFonts w:hint="eastAsia" w:ascii="仿宋_GB2312" w:hAnsi="仿宋_GB2312" w:eastAsia="仿宋_GB2312" w:cs="仿宋_GB2312"/>
          <w:color w:val="000000" w:themeColor="text1"/>
          <w:sz w:val="32"/>
          <w:szCs w:val="32"/>
          <w14:textFill>
            <w14:solidFill>
              <w14:schemeClr w14:val="tx1"/>
            </w14:solidFill>
          </w14:textFill>
        </w:rPr>
        <w:t>：机关行政事业单位用于集中缴纳公务员医疗补助支出。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（七）住房保障（221）住房改革支出（02）住房公积金（01）：指按照《住房公积金管理条例》的规定，由单位及其在职职工缴存的长期住房储金。</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（八）城乡社区支出（212）</w:t>
      </w:r>
      <w:r>
        <w:rPr>
          <w:rFonts w:hint="eastAsia" w:ascii="仿宋_GB2312" w:hAnsi="黑体" w:eastAsia="仿宋_GB2312"/>
          <w:color w:val="000000" w:themeColor="text1"/>
          <w:sz w:val="32"/>
          <w:szCs w:val="32"/>
          <w14:textFill>
            <w14:solidFill>
              <w14:schemeClr w14:val="tx1"/>
            </w14:solidFill>
          </w14:textFill>
        </w:rPr>
        <w:t>城乡社区管理事务</w:t>
      </w:r>
      <w:r>
        <w:rPr>
          <w:rFonts w:hint="eastAsia" w:ascii="仿宋_GB2312" w:hAnsi="仿宋_GB2312" w:eastAsia="仿宋_GB2312" w:cs="仿宋_GB2312"/>
          <w:color w:val="000000" w:themeColor="text1"/>
          <w:sz w:val="32"/>
          <w:szCs w:val="32"/>
          <w14:textFill>
            <w14:solidFill>
              <w14:schemeClr w14:val="tx1"/>
            </w14:solidFill>
          </w14:textFill>
        </w:rPr>
        <w:t>（01）城管执法（04）：指九寨沟县市政公用事业服务中心的基本支出。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（九）</w:t>
      </w:r>
      <w:r>
        <w:rPr>
          <w:rFonts w:hint="eastAsia" w:ascii="仿宋_GB2312" w:hAnsi="黑体" w:eastAsia="仿宋_GB2312"/>
          <w:color w:val="000000" w:themeColor="text1"/>
          <w:sz w:val="32"/>
          <w:szCs w:val="32"/>
          <w14:textFill>
            <w14:solidFill>
              <w14:schemeClr w14:val="tx1"/>
            </w14:solidFill>
          </w14:textFill>
        </w:rPr>
        <w:t>城乡社区（212）城乡社区公共设施（03）其他城乡社区公共设施支出（99）</w:t>
      </w:r>
      <w:r>
        <w:rPr>
          <w:rFonts w:hint="eastAsia" w:ascii="仿宋_GB2312" w:hAnsi="仿宋_GB2312" w:eastAsia="仿宋_GB2312" w:cs="仿宋_GB2312"/>
          <w:color w:val="000000" w:themeColor="text1"/>
          <w:sz w:val="32"/>
          <w:szCs w:val="32"/>
          <w14:textFill>
            <w14:solidFill>
              <w14:schemeClr w14:val="tx1"/>
            </w14:solidFill>
          </w14:textFill>
        </w:rPr>
        <w:t>：指</w:t>
      </w:r>
      <w:r>
        <w:rPr>
          <w:rFonts w:hint="eastAsia" w:ascii="仿宋_GB2312" w:hAnsi="黑体" w:eastAsia="仿宋_GB2312"/>
          <w:color w:val="000000" w:themeColor="text1"/>
          <w:sz w:val="32"/>
          <w:szCs w:val="32"/>
          <w14:textFill>
            <w14:solidFill>
              <w14:schemeClr w14:val="tx1"/>
            </w14:solidFill>
          </w14:textFill>
        </w:rPr>
        <w:t>市政水费、市政电费、市政设施维修维护费的基本支出。</w:t>
      </w:r>
    </w:p>
    <w:p>
      <w:pPr>
        <w:ind w:firstLine="640" w:firstLineChars="200"/>
        <w:rPr>
          <w:rFonts w:ascii="仿宋" w:hAnsi="仿宋" w:eastAsia="仿宋"/>
          <w:b/>
          <w:color w:val="000000" w:themeColor="text1"/>
          <w:sz w:val="32"/>
          <w:szCs w:val="32"/>
          <w14:textFill>
            <w14:solidFill>
              <w14:schemeClr w14:val="tx1"/>
            </w14:solidFill>
          </w14:textFill>
        </w:rPr>
      </w:pPr>
      <w:r>
        <w:rPr>
          <w:rFonts w:hint="eastAsia" w:ascii="仿宋_GB2312" w:hAnsi="黑体" w:eastAsia="仿宋_GB2312"/>
          <w:color w:val="000000" w:themeColor="text1"/>
          <w:sz w:val="32"/>
          <w:szCs w:val="32"/>
          <w14:textFill>
            <w14:solidFill>
              <w14:schemeClr w14:val="tx1"/>
            </w14:solidFill>
          </w14:textFill>
        </w:rPr>
        <w:t>（十）城乡社区（212）城乡社区环境卫生（05）城乡社区环境卫生（01）：指九寨沟县城区清扫保洁和园林绿化市场化采购项目基本支出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（十一）基本支出：指为保证机构正常运转，完成日常工作任务而发生的人员支出和公用支出。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（十二）项目支出；指在基本支出之外为完成特定行政任务和事业发展目标所发生的支出。</w:t>
      </w:r>
    </w:p>
    <w:p>
      <w:pPr>
        <w:spacing w:line="560" w:lineRule="exact"/>
        <w:ind w:firstLine="640"/>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（十三）“三公”经费：纳入九寨沟县市政公用事业服务中腾信预算管理的“三公”经费，是指</w:t>
      </w:r>
      <w:r>
        <w:rPr>
          <w:rFonts w:hint="eastAsia" w:ascii="仿宋_GB2312" w:hAnsi="仿宋_GB2312" w:eastAsia="仿宋_GB2312" w:cs="仿宋_GB2312"/>
          <w:color w:val="000000" w:themeColor="text1"/>
          <w:sz w:val="32"/>
          <w:szCs w:val="32"/>
          <w:lang w:eastAsia="zh-CN"/>
          <w14:textFill>
            <w14:solidFill>
              <w14:schemeClr w14:val="tx1"/>
            </w14:solidFill>
          </w14:textFill>
        </w:rPr>
        <w:t>单位</w:t>
      </w:r>
      <w:r>
        <w:rPr>
          <w:rFonts w:hint="eastAsia" w:ascii="仿宋_GB2312" w:hAnsi="仿宋_GB2312" w:eastAsia="仿宋_GB2312" w:cs="仿宋_GB2312"/>
          <w:color w:val="000000" w:themeColor="text1"/>
          <w:sz w:val="32"/>
          <w:szCs w:val="32"/>
          <w14:textFill>
            <w14:solidFill>
              <w14:schemeClr w14:val="tx1"/>
            </w14:solidFill>
          </w14:textFill>
        </w:rPr>
        <w:t>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盟税）及租用费、燃料费、维修费、过路过桥费、保险费等支出；公务接待费反映单位按规定开支的各类公务接待（含外宾接待）支出。</w:t>
      </w:r>
    </w:p>
    <w:p>
      <w:pPr>
        <w:spacing w:line="560" w:lineRule="exact"/>
        <w:ind w:firstLine="640"/>
        <w:rPr>
          <w:rFonts w:ascii="仿宋_GB2312" w:hAnsi="黑体" w:eastAsia="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十四）机关运行经费：为保障行政单位（包括参照公务员法管理的事业单位）运行用于购买货物和服务的各项资金，包括办公及印刷费、邮电费、差旅费、会议费、培训费、福利费、日常维修费、专用材料及一般设备购置费、办公用房水电费、办公用房取暖贵、办公用房物业管理费、公务用</w:t>
      </w:r>
    </w:p>
    <w:sectPr>
      <w:type w:val="continuous"/>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Dialog . plain">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swiss"/>
    <w:pitch w:val="default"/>
    <w:sig w:usb0="E0002AFF" w:usb1="C0007843"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Dialog . bold">
    <w:altName w:val="Segoe Print"/>
    <w:panose1 w:val="00000000000000000000"/>
    <w:charset w:val="00"/>
    <w:family w:val="auto"/>
    <w:pitch w:val="default"/>
    <w:sig w:usb0="00000000" w:usb1="00000000" w:usb2="00000000" w:usb3="00000000" w:csb0="00000000" w:csb1="00000000"/>
  </w:font>
  <w:font w:name="Arial">
    <w:panose1 w:val="020B0604020202020204"/>
    <w:charset w:val="00"/>
    <w:family w:val="decorative"/>
    <w:pitch w:val="default"/>
    <w:sig w:usb0="E0002AFF" w:usb1="C0007843" w:usb2="00000009" w:usb3="00000000" w:csb0="400001FF" w:csb1="FFFF0000"/>
  </w:font>
  <w:font w:name="黑体">
    <w:panose1 w:val="02010609060101010101"/>
    <w:charset w:val="86"/>
    <w:family w:val="swiss"/>
    <w:pitch w:val="default"/>
    <w:sig w:usb0="800002BF" w:usb1="38CF7CFA" w:usb2="00000016" w:usb3="00000000" w:csb0="00040001"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 w:name="楷体_GB2312">
    <w:panose1 w:val="02010609030101010101"/>
    <w:charset w:val="86"/>
    <w:family w:val="swiss"/>
    <w:pitch w:val="default"/>
    <w:sig w:usb0="00000001" w:usb1="080E0000" w:usb2="00000000" w:usb3="00000000" w:csb0="00040000" w:csb1="00000000"/>
  </w:font>
  <w:font w:name="楷体">
    <w:panose1 w:val="02010609060101010101"/>
    <w:charset w:val="86"/>
    <w:family w:val="swiss"/>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黑体">
    <w:panose1 w:val="02010609060101010101"/>
    <w:charset w:val="86"/>
    <w:family w:val="decorative"/>
    <w:pitch w:val="default"/>
    <w:sig w:usb0="800002BF" w:usb1="38CF7CFA" w:usb2="00000016" w:usb3="00000000" w:csb0="00040001"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楷体_GB2312">
    <w:panose1 w:val="02010609030101010101"/>
    <w:charset w:val="86"/>
    <w:family w:val="decorative"/>
    <w:pitch w:val="default"/>
    <w:sig w:usb0="00000001" w:usb1="080E0000" w:usb2="00000000" w:usb3="00000000" w:csb0="00040000" w:csb1="00000000"/>
  </w:font>
  <w:font w:name="楷体">
    <w:panose1 w:val="02010609060101010101"/>
    <w:charset w:val="86"/>
    <w:family w:val="decorative"/>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黑体">
    <w:panose1 w:val="02010609060101010101"/>
    <w:charset w:val="86"/>
    <w:family w:val="roman"/>
    <w:pitch w:val="default"/>
    <w:sig w:usb0="800002BF" w:usb1="38CF7CFA" w:usb2="00000016" w:usb3="00000000" w:csb0="00040001"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楷体_GB2312">
    <w:panose1 w:val="02010609030101010101"/>
    <w:charset w:val="86"/>
    <w:family w:val="roman"/>
    <w:pitch w:val="default"/>
    <w:sig w:usb0="00000001" w:usb1="080E0000" w:usb2="00000000" w:usb3="00000000" w:csb0="00040000" w:csb1="00000000"/>
  </w:font>
  <w:font w:name="楷体">
    <w:panose1 w:val="02010609060101010101"/>
    <w:charset w:val="86"/>
    <w:family w:val="roma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楷体">
    <w:panose1 w:val="02010600040101010101"/>
    <w:charset w:val="86"/>
    <w:family w:val="auto"/>
    <w:pitch w:val="default"/>
    <w:sig w:usb0="00000287" w:usb1="080F0000" w:usb2="00000000" w:usb3="00000000" w:csb0="0004009F" w:csb1="DFD70000"/>
  </w:font>
  <w:font w:name="华文新魏">
    <w:panose1 w:val="02010800040101010101"/>
    <w:charset w:val="86"/>
    <w:family w:val="auto"/>
    <w:pitch w:val="default"/>
    <w:sig w:usb0="00000001" w:usb1="080F0000" w:usb2="00000000" w:usb3="00000000" w:csb0="00040000" w:csb1="00000000"/>
  </w:font>
  <w:font w:name="华文彩云">
    <w:panose1 w:val="02010800040101010101"/>
    <w:charset w:val="86"/>
    <w:family w:val="auto"/>
    <w:pitch w:val="default"/>
    <w:sig w:usb0="00000001" w:usb1="080F0000" w:usb2="00000000" w:usb3="00000000" w:csb0="00040000"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行楷">
    <w:panose1 w:val="02010800040101010101"/>
    <w:charset w:val="86"/>
    <w:family w:val="auto"/>
    <w:pitch w:val="default"/>
    <w:sig w:usb0="00000001" w:usb1="080F0000" w:usb2="00000000" w:usb3="00000000" w:csb0="00040000" w:csb1="00000000"/>
  </w:font>
  <w:font w:name="华文隶书">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right="360" w:firstLine="360"/>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ind w:right="284"/>
                            <w:jc w:val="both"/>
                            <w:rPr>
                              <w:rStyle w:val="8"/>
                              <w:rFonts w:eastAsia="宋体"/>
                            </w:rPr>
                          </w:pPr>
                          <w:r>
                            <w:rPr>
                              <w:rStyle w:val="8"/>
                              <w:rFonts w:hint="eastAsia" w:ascii="仿宋_GB2312" w:hAnsi="仿宋_GB2312" w:eastAsia="仿宋_GB2312" w:cs="仿宋_GB2312"/>
                              <w:sz w:val="28"/>
                            </w:rPr>
                            <w:t>—</w:t>
                          </w:r>
                          <w:r>
                            <w:rPr>
                              <w:rFonts w:ascii="Times New Roman" w:hAnsi="Times New Roman" w:cs="Times New Roman"/>
                              <w:sz w:val="28"/>
                            </w:rPr>
                            <w:fldChar w:fldCharType="begin"/>
                          </w:r>
                          <w:r>
                            <w:rPr>
                              <w:rStyle w:val="8"/>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8"/>
                              <w:rFonts w:ascii="Times New Roman" w:hAnsi="Times New Roman" w:cs="Times New Roman"/>
                              <w:sz w:val="28"/>
                            </w:rPr>
                            <w:t>- 34 -</w:t>
                          </w:r>
                          <w:r>
                            <w:rPr>
                              <w:rFonts w:ascii="Times New Roman" w:hAnsi="Times New Roman" w:cs="Times New Roman"/>
                              <w:sz w:val="28"/>
                            </w:rPr>
                            <w:fldChar w:fldCharType="end"/>
                          </w:r>
                          <w:r>
                            <w:rPr>
                              <w:rFonts w:hint="eastAsia" w:ascii="仿宋_GB2312" w:hAnsi="仿宋_GB2312" w:eastAsia="仿宋_GB2312" w:cs="仿宋_GB2312"/>
                              <w:sz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LNJWO7QAAAABQEAAA8AAAAAAAAA&#10;AQAgAAAAIgAAAGRycy9kb3ducmV2LnhtbFBLAQIUABQAAAAIAIdO4kArqOpyGQIAACEEAAAOAAAA&#10;AAAAAAEAIAAAAB8BAABkcnMvZTJvRG9jLnhtbFBLBQYAAAAABgAGAFkBAACqBQAAAAA=&#10;">
              <v:fill on="f" focussize="0,0"/>
              <v:stroke on="f" weight="0.5pt"/>
              <v:imagedata o:title=""/>
              <o:lock v:ext="edit" aspectratio="f"/>
              <v:textbox inset="0mm,0mm,0mm,0mm" style="mso-fit-shape-to-text:t;">
                <w:txbxContent>
                  <w:p>
                    <w:pPr>
                      <w:pStyle w:val="5"/>
                      <w:ind w:right="284"/>
                      <w:jc w:val="both"/>
                      <w:rPr>
                        <w:rStyle w:val="8"/>
                        <w:rFonts w:eastAsia="宋体"/>
                      </w:rPr>
                    </w:pPr>
                    <w:r>
                      <w:rPr>
                        <w:rStyle w:val="8"/>
                        <w:rFonts w:hint="eastAsia" w:ascii="仿宋_GB2312" w:hAnsi="仿宋_GB2312" w:eastAsia="仿宋_GB2312" w:cs="仿宋_GB2312"/>
                        <w:sz w:val="28"/>
                      </w:rPr>
                      <w:t>—</w:t>
                    </w:r>
                    <w:r>
                      <w:rPr>
                        <w:rFonts w:ascii="Times New Roman" w:hAnsi="Times New Roman" w:cs="Times New Roman"/>
                        <w:sz w:val="28"/>
                      </w:rPr>
                      <w:fldChar w:fldCharType="begin"/>
                    </w:r>
                    <w:r>
                      <w:rPr>
                        <w:rStyle w:val="8"/>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8"/>
                        <w:rFonts w:ascii="Times New Roman" w:hAnsi="Times New Roman" w:cs="Times New Roman"/>
                        <w:sz w:val="28"/>
                      </w:rPr>
                      <w:t>- 34 -</w:t>
                    </w:r>
                    <w:r>
                      <w:rPr>
                        <w:rFonts w:ascii="Times New Roman" w:hAnsi="Times New Roman" w:cs="Times New Roman"/>
                        <w:sz w:val="28"/>
                      </w:rPr>
                      <w:fldChar w:fldCharType="end"/>
                    </w:r>
                    <w:r>
                      <w:rPr>
                        <w:rFonts w:hint="eastAsia" w:ascii="仿宋_GB2312" w:hAnsi="仿宋_GB2312" w:eastAsia="仿宋_GB2312" w:cs="仿宋_GB2312"/>
                        <w:sz w:val="28"/>
                      </w:rPr>
                      <w:t>—</w:t>
                    </w:r>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679888734">
    <w:nsid w:val="6421115E"/>
    <w:multiLevelType w:val="singleLevel"/>
    <w:tmpl w:val="6421115E"/>
    <w:lvl w:ilvl="0" w:tentative="1">
      <w:start w:val="2"/>
      <w:numFmt w:val="chineseCounting"/>
      <w:suff w:val="nothing"/>
      <w:lvlText w:val="（%1）"/>
      <w:lvlJc w:val="left"/>
    </w:lvl>
  </w:abstractNum>
  <w:num w:numId="1">
    <w:abstractNumId w:val="16798887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C06"/>
    <w:rsid w:val="00035EFE"/>
    <w:rsid w:val="0008303D"/>
    <w:rsid w:val="0009191B"/>
    <w:rsid w:val="000F67A8"/>
    <w:rsid w:val="0021158A"/>
    <w:rsid w:val="00212FEA"/>
    <w:rsid w:val="002141F6"/>
    <w:rsid w:val="002255E8"/>
    <w:rsid w:val="002679B4"/>
    <w:rsid w:val="002834D7"/>
    <w:rsid w:val="00294CEB"/>
    <w:rsid w:val="002A6393"/>
    <w:rsid w:val="002A66DF"/>
    <w:rsid w:val="00304D7C"/>
    <w:rsid w:val="003218E9"/>
    <w:rsid w:val="00332EE4"/>
    <w:rsid w:val="0039202B"/>
    <w:rsid w:val="003B3931"/>
    <w:rsid w:val="004003DD"/>
    <w:rsid w:val="00404DA0"/>
    <w:rsid w:val="00406C5C"/>
    <w:rsid w:val="00406CEC"/>
    <w:rsid w:val="00417F7A"/>
    <w:rsid w:val="004B40CD"/>
    <w:rsid w:val="00540C06"/>
    <w:rsid w:val="005630FC"/>
    <w:rsid w:val="00594B71"/>
    <w:rsid w:val="00617B77"/>
    <w:rsid w:val="00646F49"/>
    <w:rsid w:val="00684E15"/>
    <w:rsid w:val="006B0F3E"/>
    <w:rsid w:val="006B1B3D"/>
    <w:rsid w:val="006B35B0"/>
    <w:rsid w:val="006D5734"/>
    <w:rsid w:val="00761699"/>
    <w:rsid w:val="00782317"/>
    <w:rsid w:val="00791224"/>
    <w:rsid w:val="007A36A8"/>
    <w:rsid w:val="007B7497"/>
    <w:rsid w:val="007C677F"/>
    <w:rsid w:val="00857C51"/>
    <w:rsid w:val="00883069"/>
    <w:rsid w:val="00924853"/>
    <w:rsid w:val="00986F43"/>
    <w:rsid w:val="009C5231"/>
    <w:rsid w:val="009E4604"/>
    <w:rsid w:val="009F0BE1"/>
    <w:rsid w:val="00A20B23"/>
    <w:rsid w:val="00A40D70"/>
    <w:rsid w:val="00A45FD6"/>
    <w:rsid w:val="00A902B8"/>
    <w:rsid w:val="00AD2C20"/>
    <w:rsid w:val="00B026C0"/>
    <w:rsid w:val="00B02F7E"/>
    <w:rsid w:val="00B4753D"/>
    <w:rsid w:val="00B84B47"/>
    <w:rsid w:val="00BD3B46"/>
    <w:rsid w:val="00C01475"/>
    <w:rsid w:val="00C27557"/>
    <w:rsid w:val="00C27F82"/>
    <w:rsid w:val="00C35FF3"/>
    <w:rsid w:val="00C86246"/>
    <w:rsid w:val="00C914D1"/>
    <w:rsid w:val="00CA2C98"/>
    <w:rsid w:val="00CD2D6E"/>
    <w:rsid w:val="00CD38A7"/>
    <w:rsid w:val="00D05E34"/>
    <w:rsid w:val="00D40519"/>
    <w:rsid w:val="00D51D06"/>
    <w:rsid w:val="00D76264"/>
    <w:rsid w:val="00E47120"/>
    <w:rsid w:val="00E52006"/>
    <w:rsid w:val="00E53859"/>
    <w:rsid w:val="00E57E2B"/>
    <w:rsid w:val="00E65C6C"/>
    <w:rsid w:val="00EB1F0E"/>
    <w:rsid w:val="00F241F0"/>
    <w:rsid w:val="00FC4747"/>
    <w:rsid w:val="00FC5BA6"/>
    <w:rsid w:val="00FF35AE"/>
    <w:rsid w:val="02324EB5"/>
    <w:rsid w:val="0464249B"/>
    <w:rsid w:val="04CB6E4B"/>
    <w:rsid w:val="058306BD"/>
    <w:rsid w:val="06CF71B4"/>
    <w:rsid w:val="07F8402F"/>
    <w:rsid w:val="080D4B23"/>
    <w:rsid w:val="08624474"/>
    <w:rsid w:val="09C232B5"/>
    <w:rsid w:val="0A712205"/>
    <w:rsid w:val="0B105A40"/>
    <w:rsid w:val="0EFD5CC6"/>
    <w:rsid w:val="0F180AA2"/>
    <w:rsid w:val="10F3666E"/>
    <w:rsid w:val="113F4CD8"/>
    <w:rsid w:val="11515E07"/>
    <w:rsid w:val="11A65EBE"/>
    <w:rsid w:val="127B7C00"/>
    <w:rsid w:val="171C5A07"/>
    <w:rsid w:val="176D963B"/>
    <w:rsid w:val="17E15454"/>
    <w:rsid w:val="18F81607"/>
    <w:rsid w:val="192B4A3A"/>
    <w:rsid w:val="19D07FCA"/>
    <w:rsid w:val="1B7F798D"/>
    <w:rsid w:val="1BB05AEF"/>
    <w:rsid w:val="1C5F74E0"/>
    <w:rsid w:val="1D9D702A"/>
    <w:rsid w:val="1DEC7B27"/>
    <w:rsid w:val="1DFF4B37"/>
    <w:rsid w:val="1E462C75"/>
    <w:rsid w:val="1EFB714F"/>
    <w:rsid w:val="1F5A0E66"/>
    <w:rsid w:val="205854B9"/>
    <w:rsid w:val="210B20D3"/>
    <w:rsid w:val="21504FD2"/>
    <w:rsid w:val="219D74CD"/>
    <w:rsid w:val="2294390E"/>
    <w:rsid w:val="236C053C"/>
    <w:rsid w:val="250A5C64"/>
    <w:rsid w:val="25A14B3B"/>
    <w:rsid w:val="260926B4"/>
    <w:rsid w:val="265D4957"/>
    <w:rsid w:val="27E27EA6"/>
    <w:rsid w:val="27FB2020"/>
    <w:rsid w:val="284E4415"/>
    <w:rsid w:val="2A0D7E9F"/>
    <w:rsid w:val="2A6E0274"/>
    <w:rsid w:val="2C450E7A"/>
    <w:rsid w:val="2C9464EF"/>
    <w:rsid w:val="2CE37701"/>
    <w:rsid w:val="2DC242D4"/>
    <w:rsid w:val="2DEF8D6A"/>
    <w:rsid w:val="2F246550"/>
    <w:rsid w:val="2FBA91A6"/>
    <w:rsid w:val="3030552B"/>
    <w:rsid w:val="31FDF41B"/>
    <w:rsid w:val="320D79DB"/>
    <w:rsid w:val="3257C860"/>
    <w:rsid w:val="32CB23BF"/>
    <w:rsid w:val="33256820"/>
    <w:rsid w:val="33F4E35E"/>
    <w:rsid w:val="33FFF3CD"/>
    <w:rsid w:val="352A11F6"/>
    <w:rsid w:val="35BA748A"/>
    <w:rsid w:val="361E7569"/>
    <w:rsid w:val="37FE0A31"/>
    <w:rsid w:val="39D792D9"/>
    <w:rsid w:val="3BBE15E9"/>
    <w:rsid w:val="3C8E4A18"/>
    <w:rsid w:val="3DBE345E"/>
    <w:rsid w:val="3DF3E130"/>
    <w:rsid w:val="3EBFD5CF"/>
    <w:rsid w:val="3ED75A46"/>
    <w:rsid w:val="3EDEA73B"/>
    <w:rsid w:val="3EED8CAE"/>
    <w:rsid w:val="3FAC0C09"/>
    <w:rsid w:val="3FB354BC"/>
    <w:rsid w:val="3FDF2925"/>
    <w:rsid w:val="3FE5F325"/>
    <w:rsid w:val="3FEF3B35"/>
    <w:rsid w:val="3FFADC58"/>
    <w:rsid w:val="407E25C4"/>
    <w:rsid w:val="43314CB6"/>
    <w:rsid w:val="43603268"/>
    <w:rsid w:val="43A47CF9"/>
    <w:rsid w:val="43C01B39"/>
    <w:rsid w:val="44F73FC6"/>
    <w:rsid w:val="45EC7051"/>
    <w:rsid w:val="47F76D45"/>
    <w:rsid w:val="47FF5D5C"/>
    <w:rsid w:val="48202FD6"/>
    <w:rsid w:val="4C2E0D65"/>
    <w:rsid w:val="4C35097B"/>
    <w:rsid w:val="4CE471ED"/>
    <w:rsid w:val="4DC51B09"/>
    <w:rsid w:val="4F367CB0"/>
    <w:rsid w:val="4F7B2431"/>
    <w:rsid w:val="50D4CD38"/>
    <w:rsid w:val="52A200E3"/>
    <w:rsid w:val="52E20A78"/>
    <w:rsid w:val="536A2B9F"/>
    <w:rsid w:val="53A88E30"/>
    <w:rsid w:val="53F85289"/>
    <w:rsid w:val="53FAD87A"/>
    <w:rsid w:val="543C079E"/>
    <w:rsid w:val="543F3109"/>
    <w:rsid w:val="54FFF2CF"/>
    <w:rsid w:val="55BE29A7"/>
    <w:rsid w:val="561C6310"/>
    <w:rsid w:val="56DBADA4"/>
    <w:rsid w:val="59F2639F"/>
    <w:rsid w:val="5AFE2CE1"/>
    <w:rsid w:val="5B8D19DB"/>
    <w:rsid w:val="5BE6CD66"/>
    <w:rsid w:val="5D0D3858"/>
    <w:rsid w:val="5DECE95B"/>
    <w:rsid w:val="5DFFBFAA"/>
    <w:rsid w:val="5E7106FD"/>
    <w:rsid w:val="5EFEFE9A"/>
    <w:rsid w:val="5EFFDDE2"/>
    <w:rsid w:val="5F763C0F"/>
    <w:rsid w:val="5F7A982F"/>
    <w:rsid w:val="5FD70374"/>
    <w:rsid w:val="5FFBA1B4"/>
    <w:rsid w:val="60550A19"/>
    <w:rsid w:val="61D72498"/>
    <w:rsid w:val="62EC217A"/>
    <w:rsid w:val="62F4595F"/>
    <w:rsid w:val="639F4B05"/>
    <w:rsid w:val="63F5FE37"/>
    <w:rsid w:val="647F6670"/>
    <w:rsid w:val="64D94D53"/>
    <w:rsid w:val="64FD11BC"/>
    <w:rsid w:val="654C418D"/>
    <w:rsid w:val="67675661"/>
    <w:rsid w:val="67E92606"/>
    <w:rsid w:val="6A4FC826"/>
    <w:rsid w:val="6A8C34AB"/>
    <w:rsid w:val="6ADF4B0D"/>
    <w:rsid w:val="6B95175B"/>
    <w:rsid w:val="6BAD4FAD"/>
    <w:rsid w:val="6BE79D42"/>
    <w:rsid w:val="6C7B5F76"/>
    <w:rsid w:val="6D235CF7"/>
    <w:rsid w:val="6D8B65A4"/>
    <w:rsid w:val="6DDE03AF"/>
    <w:rsid w:val="6DE21B92"/>
    <w:rsid w:val="6E2965B5"/>
    <w:rsid w:val="6EE17D40"/>
    <w:rsid w:val="6F8A1CA7"/>
    <w:rsid w:val="6FED552A"/>
    <w:rsid w:val="6FF9921E"/>
    <w:rsid w:val="6FFC7CC5"/>
    <w:rsid w:val="6FFD7550"/>
    <w:rsid w:val="712F729D"/>
    <w:rsid w:val="73FF4953"/>
    <w:rsid w:val="757FB40B"/>
    <w:rsid w:val="75B7E1FE"/>
    <w:rsid w:val="76FF1A62"/>
    <w:rsid w:val="774B67BD"/>
    <w:rsid w:val="779BE033"/>
    <w:rsid w:val="77D7EAC5"/>
    <w:rsid w:val="77FF6978"/>
    <w:rsid w:val="77FFA2D4"/>
    <w:rsid w:val="78B80087"/>
    <w:rsid w:val="78FF8B8B"/>
    <w:rsid w:val="792F3138"/>
    <w:rsid w:val="795757FF"/>
    <w:rsid w:val="79A3678C"/>
    <w:rsid w:val="7B6D3540"/>
    <w:rsid w:val="7B7E99B8"/>
    <w:rsid w:val="7BD32D96"/>
    <w:rsid w:val="7BE51F1C"/>
    <w:rsid w:val="7BF3F8E7"/>
    <w:rsid w:val="7C7D07A2"/>
    <w:rsid w:val="7CFFD8D7"/>
    <w:rsid w:val="7D174C4C"/>
    <w:rsid w:val="7D2FEEDE"/>
    <w:rsid w:val="7D4E204D"/>
    <w:rsid w:val="7DFDFA62"/>
    <w:rsid w:val="7E39513C"/>
    <w:rsid w:val="7E84588C"/>
    <w:rsid w:val="7E974710"/>
    <w:rsid w:val="7EC30654"/>
    <w:rsid w:val="7EF34040"/>
    <w:rsid w:val="7EFC883D"/>
    <w:rsid w:val="7F7F3162"/>
    <w:rsid w:val="7F86293B"/>
    <w:rsid w:val="7F8FE411"/>
    <w:rsid w:val="7FAF7028"/>
    <w:rsid w:val="7FE3BE53"/>
    <w:rsid w:val="7FEB5A38"/>
    <w:rsid w:val="7FEF6970"/>
    <w:rsid w:val="7FEFC594"/>
    <w:rsid w:val="7FFA16E6"/>
    <w:rsid w:val="7FFD1587"/>
    <w:rsid w:val="7FFDA272"/>
    <w:rsid w:val="7FFFB9CD"/>
    <w:rsid w:val="87ABC856"/>
    <w:rsid w:val="9767E044"/>
    <w:rsid w:val="97EF27D3"/>
    <w:rsid w:val="9AA7DA11"/>
    <w:rsid w:val="9B574AE3"/>
    <w:rsid w:val="9B73A3E3"/>
    <w:rsid w:val="9EFE49BF"/>
    <w:rsid w:val="9FF38918"/>
    <w:rsid w:val="A0C6DDB1"/>
    <w:rsid w:val="AB1FD8BA"/>
    <w:rsid w:val="ADDF38F2"/>
    <w:rsid w:val="AF5CE252"/>
    <w:rsid w:val="AFFE8BD6"/>
    <w:rsid w:val="AFFF310E"/>
    <w:rsid w:val="BABFBEC2"/>
    <w:rsid w:val="BAFE81EC"/>
    <w:rsid w:val="BB7B0EF0"/>
    <w:rsid w:val="BB7D7ED0"/>
    <w:rsid w:val="BBF6799A"/>
    <w:rsid w:val="BBF76DB5"/>
    <w:rsid w:val="BEFF11A2"/>
    <w:rsid w:val="BF7AA0C7"/>
    <w:rsid w:val="BF7B907F"/>
    <w:rsid w:val="BFFFDA6B"/>
    <w:rsid w:val="CBEF53D1"/>
    <w:rsid w:val="CBFD459B"/>
    <w:rsid w:val="CCF36B7F"/>
    <w:rsid w:val="CDDD22BD"/>
    <w:rsid w:val="CE6B020C"/>
    <w:rsid w:val="CFB38A34"/>
    <w:rsid w:val="D6BB871A"/>
    <w:rsid w:val="D8F90E45"/>
    <w:rsid w:val="DB69221C"/>
    <w:rsid w:val="DB6BB29E"/>
    <w:rsid w:val="DDDB5D75"/>
    <w:rsid w:val="DDE615BE"/>
    <w:rsid w:val="DDE93CA1"/>
    <w:rsid w:val="DDFF7C65"/>
    <w:rsid w:val="DFB2FD0A"/>
    <w:rsid w:val="DFF77A7C"/>
    <w:rsid w:val="DFFC187D"/>
    <w:rsid w:val="E1FF1D2A"/>
    <w:rsid w:val="E5BF1F7A"/>
    <w:rsid w:val="E7D73AE8"/>
    <w:rsid w:val="E7FFE372"/>
    <w:rsid w:val="EB56B17D"/>
    <w:rsid w:val="EBAF8934"/>
    <w:rsid w:val="EBFF853F"/>
    <w:rsid w:val="EC78D2B5"/>
    <w:rsid w:val="EDEF6995"/>
    <w:rsid w:val="EE68C828"/>
    <w:rsid w:val="EEBB293F"/>
    <w:rsid w:val="EEBF2019"/>
    <w:rsid w:val="EEF3BCDA"/>
    <w:rsid w:val="EEFA08AC"/>
    <w:rsid w:val="EF77AE72"/>
    <w:rsid w:val="EF873099"/>
    <w:rsid w:val="EFD3EFE9"/>
    <w:rsid w:val="EFDA1682"/>
    <w:rsid w:val="EFDFA71A"/>
    <w:rsid w:val="EFF7B623"/>
    <w:rsid w:val="EFFC88EA"/>
    <w:rsid w:val="F4775C87"/>
    <w:rsid w:val="F5BF7E28"/>
    <w:rsid w:val="F5F2A0A8"/>
    <w:rsid w:val="F5FD27DC"/>
    <w:rsid w:val="F65F7D10"/>
    <w:rsid w:val="F77D958F"/>
    <w:rsid w:val="F79FD4C9"/>
    <w:rsid w:val="F7BA3B44"/>
    <w:rsid w:val="F869B69C"/>
    <w:rsid w:val="FB6F2214"/>
    <w:rsid w:val="FBD1E3F9"/>
    <w:rsid w:val="FBF83A41"/>
    <w:rsid w:val="FCBDE7E1"/>
    <w:rsid w:val="FCCECB8A"/>
    <w:rsid w:val="FCD43CFC"/>
    <w:rsid w:val="FCFDE973"/>
    <w:rsid w:val="FCFECF9F"/>
    <w:rsid w:val="FD6B635B"/>
    <w:rsid w:val="FDAB932F"/>
    <w:rsid w:val="FDF66219"/>
    <w:rsid w:val="FDFF08EC"/>
    <w:rsid w:val="FE77D094"/>
    <w:rsid w:val="FE79A2DF"/>
    <w:rsid w:val="FEDAFF21"/>
    <w:rsid w:val="FF6E8A29"/>
    <w:rsid w:val="FF6EABBC"/>
    <w:rsid w:val="FF7ABB1F"/>
    <w:rsid w:val="FFB7687C"/>
    <w:rsid w:val="FFB7B438"/>
    <w:rsid w:val="FFBA4AD9"/>
    <w:rsid w:val="FFBB1691"/>
    <w:rsid w:val="FFBDC1F4"/>
    <w:rsid w:val="FFCF7B63"/>
    <w:rsid w:val="FFD48020"/>
    <w:rsid w:val="FFD6F139"/>
    <w:rsid w:val="FFDECB48"/>
    <w:rsid w:val="FFEEBA7B"/>
    <w:rsid w:val="FFEFFEE3"/>
    <w:rsid w:val="FFF705FF"/>
    <w:rsid w:val="FFFD6FE4"/>
    <w:rsid w:val="FFFD91BB"/>
    <w:rsid w:val="FFFF1A2E"/>
    <w:rsid w:val="FFFF8804"/>
    <w:rsid w:val="FFFFB4B3"/>
    <w:rsid w:val="FFFFE50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11">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link w:val="20"/>
    <w:unhideWhenUsed/>
    <w:qFormat/>
    <w:uiPriority w:val="99"/>
    <w:pPr>
      <w:ind w:firstLine="420" w:firstLineChars="200"/>
    </w:pPr>
  </w:style>
  <w:style w:type="paragraph" w:styleId="3">
    <w:name w:val="Body Text Indent"/>
    <w:basedOn w:val="1"/>
    <w:next w:val="2"/>
    <w:link w:val="19"/>
    <w:unhideWhenUsed/>
    <w:qFormat/>
    <w:uiPriority w:val="99"/>
    <w:pPr>
      <w:ind w:left="420" w:leftChars="200"/>
    </w:pPr>
  </w:style>
  <w:style w:type="paragraph" w:styleId="4">
    <w:name w:val="Balloon Text"/>
    <w:basedOn w:val="1"/>
    <w:link w:val="37"/>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styleId="9">
    <w:name w:val="FollowedHyperlink"/>
    <w:basedOn w:val="7"/>
    <w:unhideWhenUsed/>
    <w:uiPriority w:val="99"/>
    <w:rPr>
      <w:color w:val="800080"/>
      <w:u w:val="single"/>
    </w:rPr>
  </w:style>
  <w:style w:type="character" w:styleId="10">
    <w:name w:val="Hyperlink"/>
    <w:basedOn w:val="7"/>
    <w:unhideWhenUsed/>
    <w:qFormat/>
    <w:uiPriority w:val="99"/>
    <w:rPr>
      <w:color w:val="0000FF"/>
      <w:u w:val="single"/>
    </w:rPr>
  </w:style>
  <w:style w:type="paragraph" w:customStyle="1" w:styleId="12">
    <w:name w:val="列出段落1"/>
    <w:basedOn w:val="1"/>
    <w:qFormat/>
    <w:uiPriority w:val="34"/>
    <w:pPr>
      <w:ind w:firstLine="420" w:firstLineChars="200"/>
    </w:pPr>
  </w:style>
  <w:style w:type="character" w:customStyle="1" w:styleId="13">
    <w:name w:val="页眉 Char"/>
    <w:basedOn w:val="7"/>
    <w:link w:val="6"/>
    <w:qFormat/>
    <w:uiPriority w:val="99"/>
    <w:rPr>
      <w:sz w:val="18"/>
      <w:szCs w:val="18"/>
    </w:rPr>
  </w:style>
  <w:style w:type="character" w:customStyle="1" w:styleId="14">
    <w:name w:val="页脚 Char"/>
    <w:basedOn w:val="7"/>
    <w:link w:val="5"/>
    <w:qFormat/>
    <w:uiPriority w:val="99"/>
    <w:rPr>
      <w:sz w:val="18"/>
      <w:szCs w:val="18"/>
    </w:rPr>
  </w:style>
  <w:style w:type="character" w:customStyle="1" w:styleId="15">
    <w:name w:val="font81"/>
    <w:basedOn w:val="7"/>
    <w:qFormat/>
    <w:uiPriority w:val="0"/>
    <w:rPr>
      <w:rFonts w:hint="eastAsia" w:ascii="宋体" w:hAnsi="宋体" w:eastAsia="宋体" w:cs="宋体"/>
      <w:color w:val="000000"/>
      <w:sz w:val="22"/>
      <w:szCs w:val="22"/>
      <w:u w:val="none"/>
    </w:rPr>
  </w:style>
  <w:style w:type="character" w:customStyle="1" w:styleId="16">
    <w:name w:val="font61"/>
    <w:basedOn w:val="7"/>
    <w:qFormat/>
    <w:uiPriority w:val="0"/>
    <w:rPr>
      <w:rFonts w:hint="eastAsia" w:ascii="宋体" w:hAnsi="宋体" w:eastAsia="宋体" w:cs="宋体"/>
      <w:b/>
      <w:color w:val="000000"/>
      <w:sz w:val="22"/>
      <w:szCs w:val="22"/>
      <w:u w:val="none"/>
    </w:rPr>
  </w:style>
  <w:style w:type="character" w:customStyle="1" w:styleId="17">
    <w:name w:val="font01"/>
    <w:basedOn w:val="7"/>
    <w:qFormat/>
    <w:uiPriority w:val="0"/>
    <w:rPr>
      <w:rFonts w:hint="eastAsia" w:ascii="宋体" w:hAnsi="宋体" w:eastAsia="宋体" w:cs="宋体"/>
      <w:color w:val="000000"/>
      <w:sz w:val="22"/>
      <w:szCs w:val="22"/>
      <w:u w:val="none"/>
    </w:rPr>
  </w:style>
  <w:style w:type="character" w:customStyle="1" w:styleId="18">
    <w:name w:val="font11"/>
    <w:basedOn w:val="7"/>
    <w:qFormat/>
    <w:uiPriority w:val="0"/>
    <w:rPr>
      <w:rFonts w:ascii="Dialog . plain" w:hAnsi="Dialog . plain" w:eastAsia="Dialog . plain" w:cs="Dialog . plain"/>
      <w:color w:val="000000"/>
      <w:sz w:val="22"/>
      <w:szCs w:val="22"/>
      <w:u w:val="none"/>
    </w:rPr>
  </w:style>
  <w:style w:type="character" w:customStyle="1" w:styleId="19">
    <w:name w:val="正文文本缩进 Char"/>
    <w:basedOn w:val="7"/>
    <w:link w:val="3"/>
    <w:uiPriority w:val="99"/>
    <w:rPr>
      <w:rFonts w:asciiTheme="minorHAnsi" w:hAnsiTheme="minorHAnsi" w:eastAsiaTheme="minorEastAsia" w:cstheme="minorBidi"/>
      <w:kern w:val="2"/>
      <w:sz w:val="21"/>
      <w:szCs w:val="22"/>
    </w:rPr>
  </w:style>
  <w:style w:type="character" w:customStyle="1" w:styleId="20">
    <w:name w:val="正文首行缩进 2 Char"/>
    <w:basedOn w:val="19"/>
    <w:link w:val="2"/>
    <w:uiPriority w:val="99"/>
    <w:rPr>
      <w:rFonts w:asciiTheme="minorHAnsi" w:hAnsiTheme="minorHAnsi" w:eastAsiaTheme="minorEastAsia" w:cstheme="minorBidi"/>
      <w:kern w:val="2"/>
      <w:sz w:val="21"/>
      <w:szCs w:val="22"/>
    </w:rPr>
  </w:style>
  <w:style w:type="paragraph" w:customStyle="1" w:styleId="21">
    <w:name w:val="font5"/>
    <w:basedOn w:val="1"/>
    <w:uiPriority w:val="0"/>
    <w:pPr>
      <w:widowControl/>
      <w:spacing w:before="100" w:beforeAutospacing="1" w:after="100" w:afterAutospacing="1"/>
      <w:jc w:val="left"/>
    </w:pPr>
    <w:rPr>
      <w:rFonts w:ascii="Arial" w:hAnsi="Arial" w:eastAsia="宋体" w:cs="Arial"/>
      <w:color w:val="000000"/>
      <w:kern w:val="0"/>
      <w:sz w:val="22"/>
    </w:rPr>
  </w:style>
  <w:style w:type="paragraph" w:customStyle="1" w:styleId="22">
    <w:name w:val="xl65"/>
    <w:basedOn w:val="1"/>
    <w:uiPriority w:val="0"/>
    <w:pPr>
      <w:widowControl/>
      <w:pBdr>
        <w:top w:val="single" w:color="C0C0C0" w:sz="4" w:space="0"/>
        <w:left w:val="single" w:color="C0C0C0" w:sz="4" w:space="0"/>
        <w:bottom w:val="single" w:color="C0C0C0" w:sz="4" w:space="0"/>
        <w:right w:val="single" w:color="C0C0C0" w:sz="4" w:space="0"/>
      </w:pBdr>
      <w:shd w:val="clear" w:color="EFF2F7" w:fill="EFF2F7"/>
      <w:spacing w:before="100" w:beforeAutospacing="1" w:after="100" w:afterAutospacing="1"/>
      <w:jc w:val="center"/>
    </w:pPr>
    <w:rPr>
      <w:rFonts w:ascii="宋体" w:hAnsi="宋体" w:eastAsia="宋体" w:cs="宋体"/>
      <w:b/>
      <w:bCs/>
      <w:color w:val="000000"/>
      <w:kern w:val="0"/>
      <w:sz w:val="24"/>
      <w:szCs w:val="24"/>
    </w:rPr>
  </w:style>
  <w:style w:type="paragraph" w:customStyle="1" w:styleId="23">
    <w:name w:val="xl66"/>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24">
    <w:name w:val="xl67"/>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hAnsi="宋体" w:eastAsia="宋体" w:cs="宋体"/>
      <w:color w:val="000000"/>
      <w:kern w:val="0"/>
      <w:sz w:val="24"/>
      <w:szCs w:val="24"/>
    </w:rPr>
  </w:style>
  <w:style w:type="paragraph" w:customStyle="1" w:styleId="25">
    <w:name w:val="xl68"/>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right"/>
    </w:pPr>
    <w:rPr>
      <w:rFonts w:ascii="宋体" w:hAnsi="宋体" w:eastAsia="宋体" w:cs="宋体"/>
      <w:b/>
      <w:bCs/>
      <w:color w:val="000000"/>
      <w:kern w:val="0"/>
      <w:sz w:val="24"/>
      <w:szCs w:val="24"/>
    </w:rPr>
  </w:style>
  <w:style w:type="paragraph" w:customStyle="1" w:styleId="26">
    <w:name w:val="xl69"/>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left"/>
    </w:pPr>
    <w:rPr>
      <w:rFonts w:ascii="宋体" w:hAnsi="宋体" w:eastAsia="宋体" w:cs="宋体"/>
      <w:color w:val="000000"/>
      <w:kern w:val="0"/>
      <w:sz w:val="24"/>
      <w:szCs w:val="24"/>
    </w:rPr>
  </w:style>
  <w:style w:type="paragraph" w:customStyle="1" w:styleId="27">
    <w:name w:val="xl70"/>
    <w:basedOn w:val="1"/>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hAnsi="宋体" w:eastAsia="宋体" w:cs="宋体"/>
      <w:b/>
      <w:bCs/>
      <w:color w:val="000000"/>
      <w:kern w:val="0"/>
      <w:sz w:val="24"/>
      <w:szCs w:val="24"/>
    </w:rPr>
  </w:style>
  <w:style w:type="paragraph" w:customStyle="1" w:styleId="28">
    <w:name w:val="xl71"/>
    <w:basedOn w:val="1"/>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hAnsi="宋体" w:eastAsia="宋体" w:cs="宋体"/>
      <w:color w:val="000000"/>
      <w:kern w:val="0"/>
      <w:sz w:val="18"/>
      <w:szCs w:val="18"/>
    </w:rPr>
  </w:style>
  <w:style w:type="paragraph" w:customStyle="1" w:styleId="29">
    <w:name w:val="xl72"/>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hAnsi="宋体" w:eastAsia="宋体" w:cs="宋体"/>
      <w:color w:val="000000"/>
      <w:kern w:val="0"/>
      <w:sz w:val="18"/>
      <w:szCs w:val="18"/>
    </w:rPr>
  </w:style>
  <w:style w:type="paragraph" w:customStyle="1" w:styleId="30">
    <w:name w:val="xl73"/>
    <w:basedOn w:val="1"/>
    <w:qFormat/>
    <w:uiPriority w:val="0"/>
    <w:pPr>
      <w:widowControl/>
      <w:pBdr>
        <w:top w:val="single" w:color="C2C3C4" w:sz="4" w:space="0"/>
        <w:left w:val="single" w:color="C2C3C4" w:sz="4" w:space="0"/>
        <w:bottom w:val="single" w:color="C2C3C4" w:sz="4" w:space="0"/>
        <w:right w:val="single" w:color="C2C3C4" w:sz="4" w:space="0"/>
      </w:pBdr>
      <w:spacing w:before="100" w:beforeAutospacing="1" w:after="100" w:afterAutospacing="1"/>
      <w:jc w:val="center"/>
    </w:pPr>
    <w:rPr>
      <w:rFonts w:ascii="宋体" w:hAnsi="宋体" w:eastAsia="宋体" w:cs="宋体"/>
      <w:b/>
      <w:bCs/>
      <w:color w:val="000000"/>
      <w:kern w:val="0"/>
      <w:sz w:val="24"/>
      <w:szCs w:val="24"/>
    </w:rPr>
  </w:style>
  <w:style w:type="paragraph" w:customStyle="1" w:styleId="31">
    <w:name w:val="xl74"/>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hAnsi="宋体" w:eastAsia="宋体" w:cs="宋体"/>
      <w:color w:val="000000"/>
      <w:kern w:val="0"/>
      <w:sz w:val="18"/>
      <w:szCs w:val="18"/>
    </w:rPr>
  </w:style>
  <w:style w:type="paragraph" w:customStyle="1" w:styleId="32">
    <w:name w:val="xl75"/>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right"/>
    </w:pPr>
    <w:rPr>
      <w:rFonts w:ascii="宋体" w:hAnsi="宋体" w:eastAsia="宋体" w:cs="宋体"/>
      <w:color w:val="000000"/>
      <w:kern w:val="0"/>
      <w:sz w:val="24"/>
      <w:szCs w:val="24"/>
    </w:rPr>
  </w:style>
  <w:style w:type="paragraph" w:customStyle="1" w:styleId="33">
    <w:name w:val="xl76"/>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34">
    <w:name w:val="xl77"/>
    <w:basedOn w:val="1"/>
    <w:qFormat/>
    <w:uiPriority w:val="0"/>
    <w:pPr>
      <w:widowControl/>
      <w:pBdr>
        <w:top w:val="single" w:color="C0C0C0" w:sz="4" w:space="0"/>
        <w:left w:val="single" w:color="C0C0C0" w:sz="4" w:space="0"/>
        <w:bottom w:val="single" w:color="C0C0C0" w:sz="4" w:space="0"/>
        <w:right w:val="single" w:color="C0C0C0" w:sz="4" w:space="0"/>
      </w:pBdr>
      <w:spacing w:before="100" w:beforeAutospacing="1" w:after="100" w:afterAutospacing="1"/>
      <w:jc w:val="center"/>
    </w:pPr>
    <w:rPr>
      <w:rFonts w:ascii="宋体" w:hAnsi="宋体" w:eastAsia="宋体" w:cs="宋体"/>
      <w:color w:val="000000"/>
      <w:kern w:val="0"/>
      <w:sz w:val="24"/>
      <w:szCs w:val="24"/>
    </w:rPr>
  </w:style>
  <w:style w:type="paragraph" w:customStyle="1" w:styleId="35">
    <w:name w:val="xl78"/>
    <w:basedOn w:val="1"/>
    <w:qFormat/>
    <w:uiPriority w:val="0"/>
    <w:pPr>
      <w:widowControl/>
      <w:pBdr>
        <w:top w:val="single" w:color="FFFFFF" w:sz="4" w:space="0"/>
        <w:left w:val="single" w:color="FFFFFF" w:sz="4" w:space="0"/>
        <w:bottom w:val="single" w:color="FFFFFF" w:sz="4" w:space="0"/>
        <w:right w:val="single" w:color="FFFFFF" w:sz="4" w:space="0"/>
      </w:pBdr>
      <w:spacing w:before="100" w:beforeAutospacing="1" w:after="100" w:afterAutospacing="1"/>
      <w:jc w:val="center"/>
    </w:pPr>
    <w:rPr>
      <w:rFonts w:ascii="宋体" w:hAnsi="宋体" w:eastAsia="宋体" w:cs="宋体"/>
      <w:b/>
      <w:bCs/>
      <w:color w:val="000000"/>
      <w:kern w:val="0"/>
      <w:sz w:val="32"/>
      <w:szCs w:val="32"/>
    </w:rPr>
  </w:style>
  <w:style w:type="paragraph" w:customStyle="1" w:styleId="36">
    <w:name w:val="xl79"/>
    <w:basedOn w:val="1"/>
    <w:qFormat/>
    <w:uiPriority w:val="0"/>
    <w:pPr>
      <w:widowControl/>
      <w:pBdr>
        <w:top w:val="single" w:color="FFFFFF" w:sz="4" w:space="0"/>
        <w:left w:val="single" w:color="FFFFFF" w:sz="4" w:space="0"/>
        <w:right w:val="single" w:color="FFFFFF" w:sz="4" w:space="0"/>
      </w:pBdr>
      <w:spacing w:before="100" w:beforeAutospacing="1" w:after="100" w:afterAutospacing="1"/>
      <w:jc w:val="left"/>
    </w:pPr>
    <w:rPr>
      <w:rFonts w:ascii="宋体" w:hAnsi="宋体" w:eastAsia="宋体" w:cs="宋体"/>
      <w:color w:val="000000"/>
      <w:kern w:val="0"/>
      <w:sz w:val="24"/>
      <w:szCs w:val="24"/>
    </w:rPr>
  </w:style>
  <w:style w:type="character" w:customStyle="1" w:styleId="37">
    <w:name w:val="批注框文本 Char"/>
    <w:basedOn w:val="7"/>
    <w:link w:val="4"/>
    <w:semiHidden/>
    <w:uiPriority w:val="99"/>
    <w:rPr>
      <w:rFonts w:asciiTheme="minorHAnsi" w:hAnsiTheme="minorHAnsi" w:eastAsiaTheme="minorEastAsia" w:cstheme="minorBidi"/>
      <w:kern w:val="2"/>
      <w:sz w:val="18"/>
      <w:szCs w:val="18"/>
    </w:rPr>
  </w:style>
  <w:style w:type="character" w:customStyle="1" w:styleId="38">
    <w:name w:val="font41"/>
    <w:basedOn w:val="7"/>
    <w:qFormat/>
    <w:uiPriority w:val="0"/>
    <w:rPr>
      <w:rFonts w:ascii="Dialog . plain" w:hAnsi="Dialog . plain" w:eastAsia="Dialog . plain" w:cs="Dialog . plain"/>
      <w:color w:val="000000"/>
      <w:sz w:val="22"/>
      <w:szCs w:val="22"/>
      <w:u w:val="none"/>
    </w:rPr>
  </w:style>
  <w:style w:type="character" w:customStyle="1" w:styleId="39">
    <w:name w:val="font51"/>
    <w:basedOn w:val="7"/>
    <w:uiPriority w:val="0"/>
    <w:rPr>
      <w:rFonts w:ascii="Dialog . bold" w:hAnsi="Dialog . bold" w:eastAsia="Dialog . bold" w:cs="Dialog . bold"/>
      <w:b/>
      <w:color w:val="000000"/>
      <w:sz w:val="22"/>
      <w:szCs w:val="22"/>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42</Pages>
  <Words>2939</Words>
  <Characters>16753</Characters>
  <Lines>139</Lines>
  <Paragraphs>39</Paragraphs>
  <ScaleCrop>false</ScaleCrop>
  <LinksUpToDate>false</LinksUpToDate>
  <CharactersWithSpaces>19653</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2023-02-25T02:38:00Z</dcterms:created>
  <dc:creator>ASUS</dc:creator>
  <cp:lastModifiedBy>Administrator</cp:lastModifiedBy>
  <cp:lastPrinted>2025-07-28T02:09:00Z</cp:lastPrinted>
  <dcterms:modified xsi:type="dcterms:W3CDTF">2026-04-03T09:25:32Z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56F6812F92658F74351AF763469E14C2_42</vt:lpwstr>
  </property>
</Properties>
</file>