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jc w:val="center"/>
        <w:rPr>
          <w:rFonts w:ascii="Times New Roman" w:hAnsi="Times New Roman" w:eastAsia="方正小标宋简体"/>
          <w:sz w:val="84"/>
          <w:szCs w:val="84"/>
        </w:rPr>
      </w:pPr>
      <w:r>
        <w:rPr>
          <w:rFonts w:hint="eastAsia" w:ascii="Times New Roman" w:hAnsi="Times New Roman" w:eastAsia="方正小标宋简体"/>
          <w:sz w:val="84"/>
          <w:szCs w:val="84"/>
        </w:rPr>
        <w:t>四川省九寨沟县</w:t>
      </w:r>
    </w:p>
    <w:p>
      <w:pPr>
        <w:jc w:val="center"/>
        <w:rPr>
          <w:rFonts w:ascii="Times New Roman" w:hAnsi="Times New Roman" w:eastAsia="方正小标宋简体"/>
          <w:w w:val="90"/>
          <w:sz w:val="84"/>
          <w:szCs w:val="84"/>
        </w:rPr>
      </w:pPr>
      <w:r>
        <w:rPr>
          <w:rFonts w:hint="eastAsia" w:ascii="Times New Roman" w:hAnsi="Times New Roman" w:eastAsia="方正小标宋简体"/>
          <w:w w:val="90"/>
          <w:sz w:val="84"/>
          <w:szCs w:val="84"/>
        </w:rPr>
        <w:t>市政公用事业服务中心</w:t>
      </w:r>
    </w:p>
    <w:p>
      <w:pPr>
        <w:jc w:val="center"/>
        <w:rPr>
          <w:rFonts w:ascii="Times New Roman" w:hAnsi="Times New Roman" w:eastAsia="方正小标宋简体"/>
          <w:sz w:val="84"/>
          <w:szCs w:val="84"/>
        </w:rPr>
      </w:pPr>
      <w:r>
        <w:rPr>
          <w:rFonts w:hint="eastAsia" w:ascii="Times New Roman" w:hAnsi="Times New Roman" w:eastAsia="方正小标宋简体"/>
          <w:sz w:val="84"/>
          <w:szCs w:val="84"/>
        </w:rPr>
        <w:t>202</w:t>
      </w:r>
      <w:r>
        <w:rPr>
          <w:rFonts w:hint="eastAsia" w:ascii="Times New Roman" w:hAnsi="Times New Roman" w:eastAsia="方正小标宋简体"/>
          <w:sz w:val="84"/>
          <w:szCs w:val="84"/>
          <w:lang w:val="en-US" w:eastAsia="zh-CN"/>
        </w:rPr>
        <w:t>6</w:t>
      </w:r>
      <w:r>
        <w:rPr>
          <w:rFonts w:hint="eastAsia" w:ascii="Times New Roman" w:hAnsi="Times New Roman" w:eastAsia="方正小标宋简体"/>
          <w:sz w:val="84"/>
          <w:szCs w:val="84"/>
        </w:rPr>
        <w:t>年部门预算</w:t>
      </w:r>
    </w:p>
    <w:p>
      <w:pPr>
        <w:pStyle w:val="2"/>
        <w:ind w:firstLine="1680"/>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目录</w:t>
      </w: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第一部分  九寨沟县市政公用事业服务中心概况</w:t>
      </w:r>
    </w:p>
    <w:p>
      <w:pPr>
        <w:pStyle w:val="2"/>
        <w:spacing w:line="560" w:lineRule="exact"/>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二、部门预算单位构成</w:t>
      </w:r>
    </w:p>
    <w:p>
      <w:pPr>
        <w:spacing w:line="560" w:lineRule="exact"/>
        <w:rPr>
          <w:rFonts w:ascii="黑体" w:hAnsi="黑体" w:eastAsia="黑体" w:cs="黑体"/>
          <w:sz w:val="32"/>
          <w:szCs w:val="32"/>
        </w:rPr>
      </w:pPr>
      <w:r>
        <w:rPr>
          <w:rFonts w:hint="eastAsia" w:ascii="黑体" w:hAnsi="黑体" w:eastAsia="黑体" w:cs="黑体"/>
          <w:sz w:val="32"/>
          <w:szCs w:val="32"/>
        </w:rPr>
        <w:t>第二部分  九寨沟县市政公用事业服务中心202</w:t>
      </w:r>
      <w:r>
        <w:rPr>
          <w:rFonts w:hint="eastAsia" w:ascii="黑体" w:hAnsi="黑体" w:eastAsia="黑体" w:cs="黑体"/>
          <w:sz w:val="32"/>
          <w:szCs w:val="32"/>
          <w:lang w:val="en-US" w:eastAsia="zh-CN"/>
        </w:rPr>
        <w:t>6</w:t>
      </w:r>
      <w:r>
        <w:rPr>
          <w:rFonts w:hint="eastAsia" w:ascii="黑体" w:hAnsi="黑体" w:eastAsia="黑体" w:cs="黑体"/>
          <w:sz w:val="32"/>
          <w:szCs w:val="32"/>
        </w:rPr>
        <w:t>年部门预算表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一、表1部门收支总表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二、表2部门收入总表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三、表3部门支出总表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四、表4财政拨款收支预算总表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五、表5财政拨款支出预算表（部门经济分类科目）</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六、表6一般公共预算支出预算表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七、表7一般公共预算基本支出预算表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八、表8一般公共预算项目支出预算表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九、表9一般公共预算“三公”经费支出预算表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十、表10政府性基金支出预算表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十一、表11政府性基金预算“三公”经费支出预算表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十二、表12国有资本经营预算支出预算表</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十三、表13部门预算项目绩效目标表</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十四、表14部门整体绩效目标表</w:t>
      </w:r>
    </w:p>
    <w:p>
      <w:pPr>
        <w:pStyle w:val="2"/>
        <w:spacing w:line="560" w:lineRule="exact"/>
        <w:ind w:left="0" w:leftChars="0" w:firstLine="0" w:firstLineChars="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第三部分  九寨沟县市政公用事业服务中心202</w:t>
      </w:r>
      <w:r>
        <w:rPr>
          <w:rFonts w:hint="eastAsia" w:ascii="黑体" w:hAnsi="黑体" w:eastAsia="黑体" w:cs="黑体"/>
          <w:color w:val="000000" w:themeColor="text1"/>
          <w:sz w:val="32"/>
          <w:szCs w:val="32"/>
          <w:lang w:val="en-US" w:eastAsia="zh-CN"/>
          <w14:textFill>
            <w14:solidFill>
              <w14:schemeClr w14:val="tx1"/>
            </w14:solidFill>
          </w14:textFill>
        </w:rPr>
        <w:t>6</w:t>
      </w:r>
      <w:r>
        <w:rPr>
          <w:rFonts w:hint="eastAsia" w:ascii="黑体" w:hAnsi="黑体" w:eastAsia="黑体" w:cs="黑体"/>
          <w:color w:val="000000" w:themeColor="text1"/>
          <w:sz w:val="32"/>
          <w:szCs w:val="32"/>
          <w14:textFill>
            <w14:solidFill>
              <w14:schemeClr w14:val="tx1"/>
            </w14:solidFill>
          </w14:textFill>
        </w:rPr>
        <w:t>年部门预算情况说明</w:t>
      </w:r>
    </w:p>
    <w:p>
      <w:pPr>
        <w:spacing w:line="56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第四部分  名词解释</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spacing w:line="560" w:lineRule="exact"/>
        <w:rPr>
          <w:rFonts w:ascii="方正小标宋简体" w:hAnsi="黑体" w:eastAsia="方正小标宋简体"/>
          <w:sz w:val="44"/>
          <w:szCs w:val="44"/>
        </w:rPr>
      </w:pPr>
    </w:p>
    <w:p>
      <w:pPr>
        <w:spacing w:line="560" w:lineRule="exact"/>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九寨沟县市政公用事业服务</w:t>
      </w:r>
    </w:p>
    <w:p>
      <w:pPr>
        <w:spacing w:line="560" w:lineRule="exact"/>
        <w:jc w:val="center"/>
        <w:rPr>
          <w:rFonts w:ascii="仿宋_GB2312" w:hAnsi="仿宋_GB2312" w:eastAsia="仿宋_GB2312" w:cs="仿宋_GB2312"/>
          <w:sz w:val="32"/>
          <w:szCs w:val="32"/>
        </w:rPr>
      </w:pPr>
      <w:r>
        <w:rPr>
          <w:rFonts w:hint="eastAsia" w:ascii="方正小标宋简体" w:hAnsi="黑体" w:eastAsia="方正小标宋简体"/>
          <w:sz w:val="44"/>
          <w:szCs w:val="44"/>
        </w:rPr>
        <w:t>中心概况</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left="0" w:leftChars="0" w:firstLine="0" w:firstLineChars="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一、基本职能及主要工作</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（一）部门主要职责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根据文件规定，主要职责是：九寨沟县市政公用事业服务中心是九寨沟县人民政府的组成部门。根据县委、县政府关于202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年全县工作的总体部署，202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年主要工作是:环境卫生管理、市容市貌管理、市政设施管理、园林绿化管理、文明城市创建以及县委、县政府交办的其他工作事项。</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工作任务是：城区治理扎实有效，城市形象逐渐树立;规范园林绿化管理，提升城市园林品位。邀请园林专家对我县进行指导，及时对乔（灌）木及草坪进行翻种、补栽;市政公用设施管理规范有序;城市市容管理强劲有力，城市秩序管理有序,加强对非机动车辆停放的规范管理力度严格广告、店招店牌、横幅悬挂审批。规范占道经营，营造安全的城市环境。出动人员对占道经营商户进行规范管理，加强规范力度和文明劝导力度。</w:t>
      </w:r>
    </w:p>
    <w:p>
      <w:pPr>
        <w:spacing w:line="560" w:lineRule="exact"/>
        <w:rPr>
          <w:rFonts w:ascii="仿宋_GB2312" w:hAnsi="仿宋" w:eastAsia="仿宋_GB2312"/>
          <w:sz w:val="32"/>
          <w:szCs w:val="32"/>
        </w:rPr>
      </w:pPr>
      <w:r>
        <w:rPr>
          <w:rFonts w:hint="eastAsia" w:ascii="楷体_GB2312" w:hAnsi="楷体_GB2312" w:eastAsia="楷体_GB2312" w:cs="楷体_GB2312"/>
          <w:b/>
          <w:bCs/>
          <w:sz w:val="32"/>
          <w:szCs w:val="32"/>
        </w:rPr>
        <w:t>二、部门预算单位构成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属于九寨沟县住房和城乡建设局二级局，内</w:t>
      </w:r>
      <w:r>
        <w:rPr>
          <w:rFonts w:hint="eastAsia" w:ascii="仿宋_GB2312" w:hAnsi="仿宋_GB2312" w:eastAsia="仿宋_GB2312" w:cs="仿宋_GB2312"/>
          <w:sz w:val="32"/>
          <w:szCs w:val="32"/>
        </w:rPr>
        <w:t>设机构4个，主要包括：</w:t>
      </w:r>
    </w:p>
    <w:tbl>
      <w:tblPr>
        <w:tblStyle w:val="11"/>
        <w:tblW w:w="7360" w:type="dxa"/>
        <w:tblInd w:w="0" w:type="dxa"/>
        <w:tblLayout w:type="fixed"/>
        <w:tblCellMar>
          <w:top w:w="0" w:type="dxa"/>
          <w:left w:w="108" w:type="dxa"/>
          <w:bottom w:w="0" w:type="dxa"/>
          <w:right w:w="108" w:type="dxa"/>
        </w:tblCellMar>
      </w:tblPr>
      <w:tblGrid>
        <w:gridCol w:w="1020"/>
        <w:gridCol w:w="6340"/>
      </w:tblGrid>
      <w:tr>
        <w:tblPrEx>
          <w:tblLayout w:type="fixed"/>
          <w:tblCellMar>
            <w:top w:w="0" w:type="dxa"/>
            <w:left w:w="108" w:type="dxa"/>
            <w:bottom w:w="0" w:type="dxa"/>
            <w:right w:w="108" w:type="dxa"/>
          </w:tblCellMar>
        </w:tblPrEx>
        <w:trPr>
          <w:trHeight w:val="285"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办公室（挂行政许可股牌子）</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市容环境卫生管理股</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市政公用设施管理股</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园林绿化管理股</w:t>
            </w:r>
          </w:p>
        </w:tc>
      </w:tr>
    </w:tbl>
    <w:p>
      <w:pPr>
        <w:tabs>
          <w:tab w:val="left" w:pos="1528"/>
        </w:tabs>
        <w:jc w:val="left"/>
        <w:sectPr>
          <w:footerReference r:id="rId3" w:type="default"/>
          <w:pgSz w:w="11906" w:h="16838"/>
          <w:pgMar w:top="1440" w:right="1800" w:bottom="1440" w:left="1800" w:header="851" w:footer="992" w:gutter="0"/>
          <w:pgNumType w:fmt="numberInDash"/>
          <w:cols w:space="425" w:num="1"/>
          <w:docGrid w:type="lines" w:linePitch="312" w:charSpace="0"/>
        </w:sectPr>
      </w:pPr>
    </w:p>
    <w:p>
      <w:pPr>
        <w:pStyle w:val="2"/>
        <w:sectPr>
          <w:type w:val="continuous"/>
          <w:pgSz w:w="16838" w:h="11906" w:orient="landscape"/>
          <w:pgMar w:top="1800" w:right="1440" w:bottom="1800" w:left="1440" w:header="851" w:footer="992" w:gutter="0"/>
          <w:pgNumType w:fmt="numberInDash"/>
          <w:cols w:space="425" w:num="1"/>
          <w:docGrid w:type="lines" w:linePitch="312" w:charSpace="0"/>
        </w:sectPr>
      </w:pPr>
    </w:p>
    <w:p>
      <w:pPr>
        <w:pStyle w:val="2"/>
      </w:pPr>
    </w:p>
    <w:p>
      <w:pPr>
        <w:pStyle w:val="2"/>
      </w:pPr>
    </w:p>
    <w:p>
      <w:pPr>
        <w:rPr>
          <w:rFonts w:ascii="方正小标宋简体" w:hAnsi="方正小标宋简体" w:eastAsia="方正小标宋简体" w:cs="方正小标宋简体"/>
          <w:sz w:val="44"/>
          <w:szCs w:val="44"/>
        </w:rPr>
      </w:pPr>
    </w:p>
    <w:p>
      <w:pPr>
        <w:pStyle w:val="2"/>
        <w:ind w:firstLine="880"/>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九寨沟县市政公用事业服务中心</w:t>
      </w: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hint="eastAsia" w:ascii="方正小标宋简体" w:hAnsi="方正小标宋简体" w:eastAsia="方正小标宋简体" w:cs="方正小标宋简体"/>
          <w:sz w:val="44"/>
          <w:szCs w:val="44"/>
        </w:rPr>
        <w:t>年部门预算表</w:t>
      </w: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pStyle w:val="2"/>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：部门收支总表</w:t>
      </w:r>
    </w:p>
    <w:tbl>
      <w:tblPr>
        <w:tblStyle w:val="11"/>
        <w:tblW w:w="13760" w:type="dxa"/>
        <w:jc w:val="center"/>
        <w:tblInd w:w="89" w:type="dxa"/>
        <w:tblLayout w:type="fixed"/>
        <w:tblCellMar>
          <w:top w:w="0" w:type="dxa"/>
          <w:left w:w="108" w:type="dxa"/>
          <w:bottom w:w="0" w:type="dxa"/>
          <w:right w:w="108" w:type="dxa"/>
        </w:tblCellMar>
      </w:tblPr>
      <w:tblGrid>
        <w:gridCol w:w="4920"/>
        <w:gridCol w:w="1960"/>
        <w:gridCol w:w="4920"/>
        <w:gridCol w:w="1960"/>
      </w:tblGrid>
      <w:tr>
        <w:tblPrEx>
          <w:tblLayout w:type="fixed"/>
          <w:tblCellMar>
            <w:top w:w="0" w:type="dxa"/>
            <w:left w:w="108" w:type="dxa"/>
            <w:bottom w:w="0" w:type="dxa"/>
            <w:right w:w="108" w:type="dxa"/>
          </w:tblCellMar>
        </w:tblPrEx>
        <w:trPr>
          <w:trHeight w:val="285" w:hRule="atLeast"/>
          <w:jc w:val="center"/>
        </w:trPr>
        <w:tc>
          <w:tcPr>
            <w:tcW w:w="4920" w:type="dxa"/>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rPr>
                <w:rFonts w:ascii="宋体" w:hAnsi="宋体" w:eastAsia="宋体" w:cs="宋体"/>
                <w:color w:val="000000"/>
                <w:sz w:val="22"/>
              </w:rPr>
            </w:pPr>
          </w:p>
        </w:tc>
        <w:tc>
          <w:tcPr>
            <w:tcW w:w="1960" w:type="dxa"/>
            <w:tcBorders>
              <w:top w:val="nil"/>
              <w:left w:val="nil"/>
              <w:bottom w:val="nil"/>
              <w:right w:val="nil"/>
            </w:tcBorders>
            <w:shd w:val="clear" w:color="auto" w:fill="auto"/>
            <w:textDirection w:val="lrTb"/>
            <w:vAlign w:val="center"/>
          </w:tcPr>
          <w:p>
            <w:pPr>
              <w:rPr>
                <w:rFonts w:ascii="宋体" w:hAnsi="宋体" w:eastAsia="宋体" w:cs="宋体"/>
                <w:color w:val="000000"/>
                <w:sz w:val="22"/>
              </w:rPr>
            </w:pPr>
          </w:p>
        </w:tc>
        <w:tc>
          <w:tcPr>
            <w:tcW w:w="4920" w:type="dxa"/>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rPr>
                <w:rFonts w:ascii="宋体" w:hAnsi="宋体" w:eastAsia="宋体" w:cs="宋体"/>
                <w:color w:val="000000"/>
                <w:sz w:val="18"/>
                <w:szCs w:val="18"/>
              </w:rPr>
            </w:pPr>
          </w:p>
        </w:tc>
        <w:tc>
          <w:tcPr>
            <w:tcW w:w="1960" w:type="dxa"/>
            <w:tcBorders>
              <w:top w:val="single" w:color="FFFFFF" w:sz="4" w:space="0"/>
              <w:left w:val="nil"/>
              <w:bottom w:val="single" w:color="FFFFFF" w:sz="4" w:space="0"/>
              <w:right w:val="single" w:color="FFFFFF"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表1</w:t>
            </w:r>
          </w:p>
        </w:tc>
      </w:tr>
      <w:tr>
        <w:tblPrEx>
          <w:tblLayout w:type="fixed"/>
          <w:tblCellMar>
            <w:top w:w="0" w:type="dxa"/>
            <w:left w:w="108" w:type="dxa"/>
            <w:bottom w:w="0" w:type="dxa"/>
            <w:right w:w="108" w:type="dxa"/>
          </w:tblCellMar>
        </w:tblPrEx>
        <w:trPr>
          <w:trHeight w:val="398" w:hRule="atLeast"/>
          <w:jc w:val="center"/>
        </w:trPr>
        <w:tc>
          <w:tcPr>
            <w:tcW w:w="13760" w:type="dxa"/>
            <w:gridSpan w:val="4"/>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keepNext w:val="0"/>
              <w:keepLines w:val="0"/>
              <w:widowControl/>
              <w:suppressLineNumbers w:val="0"/>
              <w:jc w:val="center"/>
              <w:textAlignment w:val="center"/>
              <w:rPr>
                <w:rFonts w:ascii="黑体" w:hAnsi="黑体" w:eastAsia="黑体" w:cs="宋体"/>
                <w:b/>
                <w:bCs/>
                <w:color w:val="000000"/>
                <w:sz w:val="32"/>
                <w:szCs w:val="32"/>
              </w:rPr>
            </w:pPr>
            <w:r>
              <w:rPr>
                <w:rFonts w:hint="eastAsia" w:ascii="黑体" w:hAnsi="宋体" w:eastAsia="黑体" w:cs="黑体"/>
                <w:b/>
                <w:i w:val="0"/>
                <w:color w:val="000000"/>
                <w:kern w:val="0"/>
                <w:sz w:val="32"/>
                <w:szCs w:val="32"/>
                <w:u w:val="none"/>
                <w:lang w:val="en-US" w:eastAsia="zh-CN" w:bidi="ar"/>
              </w:rPr>
              <w:t>部门收支总表</w:t>
            </w:r>
          </w:p>
        </w:tc>
      </w:tr>
      <w:tr>
        <w:tblPrEx>
          <w:tblLayout w:type="fixed"/>
          <w:tblCellMar>
            <w:top w:w="0" w:type="dxa"/>
            <w:left w:w="108" w:type="dxa"/>
            <w:bottom w:w="0" w:type="dxa"/>
            <w:right w:w="108" w:type="dxa"/>
          </w:tblCellMar>
        </w:tblPrEx>
        <w:trPr>
          <w:trHeight w:val="342" w:hRule="atLeast"/>
          <w:jc w:val="center"/>
        </w:trPr>
        <w:tc>
          <w:tcPr>
            <w:tcW w:w="4920" w:type="dxa"/>
            <w:tcBorders>
              <w:top w:val="nil"/>
              <w:left w:val="single" w:color="FFFFFF" w:sz="4" w:space="0"/>
              <w:bottom w:val="nil"/>
              <w:right w:val="single" w:color="FFFFFF"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部门：</w:t>
            </w:r>
            <w:r>
              <w:rPr>
                <w:rFonts w:hint="eastAsia" w:ascii="宋体" w:hAnsi="宋体" w:eastAsia="宋体" w:cs="宋体"/>
                <w:color w:val="000000"/>
                <w:kern w:val="0"/>
                <w:sz w:val="22"/>
              </w:rPr>
              <w:t>九寨沟县市政公用事业服务中心</w:t>
            </w:r>
          </w:p>
        </w:tc>
        <w:tc>
          <w:tcPr>
            <w:tcW w:w="1960" w:type="dxa"/>
            <w:tcBorders>
              <w:top w:val="nil"/>
              <w:left w:val="nil"/>
              <w:bottom w:val="nil"/>
              <w:right w:val="nil"/>
            </w:tcBorders>
            <w:shd w:val="clear" w:color="auto" w:fill="auto"/>
            <w:textDirection w:val="lrTb"/>
            <w:vAlign w:val="center"/>
          </w:tcPr>
          <w:p>
            <w:pPr>
              <w:rPr>
                <w:rFonts w:ascii="宋体" w:hAnsi="宋体" w:eastAsia="宋体" w:cs="宋体"/>
                <w:color w:val="000000"/>
                <w:sz w:val="22"/>
              </w:rPr>
            </w:pPr>
          </w:p>
        </w:tc>
        <w:tc>
          <w:tcPr>
            <w:tcW w:w="4920" w:type="dxa"/>
            <w:tcBorders>
              <w:top w:val="nil"/>
              <w:left w:val="nil"/>
              <w:bottom w:val="nil"/>
              <w:right w:val="nil"/>
            </w:tcBorders>
            <w:shd w:val="clear" w:color="auto" w:fill="auto"/>
            <w:textDirection w:val="lrTb"/>
            <w:vAlign w:val="center"/>
          </w:tcPr>
          <w:p>
            <w:pPr>
              <w:rPr>
                <w:rFonts w:ascii="宋体" w:hAnsi="宋体" w:eastAsia="宋体" w:cs="宋体"/>
                <w:sz w:val="18"/>
                <w:szCs w:val="18"/>
              </w:rPr>
            </w:pPr>
          </w:p>
        </w:tc>
        <w:tc>
          <w:tcPr>
            <w:tcW w:w="1960" w:type="dxa"/>
            <w:tcBorders>
              <w:top w:val="nil"/>
              <w:left w:val="single" w:color="FFFFFF" w:sz="4" w:space="0"/>
              <w:bottom w:val="nil"/>
              <w:right w:val="single" w:color="FFFFFF"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22"/>
              </w:rPr>
            </w:pPr>
            <w:r>
              <w:rPr>
                <w:rFonts w:ascii="宋体" w:hAnsi="宋体" w:eastAsia="宋体" w:cs="宋体"/>
                <w:i w:val="0"/>
                <w:color w:val="000000"/>
                <w:kern w:val="0"/>
                <w:sz w:val="22"/>
                <w:szCs w:val="22"/>
                <w:u w:val="none"/>
                <w:lang w:val="en-US" w:eastAsia="zh-CN" w:bidi="ar"/>
              </w:rPr>
              <w:t>金额单位：万元</w:t>
            </w:r>
          </w:p>
        </w:tc>
      </w:tr>
      <w:tr>
        <w:tblPrEx>
          <w:tblLayout w:type="fixed"/>
          <w:tblCellMar>
            <w:top w:w="0" w:type="dxa"/>
            <w:left w:w="108" w:type="dxa"/>
            <w:bottom w:w="0" w:type="dxa"/>
            <w:right w:w="108" w:type="dxa"/>
          </w:tblCellMar>
        </w:tblPrEx>
        <w:trPr>
          <w:trHeight w:val="428" w:hRule="atLeast"/>
          <w:jc w:val="center"/>
        </w:trPr>
        <w:tc>
          <w:tcPr>
            <w:tcW w:w="6880" w:type="dxa"/>
            <w:gridSpan w:val="2"/>
            <w:tcBorders>
              <w:top w:val="single" w:color="C0C0C0" w:sz="4" w:space="0"/>
              <w:left w:val="single" w:color="C0C0C0" w:sz="4" w:space="0"/>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收    入</w:t>
            </w:r>
          </w:p>
        </w:tc>
        <w:tc>
          <w:tcPr>
            <w:tcW w:w="6880" w:type="dxa"/>
            <w:gridSpan w:val="2"/>
            <w:tcBorders>
              <w:top w:val="single" w:color="C0C0C0" w:sz="4" w:space="0"/>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支    出</w:t>
            </w:r>
          </w:p>
        </w:tc>
      </w:tr>
      <w:tr>
        <w:tblPrEx>
          <w:tblLayout w:type="fixed"/>
          <w:tblCellMar>
            <w:top w:w="0" w:type="dxa"/>
            <w:left w:w="108" w:type="dxa"/>
            <w:bottom w:w="0" w:type="dxa"/>
            <w:right w:w="108" w:type="dxa"/>
          </w:tblCellMar>
        </w:tblPrEx>
        <w:trPr>
          <w:trHeight w:val="428" w:hRule="atLeast"/>
          <w:jc w:val="center"/>
        </w:trPr>
        <w:tc>
          <w:tcPr>
            <w:tcW w:w="4920" w:type="dxa"/>
            <w:tcBorders>
              <w:top w:val="nil"/>
              <w:left w:val="single" w:color="C0C0C0" w:sz="4" w:space="0"/>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项    目</w:t>
            </w:r>
          </w:p>
        </w:tc>
        <w:tc>
          <w:tcPr>
            <w:tcW w:w="196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预算数</w:t>
            </w:r>
          </w:p>
        </w:tc>
        <w:tc>
          <w:tcPr>
            <w:tcW w:w="492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项    目</w:t>
            </w:r>
          </w:p>
        </w:tc>
        <w:tc>
          <w:tcPr>
            <w:tcW w:w="196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预算数</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一、一般公共预算拨款收入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一、一般公共服务支出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二、政府性基金预算拨款收入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二、外交支出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三、国有资本经营预算拨款收入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三、国防支出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四、事业收入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四、公共安全支出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五、事业单位经营收入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五、教育支出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六、其他收入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六、科学技术支出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七、文化旅游体育与传媒支出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八、社会保障和就业支出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九、社会保险基金支出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十、卫生健康支出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十一、节能环保支出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十二、城乡社区支出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十三、农林水支出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十四、交通运输支出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十五、资源勘探工业信息等支出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十六、商业服务业等支出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十七、金融支出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十八、援助其他地区支出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十九、自然资源海洋气象等支出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二十、住房保障支出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二十一、粮油物资储备支出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二十二、国有资本经营预算支出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二十三、灾害防治及应急管理支出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二十四、其他支出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二十五、债务还本支出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二十六、债务付息支出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二十七、债务发行费用支出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二十八、抗疫特别国债安排的支出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Style w:val="39"/>
                <w:lang w:val="en-US" w:eastAsia="zh-CN" w:bidi="ar"/>
              </w:rPr>
              <w:t>本 年 收 入 合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Style w:val="39"/>
                <w:lang w:val="en-US" w:eastAsia="zh-CN" w:bidi="ar"/>
              </w:rPr>
              <w:t>本 年 支 出 合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七、上年结转</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收  入  总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支  出  总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2</w:t>
      </w:r>
      <w:r>
        <w:rPr>
          <w:rFonts w:hint="eastAsia" w:ascii="仿宋_GB2312" w:hAnsi="仿宋" w:eastAsia="仿宋_GB2312"/>
          <w:sz w:val="32"/>
          <w:szCs w:val="32"/>
        </w:rPr>
        <w:t>部门收入总表</w:t>
      </w: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tbl>
      <w:tblPr>
        <w:tblStyle w:val="11"/>
        <w:tblpPr w:leftFromText="180" w:rightFromText="180" w:horzAnchor="page" w:tblpXSpec="center" w:tblpY="916"/>
        <w:tblW w:w="14399" w:type="dxa"/>
        <w:tblInd w:w="0" w:type="dxa"/>
        <w:tblLayout w:type="fixed"/>
        <w:tblCellMar>
          <w:top w:w="0" w:type="dxa"/>
          <w:left w:w="108" w:type="dxa"/>
          <w:bottom w:w="0" w:type="dxa"/>
          <w:right w:w="108" w:type="dxa"/>
        </w:tblCellMar>
      </w:tblPr>
      <w:tblGrid>
        <w:gridCol w:w="926"/>
        <w:gridCol w:w="3477"/>
        <w:gridCol w:w="1001"/>
        <w:gridCol w:w="789"/>
        <w:gridCol w:w="1119"/>
        <w:gridCol w:w="1159"/>
        <w:gridCol w:w="874"/>
        <w:gridCol w:w="556"/>
        <w:gridCol w:w="715"/>
        <w:gridCol w:w="556"/>
        <w:gridCol w:w="636"/>
        <w:gridCol w:w="715"/>
        <w:gridCol w:w="1876"/>
      </w:tblGrid>
      <w:tr>
        <w:tblPrEx>
          <w:tblLayout w:type="fixed"/>
          <w:tblCellMar>
            <w:top w:w="0" w:type="dxa"/>
            <w:left w:w="108" w:type="dxa"/>
            <w:bottom w:w="0" w:type="dxa"/>
            <w:right w:w="108" w:type="dxa"/>
          </w:tblCellMar>
        </w:tblPrEx>
        <w:trPr>
          <w:trHeight w:val="534" w:hRule="atLeast"/>
        </w:trPr>
        <w:tc>
          <w:tcPr>
            <w:tcW w:w="125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部门收入总表</w:t>
            </w:r>
          </w:p>
        </w:tc>
        <w:tc>
          <w:tcPr>
            <w:tcW w:w="1876" w:type="dxa"/>
            <w:tcBorders>
              <w:top w:val="single" w:color="FFFFFF" w:sz="4" w:space="0"/>
              <w:left w:val="nil"/>
              <w:bottom w:val="single" w:color="FFFFFF" w:sz="4" w:space="0"/>
              <w:right w:val="nil"/>
            </w:tcBorders>
            <w:shd w:val="clear" w:color="auto" w:fill="auto"/>
            <w:vAlign w:val="center"/>
          </w:tcPr>
          <w:p>
            <w:pPr>
              <w:rPr>
                <w:rFonts w:ascii="宋体" w:hAnsi="宋体" w:eastAsia="宋体" w:cs="宋体"/>
                <w:color w:val="000000"/>
                <w:sz w:val="18"/>
                <w:szCs w:val="18"/>
              </w:rPr>
            </w:pPr>
            <w:r>
              <w:rPr>
                <w:rFonts w:hint="eastAsia"/>
                <w:color w:val="000000"/>
                <w:sz w:val="18"/>
                <w:szCs w:val="18"/>
              </w:rPr>
              <w:t xml:space="preserve"> </w:t>
            </w:r>
          </w:p>
        </w:tc>
      </w:tr>
      <w:tr>
        <w:tblPrEx>
          <w:tblLayout w:type="fixed"/>
          <w:tblCellMar>
            <w:top w:w="0" w:type="dxa"/>
            <w:left w:w="108" w:type="dxa"/>
            <w:bottom w:w="0" w:type="dxa"/>
            <w:right w:w="108" w:type="dxa"/>
          </w:tblCellMar>
        </w:tblPrEx>
        <w:trPr>
          <w:trHeight w:val="459" w:hRule="atLeast"/>
        </w:trPr>
        <w:tc>
          <w:tcPr>
            <w:tcW w:w="926" w:type="dxa"/>
            <w:tcBorders>
              <w:top w:val="nil"/>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p>
        </w:tc>
        <w:tc>
          <w:tcPr>
            <w:tcW w:w="3477"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r>
              <w:rPr>
                <w:rFonts w:hint="eastAsia" w:ascii="宋体" w:hAnsi="宋体" w:eastAsia="宋体" w:cs="宋体"/>
                <w:color w:val="000000"/>
                <w:kern w:val="0"/>
                <w:sz w:val="22"/>
              </w:rPr>
              <w:t>九寨沟县市政公用事业服务中心</w:t>
            </w:r>
          </w:p>
        </w:tc>
        <w:tc>
          <w:tcPr>
            <w:tcW w:w="1001"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8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11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15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874"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55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15"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55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63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15"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87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847" w:hRule="atLeast"/>
        </w:trPr>
        <w:tc>
          <w:tcPr>
            <w:tcW w:w="4403"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00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78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w:t>
            </w:r>
          </w:p>
        </w:tc>
        <w:tc>
          <w:tcPr>
            <w:tcW w:w="111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一般公共预算拨款收入</w:t>
            </w:r>
          </w:p>
        </w:tc>
        <w:tc>
          <w:tcPr>
            <w:tcW w:w="115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政府性基金预算拨款收入</w:t>
            </w:r>
          </w:p>
        </w:tc>
        <w:tc>
          <w:tcPr>
            <w:tcW w:w="87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国有资本经营预算拨款收入</w:t>
            </w:r>
          </w:p>
        </w:tc>
        <w:tc>
          <w:tcPr>
            <w:tcW w:w="5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事业收入</w:t>
            </w:r>
          </w:p>
        </w:tc>
        <w:tc>
          <w:tcPr>
            <w:tcW w:w="7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 xml:space="preserve">事业单位经营收入 </w:t>
            </w:r>
          </w:p>
        </w:tc>
        <w:tc>
          <w:tcPr>
            <w:tcW w:w="5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其他收入</w:t>
            </w:r>
          </w:p>
        </w:tc>
        <w:tc>
          <w:tcPr>
            <w:tcW w:w="63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上级补助收入</w:t>
            </w:r>
          </w:p>
        </w:tc>
        <w:tc>
          <w:tcPr>
            <w:tcW w:w="7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附属单位上缴收入</w:t>
            </w:r>
          </w:p>
        </w:tc>
        <w:tc>
          <w:tcPr>
            <w:tcW w:w="187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财政专户管理资金收入</w:t>
            </w:r>
          </w:p>
        </w:tc>
      </w:tr>
      <w:tr>
        <w:tblPrEx>
          <w:tblLayout w:type="fixed"/>
          <w:tblCellMar>
            <w:top w:w="0" w:type="dxa"/>
            <w:left w:w="108" w:type="dxa"/>
            <w:bottom w:w="0" w:type="dxa"/>
            <w:right w:w="108" w:type="dxa"/>
          </w:tblCellMar>
        </w:tblPrEx>
        <w:trPr>
          <w:trHeight w:val="1109" w:hRule="atLeast"/>
        </w:trPr>
        <w:tc>
          <w:tcPr>
            <w:tcW w:w="926"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3477"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00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8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1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15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874"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5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1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5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3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1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7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　</w:t>
            </w:r>
          </w:p>
        </w:tc>
        <w:tc>
          <w:tcPr>
            <w:tcW w:w="3477"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1001" w:type="dxa"/>
            <w:tcBorders>
              <w:top w:val="nil"/>
              <w:left w:val="nil"/>
              <w:bottom w:val="single" w:color="C2C3C4" w:sz="4" w:space="0"/>
              <w:right w:val="single" w:color="C2C3C4" w:sz="4" w:space="0"/>
            </w:tcBorders>
            <w:shd w:val="clear" w:color="auto" w:fill="auto"/>
            <w:vAlign w:val="center"/>
          </w:tcPr>
          <w:p>
            <w:pPr>
              <w:jc w:val="right"/>
              <w:rPr>
                <w:rFonts w:hint="eastAsia" w:ascii="宋体" w:hAnsi="宋体" w:eastAsia="宋体" w:cs="宋体"/>
                <w:b/>
                <w:bCs/>
                <w:color w:val="000000"/>
                <w:sz w:val="22"/>
                <w:lang w:val="en-US" w:eastAsia="zh-CN"/>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111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874"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6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187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347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100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1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874"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6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187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509001</w:t>
            </w:r>
          </w:p>
        </w:tc>
        <w:tc>
          <w:tcPr>
            <w:tcW w:w="347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市政公用事业服务中心</w:t>
            </w:r>
          </w:p>
        </w:tc>
        <w:tc>
          <w:tcPr>
            <w:tcW w:w="100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1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874"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63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187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tbl>
      <w:tblPr>
        <w:tblStyle w:val="11"/>
        <w:tblW w:w="15040" w:type="dxa"/>
        <w:tblInd w:w="89" w:type="dxa"/>
        <w:tblLayout w:type="fixed"/>
        <w:tblCellMar>
          <w:top w:w="0" w:type="dxa"/>
          <w:left w:w="108" w:type="dxa"/>
          <w:bottom w:w="0" w:type="dxa"/>
          <w:right w:w="108" w:type="dxa"/>
        </w:tblCellMar>
      </w:tblPr>
      <w:tblGrid>
        <w:gridCol w:w="644"/>
        <w:gridCol w:w="453"/>
        <w:gridCol w:w="453"/>
        <w:gridCol w:w="1613"/>
        <w:gridCol w:w="5884"/>
        <w:gridCol w:w="1619"/>
        <w:gridCol w:w="1613"/>
        <w:gridCol w:w="2761"/>
      </w:tblGrid>
      <w:tr>
        <w:tblPrEx>
          <w:tblLayout w:type="fixed"/>
          <w:tblCellMar>
            <w:top w:w="0" w:type="dxa"/>
            <w:left w:w="108" w:type="dxa"/>
            <w:bottom w:w="0" w:type="dxa"/>
            <w:right w:w="108" w:type="dxa"/>
          </w:tblCellMar>
        </w:tblPrEx>
        <w:trPr>
          <w:trHeight w:val="398" w:hRule="atLeast"/>
        </w:trPr>
        <w:tc>
          <w:tcPr>
            <w:tcW w:w="1504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部门支出总表</w:t>
            </w:r>
          </w:p>
        </w:tc>
      </w:tr>
      <w:tr>
        <w:tblPrEx>
          <w:tblLayout w:type="fixed"/>
          <w:tblCellMar>
            <w:top w:w="0" w:type="dxa"/>
            <w:left w:w="108" w:type="dxa"/>
            <w:bottom w:w="0" w:type="dxa"/>
            <w:right w:w="108" w:type="dxa"/>
          </w:tblCellMar>
        </w:tblPrEx>
        <w:trPr>
          <w:trHeight w:val="342" w:hRule="atLeast"/>
        </w:trPr>
        <w:tc>
          <w:tcPr>
            <w:tcW w:w="9047"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161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613"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761"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047"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61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6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276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428" w:hRule="atLeast"/>
        </w:trPr>
        <w:tc>
          <w:tcPr>
            <w:tcW w:w="155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613"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5884"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6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3"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76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428" w:hRule="atLeast"/>
        </w:trPr>
        <w:tc>
          <w:tcPr>
            <w:tcW w:w="644"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5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5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613"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884"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3"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76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161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5884"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88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机关事业单位职业年金缴费支出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事业单位医疗</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其他行政事业单位医疗支出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行政运行</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城管执法</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7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7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bl>
    <w:p>
      <w:pPr>
        <w:pStyle w:val="2"/>
        <w:ind w:left="0" w:leftChars="0" w:firstLine="0" w:firstLineChars="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4</w:t>
      </w:r>
      <w:r>
        <w:rPr>
          <w:rFonts w:hint="eastAsia" w:ascii="仿宋_GB2312" w:hAnsi="仿宋" w:eastAsia="仿宋_GB2312"/>
          <w:sz w:val="32"/>
          <w:szCs w:val="32"/>
        </w:rPr>
        <w:t>财政拨款收支预算总表</w:t>
      </w:r>
    </w:p>
    <w:tbl>
      <w:tblPr>
        <w:tblStyle w:val="11"/>
        <w:tblW w:w="15536" w:type="dxa"/>
        <w:tblInd w:w="78" w:type="dxa"/>
        <w:tblLayout w:type="fixed"/>
        <w:tblCellMar>
          <w:top w:w="0" w:type="dxa"/>
          <w:left w:w="108" w:type="dxa"/>
          <w:bottom w:w="0" w:type="dxa"/>
          <w:right w:w="108" w:type="dxa"/>
        </w:tblCellMar>
      </w:tblPr>
      <w:tblGrid>
        <w:gridCol w:w="3487"/>
        <w:gridCol w:w="1193"/>
        <w:gridCol w:w="3486"/>
        <w:gridCol w:w="1193"/>
        <w:gridCol w:w="1774"/>
        <w:gridCol w:w="2060"/>
        <w:gridCol w:w="2343"/>
      </w:tblGrid>
      <w:tr>
        <w:tblPrEx>
          <w:tblLayout w:type="fixed"/>
          <w:tblCellMar>
            <w:top w:w="0" w:type="dxa"/>
            <w:left w:w="108" w:type="dxa"/>
            <w:bottom w:w="0" w:type="dxa"/>
            <w:right w:w="108" w:type="dxa"/>
          </w:tblCellMar>
        </w:tblPrEx>
        <w:trPr>
          <w:trHeight w:val="398" w:hRule="atLeast"/>
        </w:trPr>
        <w:tc>
          <w:tcPr>
            <w:tcW w:w="15536"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黑体" w:hAnsi="黑体" w:eastAsia="黑体" w:cs="宋体"/>
                <w:b/>
                <w:bCs/>
                <w:color w:val="000000"/>
                <w:sz w:val="32"/>
                <w:szCs w:val="32"/>
              </w:rPr>
            </w:pPr>
            <w:r>
              <w:rPr>
                <w:rFonts w:hint="eastAsia" w:ascii="黑体" w:hAnsi="黑体" w:eastAsia="黑体"/>
                <w:b/>
                <w:bCs/>
                <w:color w:val="000000"/>
                <w:sz w:val="32"/>
                <w:szCs w:val="32"/>
              </w:rPr>
              <w:t>财政拨款收支预算总表</w:t>
            </w:r>
          </w:p>
        </w:tc>
      </w:tr>
      <w:tr>
        <w:tblPrEx>
          <w:tblLayout w:type="fixed"/>
          <w:tblCellMar>
            <w:top w:w="0" w:type="dxa"/>
            <w:left w:w="108" w:type="dxa"/>
            <w:bottom w:w="0" w:type="dxa"/>
            <w:right w:w="108" w:type="dxa"/>
          </w:tblCellMar>
        </w:tblPrEx>
        <w:trPr>
          <w:trHeight w:val="342" w:hRule="atLeast"/>
        </w:trPr>
        <w:tc>
          <w:tcPr>
            <w:tcW w:w="4680"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3486" w:type="dxa"/>
            <w:tcBorders>
              <w:top w:val="nil"/>
              <w:left w:val="nil"/>
              <w:bottom w:val="nil"/>
              <w:right w:val="nil"/>
            </w:tcBorders>
            <w:shd w:val="clear" w:color="auto" w:fill="auto"/>
            <w:vAlign w:val="center"/>
          </w:tcPr>
          <w:p>
            <w:pPr>
              <w:rPr>
                <w:rFonts w:ascii="宋体" w:hAnsi="宋体" w:eastAsia="宋体" w:cs="宋体"/>
                <w:sz w:val="18"/>
                <w:szCs w:val="18"/>
              </w:rPr>
            </w:pPr>
            <w:r>
              <w:rPr>
                <w:rFonts w:hint="eastAsia"/>
                <w:sz w:val="18"/>
                <w:szCs w:val="18"/>
              </w:rPr>
              <w:t>　</w:t>
            </w:r>
          </w:p>
        </w:tc>
        <w:tc>
          <w:tcPr>
            <w:tcW w:w="1193"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1774"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060"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343" w:type="dxa"/>
            <w:tcBorders>
              <w:top w:val="nil"/>
              <w:left w:val="single" w:color="FFFFFF" w:sz="4" w:space="0"/>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4680"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收    入</w:t>
            </w:r>
          </w:p>
        </w:tc>
        <w:tc>
          <w:tcPr>
            <w:tcW w:w="10856" w:type="dxa"/>
            <w:gridSpan w:val="5"/>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支    出</w:t>
            </w:r>
          </w:p>
        </w:tc>
      </w:tr>
      <w:tr>
        <w:tblPrEx>
          <w:tblLayout w:type="fixed"/>
          <w:tblCellMar>
            <w:top w:w="0" w:type="dxa"/>
            <w:left w:w="108" w:type="dxa"/>
            <w:bottom w:w="0" w:type="dxa"/>
            <w:right w:w="108" w:type="dxa"/>
          </w:tblCellMar>
        </w:tblPrEx>
        <w:trPr>
          <w:trHeight w:val="428" w:hRule="atLeast"/>
        </w:trPr>
        <w:tc>
          <w:tcPr>
            <w:tcW w:w="3487"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19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预算数</w:t>
            </w:r>
          </w:p>
        </w:tc>
        <w:tc>
          <w:tcPr>
            <w:tcW w:w="3486"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19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774"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w:t>
            </w:r>
          </w:p>
        </w:tc>
        <w:tc>
          <w:tcPr>
            <w:tcW w:w="2060"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政府性基金预算</w:t>
            </w:r>
          </w:p>
        </w:tc>
        <w:tc>
          <w:tcPr>
            <w:tcW w:w="234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w:t>
            </w: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一般公共服务支出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政府性基金预算拨款收入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外交支出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国防支出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二、上年结转</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公共安全支出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教育支出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政府性基金预算拨款收入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科学技术支出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文化旅游体育与传媒支出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社会保障和就业支出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社会保险基金支出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卫生健康支出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节能环保支出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农林水支出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交通运输支出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资源勘探工业信息等支出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商业服务业等支出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金融支出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援助其他地区支出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自然资源海洋气象等支出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住房保障支出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粮油物资储备支出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灾害防治及应急管理支出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债务还本支出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债务付息支出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债务发行费用支出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抗疫特别国债安排的支出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
        <w:rPr>
          <w:rFonts w:hint="eastAsia" w:ascii="仿宋_GB2312" w:hAnsi="仿宋" w:eastAsia="仿宋_GB2312"/>
          <w:sz w:val="32"/>
          <w:szCs w:val="32"/>
        </w:rPr>
        <w:t>表</w:t>
      </w:r>
      <w:r>
        <w:rPr>
          <w:rFonts w:ascii="仿宋_GB2312" w:hAnsi="仿宋" w:eastAsia="仿宋_GB2312"/>
          <w:sz w:val="32"/>
          <w:szCs w:val="32"/>
        </w:rPr>
        <w:t>5</w:t>
      </w:r>
      <w:r>
        <w:rPr>
          <w:rFonts w:hint="eastAsia" w:ascii="仿宋_GB2312" w:hAnsi="仿宋" w:eastAsia="仿宋_GB2312"/>
          <w:sz w:val="32"/>
          <w:szCs w:val="32"/>
        </w:rPr>
        <w:t>财政拨款支出预算表（部门经济分类科目）</w:t>
      </w:r>
    </w:p>
    <w:tbl>
      <w:tblPr>
        <w:tblStyle w:val="11"/>
        <w:tblW w:w="15614" w:type="dxa"/>
        <w:tblInd w:w="0" w:type="dxa"/>
        <w:tblLayout w:type="fixed"/>
        <w:tblCellMar>
          <w:top w:w="0" w:type="dxa"/>
          <w:left w:w="108" w:type="dxa"/>
          <w:bottom w:w="0" w:type="dxa"/>
          <w:right w:w="108" w:type="dxa"/>
        </w:tblCellMar>
      </w:tblPr>
      <w:tblGrid>
        <w:gridCol w:w="321"/>
        <w:gridCol w:w="287"/>
        <w:gridCol w:w="448"/>
        <w:gridCol w:w="678"/>
        <w:gridCol w:w="421"/>
        <w:gridCol w:w="421"/>
        <w:gridCol w:w="377"/>
        <w:gridCol w:w="447"/>
        <w:gridCol w:w="447"/>
        <w:gridCol w:w="377"/>
        <w:gridCol w:w="447"/>
        <w:gridCol w:w="447"/>
        <w:gridCol w:w="331"/>
        <w:gridCol w:w="447"/>
        <w:gridCol w:w="447"/>
        <w:gridCol w:w="331"/>
        <w:gridCol w:w="331"/>
        <w:gridCol w:w="447"/>
        <w:gridCol w:w="447"/>
        <w:gridCol w:w="331"/>
        <w:gridCol w:w="447"/>
        <w:gridCol w:w="447"/>
        <w:gridCol w:w="331"/>
        <w:gridCol w:w="447"/>
        <w:gridCol w:w="447"/>
        <w:gridCol w:w="348"/>
        <w:gridCol w:w="348"/>
        <w:gridCol w:w="447"/>
        <w:gridCol w:w="447"/>
        <w:gridCol w:w="331"/>
        <w:gridCol w:w="447"/>
        <w:gridCol w:w="447"/>
        <w:gridCol w:w="331"/>
        <w:gridCol w:w="447"/>
        <w:gridCol w:w="447"/>
        <w:gridCol w:w="331"/>
        <w:gridCol w:w="447"/>
        <w:gridCol w:w="447"/>
      </w:tblGrid>
      <w:tr>
        <w:tblPrEx>
          <w:tblLayout w:type="fixed"/>
          <w:tblCellMar>
            <w:top w:w="0" w:type="dxa"/>
            <w:left w:w="108" w:type="dxa"/>
            <w:bottom w:w="0" w:type="dxa"/>
            <w:right w:w="108" w:type="dxa"/>
          </w:tblCellMar>
        </w:tblPrEx>
        <w:trPr>
          <w:trHeight w:val="398" w:hRule="atLeast"/>
        </w:trPr>
        <w:tc>
          <w:tcPr>
            <w:tcW w:w="15614"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b/>
                <w:bCs/>
                <w:color w:val="000000"/>
                <w:sz w:val="32"/>
                <w:szCs w:val="32"/>
              </w:rPr>
            </w:pPr>
            <w:r>
              <w:rPr>
                <w:rFonts w:hint="eastAsia"/>
                <w:b/>
                <w:bCs/>
                <w:color w:val="000000"/>
                <w:sz w:val="32"/>
                <w:szCs w:val="32"/>
              </w:rPr>
              <w:t>财政拨款支出预算表（部门经济分类科目）</w:t>
            </w:r>
          </w:p>
          <w:p>
            <w:pPr>
              <w:pStyle w:val="2"/>
              <w:ind w:left="0" w:leftChars="0" w:firstLine="0" w:firstLineChars="0"/>
              <w:rPr>
                <w:sz w:val="22"/>
              </w:rPr>
            </w:pPr>
            <w:r>
              <w:rPr>
                <w:rFonts w:hint="eastAsia"/>
                <w:sz w:val="22"/>
              </w:rPr>
              <w:t xml:space="preserve">部门：九寨沟县市政公用事业服务中心                                                                                           </w:t>
            </w: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734"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421"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总计</w:t>
            </w:r>
          </w:p>
        </w:tc>
        <w:tc>
          <w:tcPr>
            <w:tcW w:w="4188" w:type="dxa"/>
            <w:gridSpan w:val="10"/>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省级当年财政拨款安排</w:t>
            </w:r>
          </w:p>
        </w:tc>
        <w:tc>
          <w:tcPr>
            <w:tcW w:w="4006" w:type="dxa"/>
            <w:gridSpan w:val="10"/>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中央提前通知专项转移支付等</w:t>
            </w:r>
          </w:p>
        </w:tc>
        <w:tc>
          <w:tcPr>
            <w:tcW w:w="5265" w:type="dxa"/>
            <w:gridSpan w:val="1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上年结转安排</w:t>
            </w:r>
          </w:p>
        </w:tc>
      </w:tr>
      <w:tr>
        <w:tblPrEx>
          <w:tblLayout w:type="fixed"/>
          <w:tblCellMar>
            <w:top w:w="0" w:type="dxa"/>
            <w:left w:w="108" w:type="dxa"/>
            <w:bottom w:w="0" w:type="dxa"/>
            <w:right w:w="108" w:type="dxa"/>
          </w:tblCellMar>
        </w:tblPrEx>
        <w:trPr>
          <w:trHeight w:val="428" w:hRule="atLeast"/>
        </w:trPr>
        <w:tc>
          <w:tcPr>
            <w:tcW w:w="60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44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7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421" w:type="dxa"/>
            <w:vMerge w:val="continue"/>
            <w:tcBorders>
              <w:top w:val="single" w:color="C0C0C0" w:sz="4" w:space="0"/>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71"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71"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331"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34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42"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上年应返还额度结转</w:t>
            </w:r>
          </w:p>
        </w:tc>
      </w:tr>
      <w:tr>
        <w:tblPrEx>
          <w:tblLayout w:type="fixed"/>
          <w:tblCellMar>
            <w:top w:w="0" w:type="dxa"/>
            <w:left w:w="108" w:type="dxa"/>
            <w:bottom w:w="0" w:type="dxa"/>
            <w:right w:w="108" w:type="dxa"/>
          </w:tblCellMar>
        </w:tblPrEx>
        <w:trPr>
          <w:trHeight w:val="428" w:hRule="atLeast"/>
        </w:trPr>
        <w:tc>
          <w:tcPr>
            <w:tcW w:w="321"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28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4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67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continue"/>
            <w:tcBorders>
              <w:top w:val="single" w:color="C0C0C0" w:sz="4" w:space="0"/>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7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7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4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48"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67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single" w:color="C0C0C0" w:sz="4" w:space="0"/>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bl>
    <w:p>
      <w:pPr>
        <w:rPr>
          <w:rFonts w:hint="eastAsia" w:asciiTheme="minorEastAsia" w:hAnsiTheme="minorEastAsia" w:eastAsiaTheme="minorEastAsia" w:cstheme="minorEastAsia"/>
          <w:sz w:val="22"/>
          <w:szCs w:val="22"/>
        </w:rPr>
      </w:pPr>
    </w:p>
    <w:p>
      <w:pPr>
        <w:pStyle w:val="2"/>
        <w:rPr>
          <w:rFonts w:ascii="仿宋_GB2312" w:hAnsi="仿宋" w:eastAsia="仿宋_GB2312"/>
          <w:sz w:val="32"/>
          <w:szCs w:val="32"/>
        </w:rPr>
      </w:pPr>
    </w:p>
    <w:p>
      <w:pPr>
        <w:pStyle w:val="2"/>
        <w:rPr>
          <w:rFonts w:ascii="仿宋_GB2312" w:hAnsi="仿宋" w:eastAsia="仿宋_GB2312"/>
          <w:sz w:val="32"/>
          <w:szCs w:val="32"/>
        </w:rPr>
      </w:pPr>
    </w:p>
    <w:p>
      <w:pPr>
        <w:pStyle w:val="2"/>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tbl>
      <w:tblPr>
        <w:tblStyle w:val="11"/>
        <w:tblW w:w="15614" w:type="dxa"/>
        <w:tblInd w:w="0" w:type="dxa"/>
        <w:tblLayout w:type="fixed"/>
        <w:tblCellMar>
          <w:top w:w="0" w:type="dxa"/>
          <w:left w:w="108" w:type="dxa"/>
          <w:bottom w:w="0" w:type="dxa"/>
          <w:right w:w="108" w:type="dxa"/>
        </w:tblCellMar>
      </w:tblPr>
      <w:tblGrid>
        <w:gridCol w:w="624"/>
        <w:gridCol w:w="456"/>
        <w:gridCol w:w="456"/>
        <w:gridCol w:w="1561"/>
        <w:gridCol w:w="5696"/>
        <w:gridCol w:w="1568"/>
        <w:gridCol w:w="2255"/>
        <w:gridCol w:w="2998"/>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一般公共预算支出预算表</w:t>
            </w:r>
          </w:p>
        </w:tc>
      </w:tr>
      <w:tr>
        <w:tblPrEx>
          <w:tblLayout w:type="fixed"/>
          <w:tblCellMar>
            <w:top w:w="0" w:type="dxa"/>
            <w:left w:w="108" w:type="dxa"/>
            <w:bottom w:w="0" w:type="dxa"/>
            <w:right w:w="108" w:type="dxa"/>
          </w:tblCellMar>
        </w:tblPrEx>
        <w:trPr>
          <w:trHeight w:val="342" w:hRule="atLeast"/>
        </w:trPr>
        <w:tc>
          <w:tcPr>
            <w:tcW w:w="8793"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1568"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255"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998" w:type="dxa"/>
            <w:tcBorders>
              <w:top w:val="nil"/>
              <w:left w:val="single" w:color="FFFFFF" w:sz="4" w:space="0"/>
              <w:bottom w:val="nil"/>
              <w:right w:val="single" w:color="FFFFFF" w:sz="4" w:space="0"/>
            </w:tcBorders>
            <w:shd w:val="clear" w:color="auto" w:fill="auto"/>
            <w:vAlign w:val="center"/>
          </w:tcPr>
          <w:p>
            <w:pPr>
              <w:jc w:val="right"/>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8793"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56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22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当年财政拨款安排</w:t>
            </w:r>
          </w:p>
        </w:tc>
        <w:tc>
          <w:tcPr>
            <w:tcW w:w="299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上年结转安排</w:t>
            </w:r>
          </w:p>
        </w:tc>
      </w:tr>
      <w:tr>
        <w:tblPrEx>
          <w:tblLayout w:type="fixed"/>
          <w:tblCellMar>
            <w:top w:w="0" w:type="dxa"/>
            <w:left w:w="108" w:type="dxa"/>
            <w:bottom w:w="0" w:type="dxa"/>
            <w:right w:w="108" w:type="dxa"/>
          </w:tblCellMar>
        </w:tblPrEx>
        <w:trPr>
          <w:trHeight w:val="428" w:hRule="atLeast"/>
        </w:trPr>
        <w:tc>
          <w:tcPr>
            <w:tcW w:w="153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56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569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56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25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9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428" w:hRule="atLeast"/>
        </w:trPr>
        <w:tc>
          <w:tcPr>
            <w:tcW w:w="624"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5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5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56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69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56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25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9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6"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6"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1561"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5696"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69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市政公用事业服务中心部门</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机关事业单位职业年金缴费支出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事业单位医疗</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其他行政事业单位医疗支出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行政运行</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城管执法</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7 </w:t>
      </w:r>
      <w:r>
        <w:rPr>
          <w:rFonts w:hint="eastAsia" w:ascii="仿宋_GB2312" w:hAnsi="仿宋" w:eastAsia="仿宋_GB2312"/>
          <w:sz w:val="32"/>
          <w:szCs w:val="32"/>
        </w:rPr>
        <w:t>一般公共预算支出预算表</w:t>
      </w:r>
    </w:p>
    <w:tbl>
      <w:tblPr>
        <w:tblStyle w:val="11"/>
        <w:tblW w:w="15539" w:type="dxa"/>
        <w:tblInd w:w="0" w:type="dxa"/>
        <w:tblLayout w:type="fixed"/>
        <w:tblCellMar>
          <w:top w:w="0" w:type="dxa"/>
          <w:left w:w="108" w:type="dxa"/>
          <w:bottom w:w="0" w:type="dxa"/>
          <w:right w:w="108" w:type="dxa"/>
        </w:tblCellMar>
      </w:tblPr>
      <w:tblGrid>
        <w:gridCol w:w="1038"/>
        <w:gridCol w:w="929"/>
        <w:gridCol w:w="1672"/>
        <w:gridCol w:w="6098"/>
        <w:gridCol w:w="1274"/>
        <w:gridCol w:w="1672"/>
        <w:gridCol w:w="2856"/>
      </w:tblGrid>
      <w:tr>
        <w:tblPrEx>
          <w:tblLayout w:type="fixed"/>
          <w:tblCellMar>
            <w:top w:w="0" w:type="dxa"/>
            <w:left w:w="108" w:type="dxa"/>
            <w:bottom w:w="0" w:type="dxa"/>
            <w:right w:w="108" w:type="dxa"/>
          </w:tblCellMar>
        </w:tblPrEx>
        <w:trPr>
          <w:trHeight w:val="398" w:hRule="atLeast"/>
        </w:trPr>
        <w:tc>
          <w:tcPr>
            <w:tcW w:w="15539"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一般公共预算基本支出预算表</w:t>
            </w:r>
          </w:p>
        </w:tc>
      </w:tr>
      <w:tr>
        <w:tblPrEx>
          <w:tblLayout w:type="fixed"/>
          <w:tblCellMar>
            <w:top w:w="0" w:type="dxa"/>
            <w:left w:w="108" w:type="dxa"/>
            <w:bottom w:w="0" w:type="dxa"/>
            <w:right w:w="108" w:type="dxa"/>
          </w:tblCellMar>
        </w:tblPrEx>
        <w:trPr>
          <w:trHeight w:val="342" w:hRule="atLeast"/>
        </w:trPr>
        <w:tc>
          <w:tcPr>
            <w:tcW w:w="9737" w:type="dxa"/>
            <w:gridSpan w:val="4"/>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1274"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1672" w:type="dxa"/>
            <w:tcBorders>
              <w:top w:val="nil"/>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856" w:type="dxa"/>
            <w:tcBorders>
              <w:top w:val="nil"/>
              <w:left w:val="nil"/>
              <w:bottom w:val="nil"/>
              <w:right w:val="single" w:color="FFFFFF" w:sz="4" w:space="0"/>
            </w:tcBorders>
            <w:shd w:val="clear" w:color="auto" w:fill="auto"/>
            <w:vAlign w:val="center"/>
          </w:tcPr>
          <w:p>
            <w:pPr>
              <w:jc w:val="right"/>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737"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5802"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r>
      <w:tr>
        <w:tblPrEx>
          <w:tblLayout w:type="fixed"/>
          <w:tblCellMar>
            <w:top w:w="0" w:type="dxa"/>
            <w:left w:w="108" w:type="dxa"/>
            <w:bottom w:w="0" w:type="dxa"/>
            <w:right w:w="108" w:type="dxa"/>
          </w:tblCellMar>
        </w:tblPrEx>
        <w:trPr>
          <w:trHeight w:val="428" w:hRule="atLeast"/>
        </w:trPr>
        <w:tc>
          <w:tcPr>
            <w:tcW w:w="196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672"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09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274"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672"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人员经费</w:t>
            </w:r>
          </w:p>
        </w:tc>
        <w:tc>
          <w:tcPr>
            <w:tcW w:w="2856"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公用经费</w:t>
            </w:r>
          </w:p>
        </w:tc>
      </w:tr>
      <w:tr>
        <w:tblPrEx>
          <w:tblLayout w:type="fixed"/>
          <w:tblCellMar>
            <w:top w:w="0" w:type="dxa"/>
            <w:left w:w="108" w:type="dxa"/>
            <w:bottom w:w="0" w:type="dxa"/>
            <w:right w:w="108" w:type="dxa"/>
          </w:tblCellMar>
        </w:tblPrEx>
        <w:trPr>
          <w:trHeight w:val="428" w:hRule="atLeast"/>
        </w:trPr>
        <w:tc>
          <w:tcPr>
            <w:tcW w:w="1038"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929"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1672"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609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1274"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1672"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2856"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609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274"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098" w:type="dxa"/>
            <w:tcBorders>
              <w:top w:val="single" w:color="C0C0C0" w:sz="4" w:space="0"/>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工资福利支出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基本工资</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86.22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86.22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津贴补贴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17.76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17.76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艰苦边远地区津贴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16.37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16.37</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高海拔地区折算工龄补贴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其他国家津补贴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1.37</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奖金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71.61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71.61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年终一次性奖金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7.19</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基础绩效奖</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64.43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64.43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绩效工资</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62.26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62.26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30108</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职业年金缴费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30110</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职工基本医疗保险缴费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公务员医疗补助缴费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其他社会保障缴费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1.90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1.90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工伤保险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0.48</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失业保险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其他工资福利支出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109.51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109.51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长聘人员经费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聘用人员养老保险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22.02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聘用人员医疗保险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16.06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16.06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聘用人员工伤保险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3019914</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聘用人员失业保险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0.83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0.83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3019915</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聘用人员住房公积金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3.98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3.98</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ajorEastAsia" w:hAnsiTheme="majorEastAsia" w:eastAsiaTheme="majorEastAsia" w:cstheme="majorEastAsia"/>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ajorEastAsia" w:hAnsiTheme="majorEastAsia" w:eastAsiaTheme="majorEastAsia" w:cstheme="majorEastAsia"/>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商品和服务支出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办公费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印刷费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2.50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2.50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邮电费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0.72</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差旅费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30216</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培训费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公务接待费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28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30228</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工会经费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3.14</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3.14</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30239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其他交通费用</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30299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其他商品和服务支出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2.66</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2.66</w:t>
            </w:r>
          </w:p>
        </w:tc>
      </w:tr>
    </w:tbl>
    <w:p>
      <w:pPr>
        <w:pStyle w:val="2"/>
        <w:ind w:left="0" w:leftChars="0" w:firstLine="0" w:firstLineChars="0"/>
        <w:jc w:val="left"/>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tbl>
      <w:tblPr>
        <w:tblStyle w:val="11"/>
        <w:tblW w:w="15614" w:type="dxa"/>
        <w:jc w:val="center"/>
        <w:tblInd w:w="0" w:type="dxa"/>
        <w:tblLayout w:type="fixed"/>
        <w:tblCellMar>
          <w:top w:w="0" w:type="dxa"/>
          <w:left w:w="108" w:type="dxa"/>
          <w:bottom w:w="0" w:type="dxa"/>
          <w:right w:w="108" w:type="dxa"/>
        </w:tblCellMar>
      </w:tblPr>
      <w:tblGrid>
        <w:gridCol w:w="843"/>
        <w:gridCol w:w="637"/>
        <w:gridCol w:w="643"/>
        <w:gridCol w:w="2124"/>
        <w:gridCol w:w="7735"/>
        <w:gridCol w:w="3632"/>
      </w:tblGrid>
      <w:tr>
        <w:tblPrEx>
          <w:tblLayout w:type="fixed"/>
          <w:tblCellMar>
            <w:top w:w="0" w:type="dxa"/>
            <w:left w:w="108" w:type="dxa"/>
            <w:bottom w:w="0" w:type="dxa"/>
            <w:right w:w="108" w:type="dxa"/>
          </w:tblCellMar>
        </w:tblPrEx>
        <w:trPr>
          <w:trHeight w:val="398" w:hRule="atLeast"/>
          <w:jc w:val="center"/>
        </w:trPr>
        <w:tc>
          <w:tcPr>
            <w:tcW w:w="15614"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一般公共预算项目支出预算表</w:t>
            </w:r>
          </w:p>
        </w:tc>
      </w:tr>
      <w:tr>
        <w:tblPrEx>
          <w:tblLayout w:type="fixed"/>
          <w:tblCellMar>
            <w:top w:w="0" w:type="dxa"/>
            <w:left w:w="108" w:type="dxa"/>
            <w:bottom w:w="0" w:type="dxa"/>
            <w:right w:w="108" w:type="dxa"/>
          </w:tblCellMar>
        </w:tblPrEx>
        <w:trPr>
          <w:trHeight w:val="342" w:hRule="atLeast"/>
          <w:jc w:val="center"/>
        </w:trPr>
        <w:tc>
          <w:tcPr>
            <w:tcW w:w="11982"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363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jc w:val="center"/>
        </w:trPr>
        <w:tc>
          <w:tcPr>
            <w:tcW w:w="2123"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212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77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36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金额</w:t>
            </w:r>
          </w:p>
        </w:tc>
      </w:tr>
      <w:tr>
        <w:tblPrEx>
          <w:tblLayout w:type="fixed"/>
          <w:tblCellMar>
            <w:top w:w="0" w:type="dxa"/>
            <w:left w:w="108" w:type="dxa"/>
            <w:bottom w:w="0" w:type="dxa"/>
            <w:right w:w="108" w:type="dxa"/>
          </w:tblCellMar>
        </w:tblPrEx>
        <w:trPr>
          <w:trHeight w:val="428" w:hRule="atLeast"/>
          <w:jc w:val="center"/>
        </w:trPr>
        <w:tc>
          <w:tcPr>
            <w:tcW w:w="843"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637"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64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2124"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73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363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637"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64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2124"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773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64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212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城区内市政路灯电费</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64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12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城区清扫保洁和园林绿化市场化采购项目</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center"/>
              <w:textAlignment w:val="center"/>
              <w:rPr>
                <w:rFonts w:ascii="宋体" w:hAnsi="宋体" w:eastAsia="宋体" w:cs="宋体"/>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tbl>
      <w:tblPr>
        <w:tblStyle w:val="11"/>
        <w:tblW w:w="15614" w:type="dxa"/>
        <w:tblInd w:w="0" w:type="dxa"/>
        <w:tblLayout w:type="fixed"/>
        <w:tblCellMar>
          <w:top w:w="0" w:type="dxa"/>
          <w:left w:w="108" w:type="dxa"/>
          <w:bottom w:w="0" w:type="dxa"/>
          <w:right w:w="108" w:type="dxa"/>
        </w:tblCellMar>
      </w:tblPr>
      <w:tblGrid>
        <w:gridCol w:w="1272"/>
        <w:gridCol w:w="4637"/>
        <w:gridCol w:w="665"/>
        <w:gridCol w:w="1836"/>
        <w:gridCol w:w="662"/>
        <w:gridCol w:w="2186"/>
        <w:gridCol w:w="2186"/>
        <w:gridCol w:w="2170"/>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一般公共预算“三公”经费支出预算表</w:t>
            </w:r>
          </w:p>
        </w:tc>
      </w:tr>
      <w:tr>
        <w:tblPrEx>
          <w:tblLayout w:type="fixed"/>
          <w:tblCellMar>
            <w:top w:w="0" w:type="dxa"/>
            <w:left w:w="108" w:type="dxa"/>
            <w:bottom w:w="0" w:type="dxa"/>
            <w:right w:w="108" w:type="dxa"/>
          </w:tblCellMar>
        </w:tblPrEx>
        <w:trPr>
          <w:trHeight w:val="342" w:hRule="atLeast"/>
        </w:trPr>
        <w:tc>
          <w:tcPr>
            <w:tcW w:w="5909"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665"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183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70"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27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单位编码</w:t>
            </w:r>
          </w:p>
        </w:tc>
        <w:tc>
          <w:tcPr>
            <w:tcW w:w="46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9705" w:type="dxa"/>
            <w:gridSpan w:val="6"/>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当年财政拨款预算安排</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5"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83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因公出国（境）费用</w:t>
            </w:r>
          </w:p>
        </w:tc>
        <w:tc>
          <w:tcPr>
            <w:tcW w:w="5034"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公务用车购置及运行费</w:t>
            </w:r>
          </w:p>
        </w:tc>
        <w:tc>
          <w:tcPr>
            <w:tcW w:w="2170"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公务接待费</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5"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3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公务用车购置费</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公务用车运行费</w:t>
            </w:r>
          </w:p>
        </w:tc>
        <w:tc>
          <w:tcPr>
            <w:tcW w:w="2170"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637"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66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70"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6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662"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70"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4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66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662"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70"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政府性基金预算支出预算表</w:t>
      </w:r>
    </w:p>
    <w:tbl>
      <w:tblPr>
        <w:tblStyle w:val="11"/>
        <w:tblW w:w="15614" w:type="dxa"/>
        <w:tblInd w:w="0" w:type="dxa"/>
        <w:tblLayout w:type="fixed"/>
        <w:tblCellMar>
          <w:top w:w="0" w:type="dxa"/>
          <w:left w:w="108" w:type="dxa"/>
          <w:bottom w:w="0" w:type="dxa"/>
          <w:right w:w="108" w:type="dxa"/>
        </w:tblCellMar>
      </w:tblPr>
      <w:tblGrid>
        <w:gridCol w:w="686"/>
        <w:gridCol w:w="484"/>
        <w:gridCol w:w="484"/>
        <w:gridCol w:w="1721"/>
        <w:gridCol w:w="6271"/>
        <w:gridCol w:w="1312"/>
        <w:gridCol w:w="1721"/>
        <w:gridCol w:w="2935"/>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 xml:space="preserve">政府性基金预算支出预算表 </w:t>
            </w:r>
          </w:p>
        </w:tc>
      </w:tr>
      <w:tr>
        <w:tblPrEx>
          <w:tblLayout w:type="fixed"/>
          <w:tblCellMar>
            <w:top w:w="0" w:type="dxa"/>
            <w:left w:w="108" w:type="dxa"/>
            <w:bottom w:w="0" w:type="dxa"/>
            <w:right w:w="108" w:type="dxa"/>
          </w:tblCellMar>
        </w:tblPrEx>
        <w:trPr>
          <w:trHeight w:val="342" w:hRule="atLeast"/>
        </w:trPr>
        <w:tc>
          <w:tcPr>
            <w:tcW w:w="9646"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1312"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721"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935"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646"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5968"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本年政府性基金预算支出</w:t>
            </w:r>
          </w:p>
        </w:tc>
      </w:tr>
      <w:tr>
        <w:tblPrEx>
          <w:tblLayout w:type="fixed"/>
          <w:tblCellMar>
            <w:top w:w="0" w:type="dxa"/>
            <w:left w:w="108" w:type="dxa"/>
            <w:bottom w:w="0" w:type="dxa"/>
            <w:right w:w="108" w:type="dxa"/>
          </w:tblCellMar>
        </w:tblPrEx>
        <w:trPr>
          <w:trHeight w:val="428" w:hRule="atLeast"/>
        </w:trPr>
        <w:tc>
          <w:tcPr>
            <w:tcW w:w="1654"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72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27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312"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72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2935"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428" w:hRule="atLeast"/>
        </w:trPr>
        <w:tc>
          <w:tcPr>
            <w:tcW w:w="686"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84"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84"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72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27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312"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72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35"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484"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484"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6271"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tbl>
      <w:tblPr>
        <w:tblStyle w:val="11"/>
        <w:tblW w:w="15614" w:type="dxa"/>
        <w:tblInd w:w="0" w:type="dxa"/>
        <w:tblLayout w:type="fixed"/>
        <w:tblCellMar>
          <w:top w:w="0" w:type="dxa"/>
          <w:left w:w="108" w:type="dxa"/>
          <w:bottom w:w="0" w:type="dxa"/>
          <w:right w:w="108" w:type="dxa"/>
        </w:tblCellMar>
      </w:tblPr>
      <w:tblGrid>
        <w:gridCol w:w="1272"/>
        <w:gridCol w:w="4637"/>
        <w:gridCol w:w="662"/>
        <w:gridCol w:w="1836"/>
        <w:gridCol w:w="662"/>
        <w:gridCol w:w="2186"/>
        <w:gridCol w:w="2186"/>
        <w:gridCol w:w="2173"/>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政府性基金预算“三公”经费支出预算表</w:t>
            </w:r>
          </w:p>
        </w:tc>
      </w:tr>
      <w:tr>
        <w:tblPrEx>
          <w:tblLayout w:type="fixed"/>
          <w:tblCellMar>
            <w:top w:w="0" w:type="dxa"/>
            <w:left w:w="108" w:type="dxa"/>
            <w:bottom w:w="0" w:type="dxa"/>
            <w:right w:w="108" w:type="dxa"/>
          </w:tblCellMar>
        </w:tblPrEx>
        <w:trPr>
          <w:trHeight w:val="342" w:hRule="atLeast"/>
        </w:trPr>
        <w:tc>
          <w:tcPr>
            <w:tcW w:w="5909"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rPr>
              <w:t>部门：</w:t>
            </w:r>
            <w:r>
              <w:rPr>
                <w:rFonts w:hint="eastAsia" w:ascii="宋体" w:hAnsi="宋体" w:eastAsia="宋体" w:cs="宋体"/>
                <w:color w:val="000000"/>
                <w:kern w:val="0"/>
                <w:sz w:val="22"/>
              </w:rPr>
              <w:t>九寨沟县市政公用事业服务中心</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183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73"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27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单位编码</w:t>
            </w:r>
          </w:p>
        </w:tc>
        <w:tc>
          <w:tcPr>
            <w:tcW w:w="46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9705" w:type="dxa"/>
            <w:gridSpan w:val="6"/>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当年财政拨款预算安排</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83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因公出国（境）费用</w:t>
            </w:r>
          </w:p>
        </w:tc>
        <w:tc>
          <w:tcPr>
            <w:tcW w:w="5034"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公务用车购置及运行费</w:t>
            </w:r>
          </w:p>
        </w:tc>
        <w:tc>
          <w:tcPr>
            <w:tcW w:w="2173"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公务接待费</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3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公务用车购置费</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公务用车运行费</w:t>
            </w:r>
          </w:p>
        </w:tc>
        <w:tc>
          <w:tcPr>
            <w:tcW w:w="2173"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　</w:t>
            </w:r>
          </w:p>
        </w:tc>
        <w:tc>
          <w:tcPr>
            <w:tcW w:w="4637"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18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73"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463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18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73"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463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ascii="Arial" w:hAnsi="Arial" w:cs="Arial"/>
                <w:color w:val="000000"/>
                <w:sz w:val="22"/>
              </w:rPr>
              <w:t> </w:t>
            </w:r>
          </w:p>
        </w:tc>
        <w:tc>
          <w:tcPr>
            <w:tcW w:w="662"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183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73"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 xml:space="preserve">12 </w:t>
      </w:r>
      <w:r>
        <w:rPr>
          <w:rFonts w:hint="eastAsia" w:ascii="仿宋_GB2312" w:hAnsi="仿宋" w:eastAsia="仿宋_GB2312"/>
          <w:sz w:val="32"/>
          <w:szCs w:val="32"/>
        </w:rPr>
        <w:t>一般公共预算项目支出预算表</w:t>
      </w:r>
    </w:p>
    <w:tbl>
      <w:tblPr>
        <w:tblStyle w:val="11"/>
        <w:tblW w:w="14340" w:type="dxa"/>
        <w:tblInd w:w="0" w:type="dxa"/>
        <w:tblLayout w:type="fixed"/>
        <w:tblCellMar>
          <w:top w:w="15" w:type="dxa"/>
          <w:left w:w="15" w:type="dxa"/>
          <w:bottom w:w="15" w:type="dxa"/>
          <w:right w:w="15" w:type="dxa"/>
        </w:tblCellMar>
      </w:tblPr>
      <w:tblGrid>
        <w:gridCol w:w="727"/>
        <w:gridCol w:w="1179"/>
        <w:gridCol w:w="1180"/>
        <w:gridCol w:w="1573"/>
        <w:gridCol w:w="4809"/>
        <w:gridCol w:w="1923"/>
        <w:gridCol w:w="1180"/>
        <w:gridCol w:w="1769"/>
      </w:tblGrid>
      <w:tr>
        <w:tblPrEx>
          <w:tblLayout w:type="fixed"/>
          <w:tblCellMar>
            <w:top w:w="15" w:type="dxa"/>
            <w:left w:w="15" w:type="dxa"/>
            <w:bottom w:w="15" w:type="dxa"/>
            <w:right w:w="15" w:type="dxa"/>
          </w:tblCellMar>
        </w:tblPrEx>
        <w:trPr>
          <w:trHeight w:val="705" w:hRule="atLeast"/>
        </w:trPr>
        <w:tc>
          <w:tcPr>
            <w:tcW w:w="1434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国有资本经营预算支出预算表</w:t>
            </w:r>
          </w:p>
        </w:tc>
      </w:tr>
      <w:tr>
        <w:tblPrEx>
          <w:tblLayout w:type="fixed"/>
          <w:tblCellMar>
            <w:top w:w="15" w:type="dxa"/>
            <w:left w:w="15" w:type="dxa"/>
            <w:bottom w:w="15" w:type="dxa"/>
            <w:right w:w="15" w:type="dxa"/>
          </w:tblCellMar>
        </w:tblPrEx>
        <w:trPr>
          <w:trHeight w:val="393" w:hRule="atLeast"/>
        </w:trPr>
        <w:tc>
          <w:tcPr>
            <w:tcW w:w="9468"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部门：九寨沟县市政公用事业服务中心</w:t>
            </w:r>
          </w:p>
        </w:tc>
        <w:tc>
          <w:tcPr>
            <w:tcW w:w="192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69"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89" w:hRule="atLeast"/>
        </w:trPr>
        <w:tc>
          <w:tcPr>
            <w:tcW w:w="9468"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87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本年国有资本经营预算支出</w:t>
            </w:r>
          </w:p>
        </w:tc>
      </w:tr>
      <w:tr>
        <w:tblPrEx>
          <w:tblLayout w:type="fixed"/>
          <w:tblCellMar>
            <w:top w:w="15" w:type="dxa"/>
            <w:left w:w="15" w:type="dxa"/>
            <w:bottom w:w="15" w:type="dxa"/>
            <w:right w:w="15" w:type="dxa"/>
          </w:tblCellMar>
        </w:tblPrEx>
        <w:trPr>
          <w:trHeight w:val="489" w:hRule="atLeast"/>
        </w:trPr>
        <w:tc>
          <w:tcPr>
            <w:tcW w:w="308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5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80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92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1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7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89" w:hRule="atLeast"/>
        </w:trPr>
        <w:tc>
          <w:tcPr>
            <w:tcW w:w="72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17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1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5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80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2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46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3部门预算项目绩效目标表（202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年度）</w:t>
      </w:r>
    </w:p>
    <w:tbl>
      <w:tblPr>
        <w:tblW w:w="13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2113"/>
        <w:gridCol w:w="1590"/>
        <w:gridCol w:w="1341"/>
        <w:gridCol w:w="2111"/>
        <w:gridCol w:w="877"/>
        <w:gridCol w:w="892"/>
        <w:gridCol w:w="1049"/>
        <w:gridCol w:w="892"/>
        <w:gridCol w:w="673"/>
        <w:gridCol w:w="877"/>
        <w:gridCol w:w="491"/>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70" w:hRule="atLeast"/>
        </w:trPr>
        <w:tc>
          <w:tcPr>
            <w:tcW w:w="2113" w:type="dxa"/>
            <w:shd w:val="clear"/>
            <w:vAlign w:val="center"/>
          </w:tcPr>
          <w:p>
            <w:pPr>
              <w:rPr>
                <w:rFonts w:hint="eastAsia" w:ascii="宋体" w:hAnsi="宋体" w:eastAsia="宋体" w:cs="宋体"/>
                <w:i w:val="0"/>
                <w:color w:val="000000"/>
                <w:sz w:val="22"/>
                <w:szCs w:val="22"/>
                <w:u w:val="none"/>
              </w:rPr>
            </w:pPr>
          </w:p>
        </w:tc>
        <w:tc>
          <w:tcPr>
            <w:tcW w:w="1590" w:type="dxa"/>
            <w:shd w:val="clear"/>
            <w:vAlign w:val="center"/>
          </w:tcPr>
          <w:p>
            <w:pPr>
              <w:rPr>
                <w:rFonts w:hint="eastAsia" w:ascii="宋体" w:hAnsi="宋体" w:eastAsia="宋体" w:cs="宋体"/>
                <w:i w:val="0"/>
                <w:color w:val="000000"/>
                <w:sz w:val="22"/>
                <w:szCs w:val="22"/>
                <w:u w:val="none"/>
              </w:rPr>
            </w:pPr>
          </w:p>
        </w:tc>
        <w:tc>
          <w:tcPr>
            <w:tcW w:w="1341"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color w:val="C0C0C0"/>
                <w:sz w:val="18"/>
                <w:szCs w:val="18"/>
                <w:u w:val="none"/>
              </w:rPr>
            </w:pPr>
          </w:p>
        </w:tc>
        <w:tc>
          <w:tcPr>
            <w:tcW w:w="2111"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color w:val="C0C0C0"/>
                <w:sz w:val="18"/>
                <w:szCs w:val="18"/>
                <w:u w:val="none"/>
              </w:rPr>
            </w:pPr>
          </w:p>
        </w:tc>
        <w:tc>
          <w:tcPr>
            <w:tcW w:w="877"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color w:val="C0C0C0"/>
                <w:sz w:val="18"/>
                <w:szCs w:val="18"/>
                <w:u w:val="none"/>
              </w:rPr>
            </w:pPr>
          </w:p>
        </w:tc>
        <w:tc>
          <w:tcPr>
            <w:tcW w:w="892" w:type="dxa"/>
            <w:shd w:val="clear"/>
            <w:vAlign w:val="center"/>
          </w:tcPr>
          <w:p>
            <w:pPr>
              <w:rPr>
                <w:rFonts w:hint="eastAsia" w:ascii="宋体" w:hAnsi="宋体" w:eastAsia="宋体" w:cs="宋体"/>
                <w:i w:val="0"/>
                <w:color w:val="C0C0C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color w:val="C0C0C0"/>
                <w:sz w:val="18"/>
                <w:szCs w:val="18"/>
                <w:u w:val="none"/>
              </w:rPr>
            </w:pPr>
          </w:p>
        </w:tc>
        <w:tc>
          <w:tcPr>
            <w:tcW w:w="892" w:type="dxa"/>
            <w:shd w:val="clear"/>
            <w:vAlign w:val="center"/>
          </w:tcPr>
          <w:p>
            <w:pPr>
              <w:rPr>
                <w:rFonts w:hint="eastAsia" w:ascii="宋体" w:hAnsi="宋体" w:eastAsia="宋体" w:cs="宋体"/>
                <w:i w:val="0"/>
                <w:color w:val="C0C0C0"/>
                <w:sz w:val="18"/>
                <w:szCs w:val="18"/>
                <w:u w:val="none"/>
              </w:rPr>
            </w:pPr>
          </w:p>
        </w:tc>
        <w:tc>
          <w:tcPr>
            <w:tcW w:w="673" w:type="dxa"/>
            <w:shd w:val="clear"/>
            <w:vAlign w:val="center"/>
          </w:tcPr>
          <w:p>
            <w:pPr>
              <w:rPr>
                <w:rFonts w:hint="eastAsia" w:ascii="宋体" w:hAnsi="宋体" w:eastAsia="宋体" w:cs="宋体"/>
                <w:i w:val="0"/>
                <w:color w:val="C0C0C0"/>
                <w:sz w:val="18"/>
                <w:szCs w:val="18"/>
                <w:u w:val="none"/>
              </w:rPr>
            </w:pPr>
          </w:p>
        </w:tc>
        <w:tc>
          <w:tcPr>
            <w:tcW w:w="877" w:type="dxa"/>
            <w:shd w:val="clear"/>
            <w:vAlign w:val="center"/>
          </w:tcPr>
          <w:p>
            <w:pPr>
              <w:rPr>
                <w:rFonts w:hint="eastAsia" w:ascii="宋体" w:hAnsi="宋体" w:eastAsia="宋体" w:cs="宋体"/>
                <w:i w:val="0"/>
                <w:color w:val="C0C0C0"/>
                <w:sz w:val="18"/>
                <w:szCs w:val="18"/>
                <w:u w:val="none"/>
              </w:rPr>
            </w:pPr>
          </w:p>
        </w:tc>
        <w:tc>
          <w:tcPr>
            <w:tcW w:w="491" w:type="dxa"/>
            <w:shd w:val="clear"/>
            <w:vAlign w:val="center"/>
          </w:tcPr>
          <w:p>
            <w:pPr>
              <w:rPr>
                <w:rFonts w:hint="eastAsia" w:ascii="宋体" w:hAnsi="宋体" w:eastAsia="宋体" w:cs="宋体"/>
                <w:i w:val="0"/>
                <w:color w:val="C0C0C0"/>
                <w:sz w:val="18"/>
                <w:szCs w:val="18"/>
                <w:u w:val="none"/>
              </w:rPr>
            </w:pPr>
          </w:p>
        </w:tc>
        <w:tc>
          <w:tcPr>
            <w:tcW w:w="616"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color w:val="C0C0C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3522" w:type="dxa"/>
            <w:gridSpan w:val="12"/>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部门预算项目绩效目标表（2026年度）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7155" w:type="dxa"/>
            <w:gridSpan w:val="4"/>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877" w:type="dxa"/>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892" w:type="dxa"/>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1049" w:type="dxa"/>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892" w:type="dxa"/>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673" w:type="dxa"/>
            <w:tcBorders>
              <w:top w:val="single" w:color="FFFFFF" w:sz="4" w:space="0"/>
              <w:left w:val="single" w:color="FFFFFF" w:sz="4" w:space="0"/>
              <w:right w:val="single" w:color="FFFFFF" w:sz="4" w:space="0"/>
            </w:tcBorders>
            <w:shd w:val="clear"/>
            <w:vAlign w:val="center"/>
          </w:tcPr>
          <w:p>
            <w:pPr>
              <w:rPr>
                <w:rFonts w:hint="eastAsia" w:ascii="宋体" w:hAnsi="宋体" w:eastAsia="宋体" w:cs="宋体"/>
                <w:i w:val="0"/>
                <w:color w:val="000000"/>
                <w:sz w:val="22"/>
                <w:szCs w:val="22"/>
                <w:u w:val="none"/>
              </w:rPr>
            </w:pPr>
          </w:p>
        </w:tc>
        <w:tc>
          <w:tcPr>
            <w:tcW w:w="1984" w:type="dxa"/>
            <w:gridSpan w:val="3"/>
            <w:tcBorders>
              <w:top w:val="single" w:color="FFFFFF" w:sz="4" w:space="0"/>
              <w:left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211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159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134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211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87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9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4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89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67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87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9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61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509-市政公用事业服务中心部门</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518.72</w:t>
            </w:r>
          </w:p>
        </w:tc>
        <w:tc>
          <w:tcPr>
            <w:tcW w:w="2111"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509001-市政公用事业服务中心</w:t>
            </w:r>
          </w:p>
        </w:tc>
        <w:tc>
          <w:tcPr>
            <w:tcW w:w="15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城区清扫保洁和园林绿化市场化采购项目</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450.00</w:t>
            </w:r>
          </w:p>
        </w:tc>
        <w:tc>
          <w:tcPr>
            <w:tcW w:w="211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环境卫生质量得到显著提升，城区环境卫生不断改善，有效提升了九寨沟县城区形象，为九寨县城区居民创造出干净整洁、舒适优美的宜居环境，提升居民幸福指数，巩固国家卫生城市、文明城市创建成果。完成城区清扫保洁面积58.3万平方米、园林绿化养护面积19.13万平方米、河道保洁面积18万平方米。</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成本完成率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清扫保洁面积</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583000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保洁整洁率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河道面积</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保洁绿化时长</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园林绿化面积</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191300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城市环境卫生综合考核得分</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持续影响时长</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持续影响时长情况良好</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城区内市政路灯电费</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46.00</w:t>
            </w:r>
          </w:p>
        </w:tc>
        <w:tc>
          <w:tcPr>
            <w:tcW w:w="211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保障城区内1640个市政路灯用电。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保障城区夜间照明安全，提升居民出行便利行和安全感。</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单个路灯年均用电成本</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487</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城区主干道夜间照明保障率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供电路灯覆盖城区群众满意度</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路灯供电覆盖率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保障路灯用电数量</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棵</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路灯供电及时率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日常公用经费(九寨沟)</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22.72</w:t>
            </w:r>
          </w:p>
        </w:tc>
        <w:tc>
          <w:tcPr>
            <w:tcW w:w="211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提高预算编制质量，严格执行预算，保障单位日常运转。</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运转保障率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预算编制准确率（计算方法为：∣（执行数-预算数）/预算数∣）</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科目调整次数</w:t>
            </w:r>
          </w:p>
        </w:tc>
        <w:tc>
          <w:tcPr>
            <w:tcW w:w="8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4部门整体绩效目标表</w:t>
      </w:r>
    </w:p>
    <w:tbl>
      <w:tblPr>
        <w:tblStyle w:val="11"/>
        <w:tblW w:w="13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4"/>
        <w:gridCol w:w="1339"/>
        <w:gridCol w:w="989"/>
        <w:gridCol w:w="1876"/>
        <w:gridCol w:w="2071"/>
        <w:gridCol w:w="1386"/>
        <w:gridCol w:w="1386"/>
        <w:gridCol w:w="1036"/>
        <w:gridCol w:w="19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25" w:hRule="atLeast"/>
        </w:trPr>
        <w:tc>
          <w:tcPr>
            <w:tcW w:w="13000" w:type="dxa"/>
            <w:gridSpan w:val="9"/>
            <w:shd w:val="clear" w:color="auto" w:fill="auto"/>
            <w:vAlign w:val="top"/>
          </w:tcPr>
          <w:p>
            <w:pPr>
              <w:keepNext w:val="0"/>
              <w:keepLines w:val="0"/>
              <w:widowControl/>
              <w:suppressLineNumbers w:val="0"/>
              <w:jc w:val="center"/>
              <w:textAlignment w:val="top"/>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2026年度部门整体绩效目标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994" w:type="dxa"/>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部门名称：</w:t>
            </w:r>
          </w:p>
        </w:tc>
        <w:tc>
          <w:tcPr>
            <w:tcW w:w="7661" w:type="dxa"/>
            <w:gridSpan w:val="5"/>
            <w:shd w:val="clear" w:color="auto" w:fill="auto"/>
            <w:vAlign w:val="top"/>
          </w:tcPr>
          <w:p>
            <w:pPr>
              <w:keepNext w:val="0"/>
              <w:keepLines w:val="0"/>
              <w:widowControl/>
              <w:suppressLineNumbers w:val="0"/>
              <w:jc w:val="left"/>
              <w:textAlignment w:val="top"/>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市政公用事业服务中心部门</w:t>
            </w:r>
          </w:p>
        </w:tc>
        <w:tc>
          <w:tcPr>
            <w:tcW w:w="1386" w:type="dxa"/>
            <w:shd w:val="clear" w:color="auto" w:fill="auto"/>
            <w:vAlign w:val="center"/>
          </w:tcPr>
          <w:p>
            <w:pPr>
              <w:rPr>
                <w:rFonts w:hint="eastAsia" w:ascii="黑体" w:hAnsi="黑体" w:eastAsia="黑体" w:cs="黑体"/>
                <w:i w:val="0"/>
                <w:color w:val="000000"/>
                <w:sz w:val="18"/>
                <w:szCs w:val="18"/>
                <w:u w:val="none"/>
              </w:rPr>
            </w:pPr>
          </w:p>
        </w:tc>
        <w:tc>
          <w:tcPr>
            <w:tcW w:w="1036" w:type="dxa"/>
            <w:shd w:val="clear" w:color="auto" w:fill="auto"/>
            <w:vAlign w:val="center"/>
          </w:tcPr>
          <w:p>
            <w:pPr>
              <w:rPr>
                <w:rFonts w:hint="eastAsia" w:ascii="黑体" w:hAnsi="黑体" w:eastAsia="黑体" w:cs="黑体"/>
                <w:i w:val="0"/>
                <w:color w:val="000000"/>
                <w:sz w:val="18"/>
                <w:szCs w:val="18"/>
                <w:u w:val="none"/>
              </w:rPr>
            </w:pPr>
          </w:p>
        </w:tc>
        <w:tc>
          <w:tcPr>
            <w:tcW w:w="1923" w:type="dxa"/>
            <w:shd w:val="clear" w:color="auto" w:fill="auto"/>
            <w:vAlign w:val="top"/>
          </w:tcPr>
          <w:p>
            <w:pPr>
              <w:keepNext w:val="0"/>
              <w:keepLines w:val="0"/>
              <w:widowControl/>
              <w:suppressLineNumbers w:val="0"/>
              <w:jc w:val="right"/>
              <w:textAlignment w:val="top"/>
              <w:rPr>
                <w:rFonts w:ascii="宋体" w:hAnsi="宋体" w:eastAsia="宋体" w:cs="宋体"/>
                <w:i w:val="0"/>
                <w:color w:val="000000"/>
                <w:sz w:val="16"/>
                <w:szCs w:val="16"/>
                <w:u w:val="none"/>
              </w:rPr>
            </w:pPr>
            <w:r>
              <w:rPr>
                <w:rFonts w:ascii="宋体" w:hAnsi="宋体" w:eastAsia="宋体" w:cs="宋体"/>
                <w:i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年度部门整体预算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资金总额</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财政拨款</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收入预算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981.01</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981.01</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年度总体目标</w:t>
            </w:r>
          </w:p>
        </w:tc>
        <w:tc>
          <w:tcPr>
            <w:tcW w:w="96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认真贯彻落实党的二十大精神，时刻秉持“人民城市人民管·管好城市为人民”的服务宗旨，紧紧围绕一手抓思想建设，一手抓城市管理的工作原则，切实抓好各项城市管理服务工作，实现了城市管理水平新提高。2025年主要做好如下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1、职工工资福利、社会保险及住房公积金。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2、日常公用经费。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3、长聘人员经费。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0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管理效率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0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指标参考值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20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三年均值</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2023</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2024</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财政拨款预算偏离度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191.22%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191.22%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260.15%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107.97%</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单位收入统筹度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预算年终结余率</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2.59%</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5.94%</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一般性支出金额</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财务管理规范</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资产配置预算偏离度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采购执行率</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30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履职效能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指标值（包括数字及文字描述）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工资及项目资金支付及时率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等于100%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职工工资发放人数</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资金支付审核准确率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效益指标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保障环卫等群体稳定增收</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效益指标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保障市政中心工作有序开展</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r>
    </w:tbl>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sectPr>
          <w:type w:val="continuous"/>
          <w:pgSz w:w="16838" w:h="11906" w:orient="landscape"/>
          <w:pgMar w:top="720" w:right="720" w:bottom="720" w:left="720" w:header="851" w:footer="992" w:gutter="0"/>
          <w:pgNumType w:fmt="numberInDash"/>
          <w:cols w:space="425" w:num="1"/>
          <w:docGrid w:type="lines" w:linePitch="312" w:charSpace="0"/>
        </w:sectPr>
      </w:pPr>
    </w:p>
    <w:p>
      <w:pPr>
        <w:spacing w:line="560" w:lineRule="exact"/>
        <w:jc w:val="center"/>
        <w:rPr>
          <w:rFonts w:ascii="方正小标宋简体" w:hAnsi="黑体" w:eastAsia="方正小标宋简体"/>
          <w:color w:val="00B0F0"/>
          <w:sz w:val="44"/>
          <w:szCs w:val="44"/>
        </w:rPr>
      </w:pP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第三部分  九寨沟县市政公用事业服务</w:t>
      </w: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中心</w:t>
      </w:r>
      <w:r>
        <w:rPr>
          <w:rFonts w:hint="eastAsia" w:ascii="Times New Roman" w:hAnsi="Times New Roman" w:eastAsia="方正小标宋简体"/>
          <w:color w:val="000000" w:themeColor="text1"/>
          <w:sz w:val="44"/>
          <w:szCs w:val="44"/>
          <w14:textFill>
            <w14:solidFill>
              <w14:schemeClr w14:val="tx1"/>
            </w14:solidFill>
          </w14:textFill>
        </w:rPr>
        <w:t>202</w:t>
      </w:r>
      <w:r>
        <w:rPr>
          <w:rFonts w:hint="eastAsia" w:ascii="Times New Roman" w:hAnsi="Times New Roman" w:eastAsia="方正小标宋简体"/>
          <w:color w:val="000000" w:themeColor="text1"/>
          <w:sz w:val="44"/>
          <w:szCs w:val="44"/>
          <w:lang w:val="en-US" w:eastAsia="zh-CN"/>
          <w14:textFill>
            <w14:solidFill>
              <w14:schemeClr w14:val="tx1"/>
            </w14:solidFill>
          </w14:textFill>
        </w:rPr>
        <w:t>6</w:t>
      </w:r>
      <w:r>
        <w:rPr>
          <w:rFonts w:hint="eastAsia" w:ascii="方正小标宋简体" w:hAnsi="黑体" w:eastAsia="方正小标宋简体"/>
          <w:color w:val="000000" w:themeColor="text1"/>
          <w:sz w:val="44"/>
          <w:szCs w:val="44"/>
          <w14:textFill>
            <w14:solidFill>
              <w14:schemeClr w14:val="tx1"/>
            </w14:solidFill>
          </w14:textFill>
        </w:rPr>
        <w:t>年</w:t>
      </w:r>
      <w:r>
        <w:rPr>
          <w:rFonts w:ascii="方正小标宋简体" w:hAnsi="黑体" w:eastAsia="方正小标宋简体"/>
          <w:color w:val="000000" w:themeColor="text1"/>
          <w:sz w:val="44"/>
          <w:szCs w:val="44"/>
          <w14:textFill>
            <w14:solidFill>
              <w14:schemeClr w14:val="tx1"/>
            </w14:solidFill>
          </w14:textFill>
        </w:rPr>
        <w:t>部门预算</w:t>
      </w:r>
      <w:r>
        <w:rPr>
          <w:rFonts w:hint="eastAsia" w:ascii="方正小标宋简体" w:hAnsi="黑体" w:eastAsia="方正小标宋简体"/>
          <w:color w:val="000000" w:themeColor="text1"/>
          <w:sz w:val="44"/>
          <w:szCs w:val="44"/>
          <w14:textFill>
            <w14:solidFill>
              <w14:schemeClr w14:val="tx1"/>
            </w14:solidFill>
          </w14:textFill>
        </w:rPr>
        <w:t>情况说明</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一、收支预算情况说明</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按照综合预算的原则，九寨沟县市政公用事业服务中心所有收入和支出均纳入部门预算管理。收入包括：一般公共预算拨款收入、政府性基金预算拨款收入；支出包括：社会保障和就业支出、卫生健康支出、城乡社区支出、住房保障支出、其他支出。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年收支预算总数981.01万元，比202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年收支预算总数</w:t>
      </w:r>
      <w:r>
        <w:rPr>
          <w:rFonts w:hint="eastAsia" w:ascii="仿宋_GB2312" w:hAnsi="黑体" w:eastAsia="仿宋_GB2312"/>
          <w:color w:val="000000" w:themeColor="text1"/>
          <w:sz w:val="32"/>
          <w:szCs w:val="32"/>
          <w:lang w:val="en-US" w:eastAsia="zh-CN"/>
          <w14:textFill>
            <w14:solidFill>
              <w14:schemeClr w14:val="tx1"/>
            </w14:solidFill>
          </w14:textFill>
        </w:rPr>
        <w:t>减少377.29</w:t>
      </w:r>
      <w:r>
        <w:rPr>
          <w:rFonts w:hint="eastAsia" w:ascii="仿宋_GB2312" w:hAnsi="黑体" w:eastAsia="仿宋_GB2312"/>
          <w:color w:val="000000" w:themeColor="text1"/>
          <w:sz w:val="32"/>
          <w:szCs w:val="32"/>
          <w14:textFill>
            <w14:solidFill>
              <w14:schemeClr w14:val="tx1"/>
            </w14:solidFill>
          </w14:textFill>
        </w:rPr>
        <w:t>万元，主要原因是:</w:t>
      </w:r>
      <w:r>
        <w:rPr>
          <w:rFonts w:hint="eastAsia" w:ascii="仿宋_GB2312" w:hAnsi="黑体" w:eastAsia="仿宋_GB2312"/>
          <w:color w:val="000000" w:themeColor="text1"/>
          <w:sz w:val="32"/>
          <w:szCs w:val="32"/>
          <w:lang w:eastAsia="zh-CN"/>
          <w14:textFill>
            <w14:solidFill>
              <w14:schemeClr w14:val="tx1"/>
            </w14:solidFill>
          </w14:textFill>
        </w:rPr>
        <w:t>今年</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政府性基金预算拨款收入</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b w:val="0"/>
          <w:bCs w:val="0"/>
          <w:color w:val="000000" w:themeColor="text1"/>
          <w:sz w:val="32"/>
          <w:szCs w:val="32"/>
          <w14:textFill>
            <w14:solidFill>
              <w14:schemeClr w14:val="tx1"/>
            </w14:solidFill>
          </w14:textFill>
        </w:rPr>
        <w:t>万</w:t>
      </w:r>
      <w:r>
        <w:rPr>
          <w:rFonts w:hint="eastAsia" w:ascii="仿宋_GB2312" w:hAnsi="仿宋" w:eastAsia="仿宋_GB2312" w:cs="仿宋_GB2312"/>
          <w:color w:val="000000" w:themeColor="text1"/>
          <w:sz w:val="32"/>
          <w:szCs w:val="32"/>
          <w14:textFill>
            <w14:solidFill>
              <w14:schemeClr w14:val="tx1"/>
            </w14:solidFill>
          </w14:textFill>
        </w:rPr>
        <w:t>元</w:t>
      </w:r>
      <w:r>
        <w:rPr>
          <w:rFonts w:hint="eastAsia" w:ascii="仿宋_GB2312" w:hAnsi="仿宋" w:eastAsia="仿宋_GB2312" w:cs="仿宋_GB2312"/>
          <w:color w:val="000000" w:themeColor="text1"/>
          <w:sz w:val="32"/>
          <w:szCs w:val="32"/>
          <w:lang w:eastAsia="zh-CN"/>
          <w14:textFill>
            <w14:solidFill>
              <w14:schemeClr w14:val="tx1"/>
            </w14:solidFill>
          </w14:textFill>
        </w:rPr>
        <w:t>等项目预算，</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（一）收入预算情况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万元，其中：一般公共预算拨款收入</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（二）支出预算情况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万元，其中：基本支出485.01万元，占</w:t>
      </w:r>
      <w:r>
        <w:rPr>
          <w:rFonts w:hint="eastAsia" w:ascii="仿宋_GB2312" w:hAnsi="黑体" w:eastAsia="仿宋_GB2312"/>
          <w:color w:val="000000" w:themeColor="text1"/>
          <w:sz w:val="32"/>
          <w:szCs w:val="32"/>
          <w:lang w:val="en-US" w:eastAsia="zh-CN"/>
          <w14:textFill>
            <w14:solidFill>
              <w14:schemeClr w14:val="tx1"/>
            </w14:solidFill>
          </w14:textFill>
        </w:rPr>
        <w:t>48.94</w:t>
      </w:r>
      <w:r>
        <w:rPr>
          <w:rFonts w:hint="eastAsia" w:ascii="仿宋_GB2312" w:hAnsi="黑体" w:eastAsia="仿宋_GB2312"/>
          <w:color w:val="000000" w:themeColor="text1"/>
          <w:sz w:val="32"/>
          <w:szCs w:val="32"/>
          <w14:textFill>
            <w14:solidFill>
              <w14:schemeClr w14:val="tx1"/>
            </w14:solidFill>
          </w14:textFill>
        </w:rPr>
        <w:t>%；项目支出496万元，占</w:t>
      </w:r>
      <w:r>
        <w:rPr>
          <w:rFonts w:hint="eastAsia" w:ascii="仿宋_GB2312" w:hAnsi="黑体" w:eastAsia="仿宋_GB2312"/>
          <w:color w:val="000000" w:themeColor="text1"/>
          <w:sz w:val="32"/>
          <w:szCs w:val="32"/>
          <w:lang w:val="en-US" w:eastAsia="zh-CN"/>
          <w14:textFill>
            <w14:solidFill>
              <w14:schemeClr w14:val="tx1"/>
            </w14:solidFill>
          </w14:textFill>
        </w:rPr>
        <w:t>51.06</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二、财政拨款收支预算情</w:t>
      </w:r>
      <w:r>
        <w:rPr>
          <w:rFonts w:hint="eastAsia" w:ascii="黑体" w:hAnsi="黑体" w:eastAsia="黑体"/>
          <w:color w:val="000000" w:themeColor="text1"/>
          <w:sz w:val="32"/>
          <w:szCs w:val="32"/>
          <w14:textFill>
            <w14:solidFill>
              <w14:schemeClr w14:val="tx1"/>
            </w14:solidFill>
          </w14:textFill>
        </w:rPr>
        <w:t>况说明</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年财政拨款收支预算总数</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年财政拨款收支预算总数</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黑体" w:eastAsia="仿宋_GB2312"/>
          <w:color w:val="000000" w:themeColor="text1"/>
          <w:sz w:val="32"/>
          <w:szCs w:val="32"/>
          <w14:textFill>
            <w14:solidFill>
              <w14:schemeClr w14:val="tx1"/>
            </w14:solidFill>
          </w14:textFill>
        </w:rPr>
        <w:t>主要原因是</w:t>
      </w:r>
      <w:r>
        <w:rPr>
          <w:rFonts w:hint="eastAsia" w:ascii="仿宋_GB2312" w:hAnsi="黑体" w:eastAsia="仿宋_GB2312"/>
          <w:color w:val="000000" w:themeColor="text1"/>
          <w:sz w:val="32"/>
          <w:szCs w:val="32"/>
          <w:lang w:eastAsia="zh-CN"/>
          <w14:textFill>
            <w14:solidFill>
              <w14:schemeClr w14:val="tx1"/>
            </w14:solidFill>
          </w14:textFill>
        </w:rPr>
        <w:t>今年减少了</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政府性基金预算拨款收入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b w:val="0"/>
          <w:bCs w:val="0"/>
          <w:color w:val="000000" w:themeColor="text1"/>
          <w:sz w:val="32"/>
          <w:szCs w:val="32"/>
          <w14:textFill>
            <w14:solidFill>
              <w14:schemeClr w14:val="tx1"/>
            </w14:solidFill>
          </w14:textFill>
        </w:rPr>
        <w:t>万</w:t>
      </w:r>
      <w:r>
        <w:rPr>
          <w:rFonts w:hint="eastAsia" w:ascii="仿宋_GB2312" w:hAnsi="仿宋" w:eastAsia="仿宋_GB2312" w:cs="仿宋_GB2312"/>
          <w:color w:val="000000" w:themeColor="text1"/>
          <w:sz w:val="32"/>
          <w:szCs w:val="32"/>
          <w14:textFill>
            <w14:solidFill>
              <w14:schemeClr w14:val="tx1"/>
            </w14:solidFill>
          </w14:textFill>
        </w:rPr>
        <w:t>元</w:t>
      </w:r>
      <w:r>
        <w:rPr>
          <w:rFonts w:hint="eastAsia" w:ascii="仿宋_GB2312" w:hAnsi="仿宋" w:eastAsia="仿宋_GB2312" w:cs="仿宋_GB2312"/>
          <w:color w:val="000000" w:themeColor="text1"/>
          <w:sz w:val="32"/>
          <w:szCs w:val="32"/>
          <w:lang w:eastAsia="zh-CN"/>
          <w14:textFill>
            <w14:solidFill>
              <w14:schemeClr w14:val="tx1"/>
            </w14:solidFill>
          </w14:textFill>
        </w:rPr>
        <w:t>等项目预算</w:t>
      </w:r>
      <w:r>
        <w:rPr>
          <w:rFonts w:hint="eastAsia" w:ascii="仿宋_GB2312" w:hAnsi="仿宋"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收入包括：本年一般公共预算拨款收入</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万元.支出包括：社会保障和就业支出59.2万元、卫生健康支出22.11万元、城乡社区支出867.99万元、住房保障支出31.72万元。</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三、一般公共预算当年拨款情况说明</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（一）一般公共预算当年拨款规模变化情况</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olor w:val="000000" w:themeColor="text1"/>
          <w:sz w:val="32"/>
          <w:szCs w:val="32"/>
          <w14:textFill>
            <w14:solidFill>
              <w14:schemeClr w14:val="tx1"/>
            </w14:solidFill>
          </w14:textFill>
        </w:rPr>
        <w:t>981.01</w:t>
      </w:r>
      <w:r>
        <w:rPr>
          <w:rFonts w:hint="eastAsia" w:ascii="仿宋_GB2312" w:hAnsi="黑体" w:eastAsia="仿宋_GB2312"/>
          <w:color w:val="000000" w:themeColor="text1"/>
          <w:sz w:val="32"/>
          <w:szCs w:val="32"/>
          <w14:textFill>
            <w14:solidFill>
              <w14:schemeClr w14:val="tx1"/>
            </w14:solidFill>
          </w14:textFill>
        </w:rPr>
        <w:t>万元，比202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年预算数</w:t>
      </w:r>
      <w:r>
        <w:rPr>
          <w:rFonts w:hint="eastAsia" w:ascii="仿宋_GB2312" w:hAnsi="黑体" w:eastAsia="仿宋_GB2312"/>
          <w:color w:val="000000" w:themeColor="text1"/>
          <w:sz w:val="32"/>
          <w:szCs w:val="32"/>
          <w:lang w:val="en-US" w:eastAsia="zh-CN"/>
          <w14:textFill>
            <w14:solidFill>
              <w14:schemeClr w14:val="tx1"/>
            </w14:solidFill>
          </w14:textFill>
        </w:rPr>
        <w:t>减少377.29</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，主要原因是工资福利支出比上年预算增加</w:t>
      </w:r>
      <w:r>
        <w:rPr>
          <w:rFonts w:hint="eastAsia" w:ascii="仿宋_GB2312" w:hAnsi="黑体" w:eastAsia="仿宋_GB2312"/>
          <w:color w:val="000000" w:themeColor="text1"/>
          <w:sz w:val="32"/>
          <w:szCs w:val="32"/>
          <w:lang w:val="en-US" w:eastAsia="zh-CN"/>
          <w14:textFill>
            <w14:solidFill>
              <w14:schemeClr w14:val="tx1"/>
            </w14:solidFill>
          </w14:textFill>
        </w:rPr>
        <w:t>39.1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Arial" w:eastAsia="仿宋_GB2312" w:cs="Arial"/>
          <w:color w:val="000000" w:themeColor="text1"/>
          <w:sz w:val="32"/>
          <w:szCs w:val="32"/>
          <w:lang w:eastAsia="zh-CN"/>
          <w14:textFill>
            <w14:solidFill>
              <w14:schemeClr w14:val="tx1"/>
            </w14:solidFill>
          </w14:textFill>
        </w:rPr>
        <w:t>商品和服务支出</w:t>
      </w:r>
      <w:r>
        <w:rPr>
          <w:rFonts w:hint="eastAsia" w:ascii="仿宋_GB2312" w:hAnsi="Arial" w:eastAsia="仿宋_GB2312" w:cs="Arial"/>
          <w:color w:val="000000" w:themeColor="text1"/>
          <w:sz w:val="32"/>
          <w:szCs w:val="32"/>
          <w14:textFill>
            <w14:solidFill>
              <w14:schemeClr w14:val="tx1"/>
            </w14:solidFill>
          </w14:textFill>
        </w:rPr>
        <w:t>相比</w:t>
      </w:r>
      <w:r>
        <w:rPr>
          <w:rFonts w:hint="eastAsia" w:ascii="仿宋_GB2312" w:hAnsi="仿宋_GB2312" w:eastAsia="仿宋_GB2312" w:cs="仿宋_GB2312"/>
          <w:color w:val="000000" w:themeColor="text1"/>
          <w:sz w:val="32"/>
          <w:szCs w:val="32"/>
          <w:lang w:eastAsia="zh-CN"/>
          <w14:textFill>
            <w14:solidFill>
              <w14:schemeClr w14:val="tx1"/>
            </w14:solidFill>
          </w14:textFill>
        </w:rPr>
        <w:t>上</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83.61万元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对企业补助相比上年</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500万元</w:t>
      </w:r>
      <w:r>
        <w:rPr>
          <w:rFonts w:hint="eastAsia"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总数</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（二）一般公共预算当年拨款结构情况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机关事业单位基本养老保险缴费支出</w:t>
      </w:r>
      <w:r>
        <w:rPr>
          <w:rFonts w:hint="eastAsia" w:ascii="仿宋_GB2312" w:hAnsi="黑体" w:eastAsia="仿宋_GB2312"/>
          <w:color w:val="000000" w:themeColor="text1"/>
          <w:sz w:val="32"/>
          <w:szCs w:val="32"/>
          <w:lang w:val="en-US" w:eastAsia="zh-CN"/>
          <w14:textFill>
            <w14:solidFill>
              <w14:schemeClr w14:val="tx1"/>
            </w14:solidFill>
          </w14:textFill>
        </w:rPr>
        <w:t>38.06</w:t>
      </w:r>
      <w:r>
        <w:rPr>
          <w:rFonts w:hint="eastAsia" w:ascii="仿宋_GB2312" w:hAnsi="黑体" w:eastAsia="仿宋_GB2312"/>
          <w:color w:val="000000" w:themeColor="text1"/>
          <w:sz w:val="32"/>
          <w:szCs w:val="32"/>
          <w:lang w:val="en-US" w:eastAsia="zh-CN"/>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，占</w:t>
      </w:r>
      <w:r>
        <w:rPr>
          <w:rFonts w:hint="eastAsia" w:ascii="仿宋_GB2312" w:hAnsi="黑体" w:eastAsia="仿宋_GB2312"/>
          <w:color w:val="000000" w:themeColor="text1"/>
          <w:sz w:val="32"/>
          <w:szCs w:val="32"/>
          <w:lang w:val="en-US" w:eastAsia="zh-CN"/>
          <w14:textFill>
            <w14:solidFill>
              <w14:schemeClr w14:val="tx1"/>
            </w14:solidFill>
          </w14:textFill>
        </w:rPr>
        <w:t>3.88</w:t>
      </w:r>
      <w:r>
        <w:rPr>
          <w:rFonts w:hint="eastAsia" w:ascii="仿宋_GB2312" w:hAnsi="黑体" w:eastAsia="仿宋_GB2312"/>
          <w:color w:val="000000" w:themeColor="text1"/>
          <w:sz w:val="32"/>
          <w:szCs w:val="32"/>
          <w14:textFill>
            <w14:solidFill>
              <w14:schemeClr w14:val="tx1"/>
            </w14:solidFill>
          </w14:textFill>
        </w:rPr>
        <w:t>%；机关事业单位职业年金缴费支出</w:t>
      </w:r>
      <w:r>
        <w:rPr>
          <w:rFonts w:hint="eastAsia" w:ascii="仿宋_GB2312" w:hAnsi="黑体" w:eastAsia="仿宋_GB2312"/>
          <w:color w:val="000000" w:themeColor="text1"/>
          <w:sz w:val="32"/>
          <w:szCs w:val="32"/>
          <w:lang w:val="en-US" w:eastAsia="zh-CN"/>
          <w14:textFill>
            <w14:solidFill>
              <w14:schemeClr w14:val="tx1"/>
            </w14:solidFill>
          </w14:textFill>
        </w:rPr>
        <w:t>21.14</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2.15</w:t>
      </w:r>
      <w:r>
        <w:rPr>
          <w:rFonts w:hint="eastAsia" w:ascii="仿宋_GB2312" w:hAnsi="黑体" w:eastAsia="仿宋_GB2312"/>
          <w:color w:val="000000" w:themeColor="text1"/>
          <w:sz w:val="32"/>
          <w:szCs w:val="32"/>
          <w14:textFill>
            <w14:solidFill>
              <w14:schemeClr w14:val="tx1"/>
            </w14:solidFill>
          </w14:textFill>
        </w:rPr>
        <w:t>%；事业单位医疗</w:t>
      </w:r>
      <w:r>
        <w:rPr>
          <w:rFonts w:hint="eastAsia" w:ascii="仿宋_GB2312" w:hAnsi="黑体" w:eastAsia="仿宋_GB2312"/>
          <w:color w:val="000000" w:themeColor="text1"/>
          <w:sz w:val="32"/>
          <w:szCs w:val="32"/>
          <w:lang w:val="en-US" w:eastAsia="zh-CN"/>
          <w14:textFill>
            <w14:solidFill>
              <w14:schemeClr w14:val="tx1"/>
            </w14:solidFill>
          </w14:textFill>
        </w:rPr>
        <w:t>18.5</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1.89</w:t>
      </w:r>
      <w:r>
        <w:rPr>
          <w:rFonts w:hint="eastAsia" w:ascii="仿宋_GB2312" w:hAnsi="黑体" w:eastAsia="仿宋_GB2312"/>
          <w:color w:val="000000" w:themeColor="text1"/>
          <w:sz w:val="32"/>
          <w:szCs w:val="32"/>
          <w14:textFill>
            <w14:solidFill>
              <w14:schemeClr w14:val="tx1"/>
            </w14:solidFill>
          </w14:textFill>
        </w:rPr>
        <w:t>%；其他行政事业医疗支出</w:t>
      </w:r>
      <w:r>
        <w:rPr>
          <w:rFonts w:hint="eastAsia" w:ascii="仿宋_GB2312" w:hAnsi="黑体" w:eastAsia="仿宋_GB2312"/>
          <w:color w:val="000000" w:themeColor="text1"/>
          <w:sz w:val="32"/>
          <w:szCs w:val="32"/>
          <w:lang w:val="en-US" w:eastAsia="zh-CN"/>
          <w14:textFill>
            <w14:solidFill>
              <w14:schemeClr w14:val="tx1"/>
            </w14:solidFill>
          </w14:textFill>
        </w:rPr>
        <w:t>3.61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0.37</w:t>
      </w:r>
      <w:r>
        <w:rPr>
          <w:rFonts w:hint="eastAsia" w:ascii="仿宋_GB2312" w:hAnsi="黑体" w:eastAsia="仿宋_GB2312"/>
          <w:color w:val="000000" w:themeColor="text1"/>
          <w:sz w:val="32"/>
          <w:szCs w:val="32"/>
          <w14:textFill>
            <w14:solidFill>
              <w14:schemeClr w14:val="tx1"/>
            </w14:solidFill>
          </w14:textFill>
        </w:rPr>
        <w:t>%；城管执法</w:t>
      </w:r>
      <w:r>
        <w:rPr>
          <w:rFonts w:hint="eastAsia" w:ascii="仿宋_GB2312" w:hAnsi="黑体" w:eastAsia="仿宋_GB2312"/>
          <w:color w:val="000000" w:themeColor="text1"/>
          <w:sz w:val="32"/>
          <w:szCs w:val="32"/>
          <w:lang w:val="en-US" w:eastAsia="zh-CN"/>
          <w14:textFill>
            <w14:solidFill>
              <w14:schemeClr w14:val="tx1"/>
            </w14:solidFill>
          </w14:textFill>
        </w:rPr>
        <w:t>371.99</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37.92</w:t>
      </w:r>
      <w:r>
        <w:rPr>
          <w:rFonts w:hint="eastAsia" w:ascii="仿宋_GB2312" w:hAnsi="黑体" w:eastAsia="仿宋_GB2312"/>
          <w:color w:val="000000" w:themeColor="text1"/>
          <w:sz w:val="32"/>
          <w:szCs w:val="32"/>
          <w14:textFill>
            <w14:solidFill>
              <w14:schemeClr w14:val="tx1"/>
            </w14:solidFill>
          </w14:textFill>
        </w:rPr>
        <w:t>%；其他城乡社区公共设施支出</w:t>
      </w:r>
      <w:r>
        <w:rPr>
          <w:rFonts w:hint="eastAsia" w:ascii="仿宋_GB2312" w:hAnsi="黑体" w:eastAsia="仿宋_GB2312"/>
          <w:color w:val="000000" w:themeColor="text1"/>
          <w:sz w:val="32"/>
          <w:szCs w:val="32"/>
          <w:lang w:val="en-US" w:eastAsia="zh-CN"/>
          <w14:textFill>
            <w14:solidFill>
              <w14:schemeClr w14:val="tx1"/>
            </w14:solidFill>
          </w14:textFill>
        </w:rPr>
        <w:t>46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4.69</w:t>
      </w:r>
      <w:r>
        <w:rPr>
          <w:rFonts w:hint="eastAsia" w:ascii="仿宋_GB2312" w:hAnsi="黑体" w:eastAsia="仿宋_GB2312"/>
          <w:color w:val="000000" w:themeColor="text1"/>
          <w:sz w:val="32"/>
          <w:szCs w:val="32"/>
          <w14:textFill>
            <w14:solidFill>
              <w14:schemeClr w14:val="tx1"/>
            </w14:solidFill>
          </w14:textFill>
        </w:rPr>
        <w:t>%；城乡社区环境卫生支出</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45.87</w:t>
      </w:r>
      <w:r>
        <w:rPr>
          <w:rFonts w:hint="eastAsia" w:ascii="仿宋_GB2312" w:hAnsi="黑体" w:eastAsia="仿宋_GB2312"/>
          <w:color w:val="000000" w:themeColor="text1"/>
          <w:sz w:val="32"/>
          <w:szCs w:val="32"/>
          <w14:textFill>
            <w14:solidFill>
              <w14:schemeClr w14:val="tx1"/>
            </w14:solidFill>
          </w14:textFill>
        </w:rPr>
        <w:t>%；住房公积金支出</w:t>
      </w:r>
      <w:r>
        <w:rPr>
          <w:rFonts w:hint="eastAsia" w:ascii="仿宋_GB2312" w:hAnsi="黑体" w:eastAsia="仿宋_GB2312"/>
          <w:color w:val="000000" w:themeColor="text1"/>
          <w:sz w:val="32"/>
          <w:szCs w:val="32"/>
          <w:lang w:val="en-US" w:eastAsia="zh-CN"/>
          <w14:textFill>
            <w14:solidFill>
              <w14:schemeClr w14:val="tx1"/>
            </w14:solidFill>
          </w14:textFill>
        </w:rPr>
        <w:t>31.72</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3.23</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（三）一般公共预算当年拨款具体使用情况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1.社会保障和就业（208）行政事业单位养老支出（05）机关事业单位基本养老保险缴费支出（05）202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38.06</w:t>
      </w:r>
      <w:r>
        <w:rPr>
          <w:rFonts w:hint="eastAsia" w:ascii="仿宋_GB2312" w:hAnsi="黑体" w:eastAsia="仿宋_GB2312"/>
          <w:color w:val="000000" w:themeColor="text1"/>
          <w:sz w:val="32"/>
          <w:szCs w:val="32"/>
          <w14:textFill>
            <w14:solidFill>
              <w14:schemeClr w14:val="tx1"/>
            </w14:solidFill>
          </w14:textFill>
        </w:rPr>
        <w:t>万元，主要用于：实施养老保险制度由单位缴纳的基本养老保险支出。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2.社会保障和就业（208）行政事业单位养老支出（05）机关事业单位职业年金缴费支出（06）202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21.14</w:t>
      </w:r>
      <w:r>
        <w:rPr>
          <w:rFonts w:hint="eastAsia" w:ascii="仿宋_GB2312" w:hAnsi="黑体" w:eastAsia="仿宋_GB2312"/>
          <w:color w:val="000000" w:themeColor="text1"/>
          <w:sz w:val="32"/>
          <w:szCs w:val="32"/>
          <w14:textFill>
            <w14:solidFill>
              <w14:schemeClr w14:val="tx1"/>
            </w14:solidFill>
          </w14:textFill>
        </w:rPr>
        <w:t>万元，主要用于：实施养老保险制度由单位缴纳的职业年金支出。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3.卫生健康（210）行政事业单位医疗（11）事业单位医疗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02</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18.5</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万元，主要用于：九寨沟县市政公用事业服务中心按规定由单位缴纳的基本医疗保险支出。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4.卫生健康（210）行政事业单位医疗（11）公务员医疗补助（99）202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3.61</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万元，主要用于：九寨沟县市政公用事业服务中心集中缴纳公务员医疗补助支出。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5.城乡社区</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212）管理事务（01）城管执法（04）202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371.99</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万元，主要用于九寨沟县市政公用事业服务中心正常运转的基本支出，包括职工基本工资、津贴补贴</w:t>
      </w:r>
      <w:r>
        <w:rPr>
          <w:rFonts w:hint="eastAsia" w:ascii="仿宋_GB2312" w:hAnsi="黑体" w:eastAsia="仿宋_GB2312"/>
          <w:color w:val="000000" w:themeColor="text1"/>
          <w:sz w:val="32"/>
          <w:szCs w:val="32"/>
          <w:lang w:eastAsia="zh-CN"/>
          <w14:textFill>
            <w14:solidFill>
              <w14:schemeClr w14:val="tx1"/>
            </w14:solidFill>
          </w14:textFill>
        </w:rPr>
        <w:t>、聘用人员工资、保险</w:t>
      </w:r>
      <w:r>
        <w:rPr>
          <w:rFonts w:hint="eastAsia" w:ascii="仿宋_GB2312" w:hAnsi="黑体" w:eastAsia="仿宋_GB2312"/>
          <w:color w:val="000000" w:themeColor="text1"/>
          <w:sz w:val="32"/>
          <w:szCs w:val="32"/>
          <w14:textFill>
            <w14:solidFill>
              <w14:schemeClr w14:val="tx1"/>
            </w14:solidFill>
          </w14:textFill>
        </w:rPr>
        <w:t>等人员经费以及办公费、印刷费、邮电费等日常公用经费，保障部门正常运转。</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6.城乡社区（212）城乡社区公共设施（03）其他城乡社区公共设施支出（99）202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46</w:t>
      </w:r>
      <w:r>
        <w:rPr>
          <w:rFonts w:hint="eastAsia" w:ascii="仿宋_GB2312" w:hAnsi="黑体" w:eastAsia="仿宋_GB2312"/>
          <w:color w:val="000000" w:themeColor="text1"/>
          <w:sz w:val="32"/>
          <w:szCs w:val="32"/>
          <w14:textFill>
            <w14:solidFill>
              <w14:schemeClr w14:val="tx1"/>
            </w14:solidFill>
          </w14:textFill>
        </w:rPr>
        <w:t>万元，主要用于：市政基础设施维修项目基本支出。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.城乡社区（212）城乡社区环境卫生（05）城乡社区环境卫生（01）202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万元，主要用于：九寨沟县城区清扫保洁和园林绿化市场化采购项目基本支出。</w:t>
      </w:r>
    </w:p>
    <w:p>
      <w:pPr>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8.住房保障（221）住房改革支出（02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）住房公积金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（01）2026年预算数为31.72万元，主要用于：</w:t>
      </w:r>
      <w:r>
        <w:rPr>
          <w:rFonts w:hint="eastAsia" w:ascii="仿宋_GB2312" w:hAnsi="黑体" w:eastAsia="仿宋_GB2312"/>
          <w:color w:val="000000" w:themeColor="text1"/>
          <w:sz w:val="32"/>
          <w:szCs w:val="32"/>
          <w14:textFill>
            <w14:solidFill>
              <w14:schemeClr w14:val="tx1"/>
            </w14:solidFill>
          </w14:textFill>
        </w:rPr>
        <w:t>九寨沟县市政公用事业服务中心</w:t>
      </w:r>
      <w:r>
        <w:rPr>
          <w:rFonts w:hint="eastAsia" w:ascii="仿宋_GB2312" w:hAnsi="黑体" w:eastAsia="仿宋_GB2312"/>
          <w:color w:val="000000" w:themeColor="text1"/>
          <w:sz w:val="32"/>
          <w:szCs w:val="32"/>
          <w:lang w:eastAsia="zh-CN"/>
          <w14:textFill>
            <w14:solidFill>
              <w14:schemeClr w14:val="tx1"/>
            </w14:solidFill>
          </w14:textFill>
        </w:rPr>
        <w:t>按规定为职工</w:t>
      </w:r>
      <w:r>
        <w:rPr>
          <w:rFonts w:hint="eastAsia" w:ascii="仿宋_GB2312" w:hAnsi="黑体" w:eastAsia="仿宋_GB2312"/>
          <w:color w:val="000000" w:themeColor="text1"/>
          <w:sz w:val="32"/>
          <w:szCs w:val="32"/>
          <w14:textFill>
            <w14:solidFill>
              <w14:schemeClr w14:val="tx1"/>
            </w14:solidFill>
          </w14:textFill>
        </w:rPr>
        <w:t>缴纳</w:t>
      </w:r>
      <w:r>
        <w:rPr>
          <w:rFonts w:hint="eastAsia" w:ascii="仿宋_GB2312" w:hAnsi="黑体" w:eastAsia="仿宋_GB2312"/>
          <w:color w:val="000000" w:themeColor="text1"/>
          <w:sz w:val="32"/>
          <w:szCs w:val="32"/>
          <w:lang w:eastAsia="zh-CN"/>
          <w14:textFill>
            <w14:solidFill>
              <w14:schemeClr w14:val="tx1"/>
            </w14:solidFill>
          </w14:textFill>
        </w:rPr>
        <w:t>的住房公积金</w:t>
      </w:r>
      <w:r>
        <w:rPr>
          <w:rFonts w:hint="eastAsia" w:ascii="仿宋_GB2312" w:hAnsi="黑体" w:eastAsia="仿宋_GB2312"/>
          <w:color w:val="000000" w:themeColor="text1"/>
          <w:sz w:val="32"/>
          <w:szCs w:val="32"/>
          <w14:textFill>
            <w14:solidFill>
              <w14:schemeClr w14:val="tx1"/>
            </w14:solidFill>
          </w14:textFill>
        </w:rPr>
        <w:t>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四、一般公共预算基本支出情况说明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年一般公共预算基本支出</w:t>
      </w:r>
      <w:r>
        <w:rPr>
          <w:rFonts w:hint="eastAsia" w:ascii="仿宋_GB2312" w:hAnsi="黑体" w:eastAsia="仿宋_GB2312"/>
          <w:color w:val="000000" w:themeColor="text1"/>
          <w:sz w:val="32"/>
          <w:szCs w:val="32"/>
          <w:lang w:val="en-US" w:eastAsia="zh-CN"/>
          <w14:textFill>
            <w14:solidFill>
              <w14:schemeClr w14:val="tx1"/>
            </w14:solidFill>
          </w14:textFill>
        </w:rPr>
        <w:t>485.01</w:t>
      </w:r>
      <w:r>
        <w:rPr>
          <w:rFonts w:hint="eastAsia" w:ascii="仿宋_GB2312" w:hAnsi="黑体" w:eastAsia="仿宋_GB2312"/>
          <w:color w:val="000000" w:themeColor="text1"/>
          <w:sz w:val="32"/>
          <w:szCs w:val="32"/>
          <w14:textFill>
            <w14:solidFill>
              <w14:schemeClr w14:val="tx1"/>
            </w14:solidFill>
          </w14:textFill>
        </w:rPr>
        <w:t>万元，其中：</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462.29</w:t>
      </w:r>
      <w:r>
        <w:rPr>
          <w:rFonts w:hint="eastAsia" w:ascii="仿宋_GB2312" w:hAnsi="黑体" w:eastAsia="仿宋_GB2312"/>
          <w:color w:val="000000" w:themeColor="text1"/>
          <w:sz w:val="32"/>
          <w:szCs w:val="32"/>
          <w14:textFill>
            <w14:solidFill>
              <w14:schemeClr w14:val="tx1"/>
            </w14:solidFill>
          </w14:textFill>
        </w:rPr>
        <w:t>万元，主要包括：基本工资、津贴补贴、奖金、基础绩效、绩效工资、社会保险缴费、住房公积金、长聘人员工资及保险等支出。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公用经费2</w:t>
      </w:r>
      <w:r>
        <w:rPr>
          <w:rFonts w:hint="eastAsia" w:ascii="仿宋_GB2312" w:hAnsi="黑体" w:eastAsia="仿宋_GB2312"/>
          <w:color w:val="000000" w:themeColor="text1"/>
          <w:sz w:val="32"/>
          <w:szCs w:val="32"/>
          <w:lang w:val="en-US" w:eastAsia="zh-CN"/>
          <w14:textFill>
            <w14:solidFill>
              <w14:schemeClr w14:val="tx1"/>
            </w14:solidFill>
          </w14:textFill>
        </w:rPr>
        <w:t>2.72</w:t>
      </w:r>
      <w:r>
        <w:rPr>
          <w:rFonts w:hint="eastAsia" w:ascii="仿宋_GB2312" w:hAnsi="黑体" w:eastAsia="仿宋_GB2312"/>
          <w:color w:val="000000" w:themeColor="text1"/>
          <w:sz w:val="32"/>
          <w:szCs w:val="32"/>
          <w14:textFill>
            <w14:solidFill>
              <w14:schemeClr w14:val="tx1"/>
            </w14:solidFill>
          </w14:textFill>
        </w:rPr>
        <w:t>万元，主要包活：办公费、印刷费、邮电费、差旅费、培训费、工会经费、福利费、其他交通费用等支出。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五、“三公”经费财政拨款预算安排情况说明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我中心202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年“三公”经费财政拨款预算数为0.09万元。</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六、政府性基金预算支出情况说明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无</w:t>
      </w:r>
      <w:r>
        <w:rPr>
          <w:rFonts w:hint="eastAsia" w:ascii="仿宋_GB2312" w:hAnsi="黑体" w:eastAsia="仿宋_GB2312"/>
          <w:color w:val="000000" w:themeColor="text1"/>
          <w:sz w:val="32"/>
          <w:szCs w:val="32"/>
          <w14:textFill>
            <w14:solidFill>
              <w14:schemeClr w14:val="tx1"/>
            </w14:solidFill>
          </w14:textFill>
        </w:rPr>
        <w:t>使用政府性基金预算拨款安排的支出。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七、国有资本经营预算情况说明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年无使用国有资本经营预算拨款安排的支出。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八、其他重要事项的情况说明</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一</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机关运行经费情况</w:t>
      </w:r>
    </w:p>
    <w:p>
      <w:pPr>
        <w:spacing w:line="560" w:lineRule="exact"/>
        <w:ind w:firstLine="640" w:firstLineChars="200"/>
        <w:rPr>
          <w:rFonts w:eastAsia="仿宋_GB2312"/>
          <w:color w:val="000000" w:themeColor="text1"/>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年，九寨沟县市政公用事业服务中心下属0个机构的机关运行经费财政拨款预算0万元。</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政府采购情况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w:t>
      </w:r>
      <w:r>
        <w:rPr>
          <w:rFonts w:ascii="仿宋_GB2312" w:hAnsi="黑体" w:eastAsia="仿宋_GB2312"/>
          <w:color w:val="000000" w:themeColor="text1"/>
          <w:sz w:val="32"/>
          <w:szCs w:val="32"/>
          <w14:textFill>
            <w14:solidFill>
              <w14:schemeClr w14:val="tx1"/>
            </w14:solidFill>
          </w14:textFill>
        </w:rPr>
        <w:t>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年，九寨沟县市政公用事业服务中心</w:t>
      </w:r>
      <w:r>
        <w:rPr>
          <w:rFonts w:hint="eastAsia" w:ascii="仿宋_GB2312" w:hAnsi="黑体" w:eastAsia="仿宋_GB2312"/>
          <w:color w:val="000000" w:themeColor="text1"/>
          <w:sz w:val="32"/>
          <w:szCs w:val="32"/>
          <w:lang w:eastAsia="zh-CN"/>
          <w14:textFill>
            <w14:solidFill>
              <w14:schemeClr w14:val="tx1"/>
            </w14:solidFill>
          </w14:textFill>
        </w:rPr>
        <w:t>无</w:t>
      </w:r>
      <w:r>
        <w:rPr>
          <w:rFonts w:hint="eastAsia" w:ascii="仿宋_GB2312" w:hAnsi="黑体" w:eastAsia="仿宋_GB2312"/>
          <w:color w:val="000000" w:themeColor="text1"/>
          <w:sz w:val="32"/>
          <w:szCs w:val="32"/>
          <w14:textFill>
            <w14:solidFill>
              <w14:schemeClr w14:val="tx1"/>
            </w14:solidFill>
          </w14:textFill>
        </w:rPr>
        <w:t>政府采购预算</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万元。（九寨沟县城区清扫保洁和园林绿化市场化采购项目）</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（三）国有资产占有使用情况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截至202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年底，九寨沟县市政公用事业服务中心所属车辆</w:t>
      </w:r>
      <w:r>
        <w:rPr>
          <w:rFonts w:hint="eastAsia" w:ascii="仿宋_GB2312" w:hAnsi="黑体" w:eastAsia="仿宋_GB2312"/>
          <w:color w:val="000000" w:themeColor="text1"/>
          <w:sz w:val="32"/>
          <w:szCs w:val="32"/>
          <w:lang w:val="en-US" w:eastAsia="zh-CN"/>
          <w14:textFill>
            <w14:solidFill>
              <w14:schemeClr w14:val="tx1"/>
            </w14:solidFill>
          </w14:textFill>
        </w:rPr>
        <w:t>17</w:t>
      </w:r>
      <w:r>
        <w:rPr>
          <w:rFonts w:hint="eastAsia" w:ascii="仿宋_GB2312" w:hAnsi="黑体" w:eastAsia="仿宋_GB2312"/>
          <w:color w:val="000000" w:themeColor="text1"/>
          <w:sz w:val="32"/>
          <w:szCs w:val="32"/>
          <w14:textFill>
            <w14:solidFill>
              <w14:schemeClr w14:val="tx1"/>
            </w14:solidFill>
          </w14:textFill>
        </w:rPr>
        <w:t>辆，其中，领导干部用车0辆、定向保障用车0辆、执法执勤用车0辆。单位价值200万元以上大型设备0台</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年部门预算没有安排购置车辆及单位价值200万元以上大型设备。</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p>
    <w:p>
      <w:pPr>
        <w:pStyle w:val="2"/>
        <w:ind w:left="0" w:leftChars="0" w:firstLine="0" w:firstLineChars="0"/>
        <w:rPr>
          <w:rFonts w:ascii="仿宋_GB2312" w:hAnsi="黑体" w:eastAsia="仿宋_GB2312"/>
          <w:color w:val="000000" w:themeColor="text1"/>
          <w:sz w:val="32"/>
          <w:szCs w:val="32"/>
          <w14:textFill>
            <w14:solidFill>
              <w14:schemeClr w14:val="tx1"/>
            </w14:solidFill>
          </w14:textFill>
        </w:rPr>
      </w:pPr>
    </w:p>
    <w:p>
      <w:pPr>
        <w:pStyle w:val="2"/>
        <w:ind w:firstLine="640"/>
        <w:rPr>
          <w:rFonts w:ascii="仿宋_GB2312" w:hAnsi="黑体" w:eastAsia="仿宋_GB2312"/>
          <w:color w:val="000000" w:themeColor="text1"/>
          <w:sz w:val="32"/>
          <w:szCs w:val="32"/>
          <w14:textFill>
            <w14:solidFill>
              <w14:schemeClr w14:val="tx1"/>
            </w14:solidFill>
          </w14:textFill>
        </w:rPr>
      </w:pPr>
      <w:bookmarkStart w:id="0" w:name="_GoBack"/>
      <w:bookmarkEnd w:id="0"/>
    </w:p>
    <w:p>
      <w:pPr>
        <w:spacing w:line="560" w:lineRule="exact"/>
        <w:rPr>
          <w:rFonts w:ascii="方正小标宋简体" w:hAnsi="黑体" w:eastAsia="方正小标宋简体"/>
          <w:color w:val="000000" w:themeColor="text1"/>
          <w:sz w:val="44"/>
          <w:szCs w:val="44"/>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br w:type="page"/>
      </w: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第四部分  名词解释</w:t>
      </w:r>
    </w:p>
    <w:p>
      <w:pPr>
        <w:pStyle w:val="2"/>
        <w:rPr>
          <w:color w:val="000000" w:themeColor="text1"/>
          <w14:textFill>
            <w14:solidFill>
              <w14:schemeClr w14:val="tx1"/>
            </w14:solidFill>
          </w14:textFill>
        </w:rPr>
      </w:pP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（一）一般公共预算拨款收入：指县级财政当年拨付的资金。</w:t>
      </w:r>
    </w:p>
    <w:p>
      <w:pPr>
        <w:numPr>
          <w:ilvl w:val="0"/>
          <w:numId w:val="1"/>
        </w:num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政府性基金预算收入：指按规定收取、转入或通过当年财政安排，纳入政府预算管理，具有指定用途的政府性基金收入。</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（三）社会保障和就业（208）行政事业单位养老支出（05）机关事业单位基本养老保险缴费支出（05）：指部门实施养老保险制度由单位缴纳的养老保险的支出。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（四）社会保障和就业（208）行政事业单位养老支出（05）机关事业单位职业年金缴费支出（06）：指部门实施养老保险制度由单位缴纳的职业年金的支出。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w:t>
      </w:r>
      <w:r>
        <w:rPr>
          <w:rFonts w:hint="eastAsia" w:ascii="仿宋_GB2312" w:hAnsi="黑体" w:eastAsia="仿宋_GB2312"/>
          <w:color w:val="000000" w:themeColor="text1"/>
          <w:sz w:val="32"/>
          <w:szCs w:val="32"/>
          <w14:textFill>
            <w14:solidFill>
              <w14:schemeClr w14:val="tx1"/>
            </w14:solidFill>
          </w14:textFill>
        </w:rPr>
        <w:t>卫生健康（210）行政事业单位医疗（11）事业单位医疗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02</w:t>
      </w:r>
      <w:r>
        <w:rPr>
          <w:rFonts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：指事业单位用于单位应缴纳基本医疗保险支出。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w:t>
      </w:r>
      <w:r>
        <w:rPr>
          <w:rFonts w:hint="eastAsia" w:ascii="仿宋_GB2312" w:hAnsi="黑体" w:eastAsia="仿宋_GB2312"/>
          <w:color w:val="000000" w:themeColor="text1"/>
          <w:sz w:val="32"/>
          <w:szCs w:val="32"/>
          <w14:textFill>
            <w14:solidFill>
              <w14:schemeClr w14:val="tx1"/>
            </w14:solidFill>
          </w14:textFill>
        </w:rPr>
        <w:t>卫生健康（210）行政事业单位医疗（11）公务员医疗补助（99）</w:t>
      </w:r>
      <w:r>
        <w:rPr>
          <w:rFonts w:hint="eastAsia" w:ascii="仿宋_GB2312" w:hAnsi="仿宋_GB2312" w:eastAsia="仿宋_GB2312" w:cs="仿宋_GB2312"/>
          <w:color w:val="000000" w:themeColor="text1"/>
          <w:sz w:val="32"/>
          <w:szCs w:val="32"/>
          <w14:textFill>
            <w14:solidFill>
              <w14:schemeClr w14:val="tx1"/>
            </w14:solidFill>
          </w14:textFill>
        </w:rPr>
        <w:t>：机关行政事业单位用于集中缴纳公务员医疗补助支出。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（七）住房保障（221）住房改革支出（02）住房公积金（01）：指按照《住房公积金管理条例》的规定，由单位及其在职职工缴存的长期住房储金。</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（八）城乡社区支出（212）</w:t>
      </w:r>
      <w:r>
        <w:rPr>
          <w:rFonts w:hint="eastAsia" w:ascii="仿宋_GB2312" w:hAnsi="黑体" w:eastAsia="仿宋_GB2312"/>
          <w:color w:val="000000" w:themeColor="text1"/>
          <w:sz w:val="32"/>
          <w:szCs w:val="32"/>
          <w14:textFill>
            <w14:solidFill>
              <w14:schemeClr w14:val="tx1"/>
            </w14:solidFill>
          </w14:textFill>
        </w:rPr>
        <w:t>城乡社区管理事务</w:t>
      </w:r>
      <w:r>
        <w:rPr>
          <w:rFonts w:hint="eastAsia" w:ascii="仿宋_GB2312" w:hAnsi="仿宋_GB2312" w:eastAsia="仿宋_GB2312" w:cs="仿宋_GB2312"/>
          <w:color w:val="000000" w:themeColor="text1"/>
          <w:sz w:val="32"/>
          <w:szCs w:val="32"/>
          <w14:textFill>
            <w14:solidFill>
              <w14:schemeClr w14:val="tx1"/>
            </w14:solidFill>
          </w14:textFill>
        </w:rPr>
        <w:t>（01）城管执法（04）：指九寨沟县市政公用事业服务中心的基本支出。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w:t>
      </w:r>
      <w:r>
        <w:rPr>
          <w:rFonts w:hint="eastAsia" w:ascii="仿宋_GB2312" w:hAnsi="黑体" w:eastAsia="仿宋_GB2312"/>
          <w:color w:val="000000" w:themeColor="text1"/>
          <w:sz w:val="32"/>
          <w:szCs w:val="32"/>
          <w14:textFill>
            <w14:solidFill>
              <w14:schemeClr w14:val="tx1"/>
            </w14:solidFill>
          </w14:textFill>
        </w:rPr>
        <w:t>城乡社区（212）城乡社区公共设施（03）其他城乡社区公共设施支出（99）</w:t>
      </w:r>
      <w:r>
        <w:rPr>
          <w:rFonts w:hint="eastAsia" w:ascii="仿宋_GB2312" w:hAnsi="仿宋_GB2312" w:eastAsia="仿宋_GB2312" w:cs="仿宋_GB2312"/>
          <w:color w:val="000000" w:themeColor="text1"/>
          <w:sz w:val="32"/>
          <w:szCs w:val="32"/>
          <w14:textFill>
            <w14:solidFill>
              <w14:schemeClr w14:val="tx1"/>
            </w14:solidFill>
          </w14:textFill>
        </w:rPr>
        <w:t>：指</w:t>
      </w:r>
      <w:r>
        <w:rPr>
          <w:rFonts w:hint="eastAsia" w:ascii="仿宋_GB2312" w:hAnsi="黑体" w:eastAsia="仿宋_GB2312"/>
          <w:color w:val="000000" w:themeColor="text1"/>
          <w:sz w:val="32"/>
          <w:szCs w:val="32"/>
          <w14:textFill>
            <w14:solidFill>
              <w14:schemeClr w14:val="tx1"/>
            </w14:solidFill>
          </w14:textFill>
        </w:rPr>
        <w:t>市政水费、市政电费、市政设施维修维护费的基本支出。</w:t>
      </w:r>
    </w:p>
    <w:p>
      <w:pPr>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（十）城乡社区（212）城乡社区环境卫生（05）城乡社区环境卫生（01）：指九寨沟县城区清扫保洁和园林绿化市场化采购项目基本支出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（十一）基本支出：指为保证机构正常运转，完成日常工作任务而发生的人员支出和公用支出。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（十二）项目支出；指在基本支出之外为完成特定行政任务和事业发展目标所发生的支出。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三）“三公”经费：纳入九寨沟县市政公用事业服务中腾信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spacing w:line="560" w:lineRule="exact"/>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w:t>
      </w:r>
    </w:p>
    <w:sectPr>
      <w:type w:val="continuous"/>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Dialog . plain">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ind w:right="284"/>
                            <w:jc w:val="both"/>
                            <w:rPr>
                              <w:rStyle w:val="8"/>
                              <w:rFonts w:eastAsia="宋体"/>
                            </w:rPr>
                          </w:pPr>
                          <w:r>
                            <w:rPr>
                              <w:rStyle w:val="8"/>
                              <w:rFonts w:hint="eastAsia" w:ascii="仿宋_GB2312" w:hAnsi="仿宋_GB2312" w:eastAsia="仿宋_GB2312" w:cs="仿宋_GB2312"/>
                              <w:sz w:val="28"/>
                            </w:rPr>
                            <w:t>—</w:t>
                          </w:r>
                          <w:r>
                            <w:rPr>
                              <w:rFonts w:ascii="Times New Roman" w:hAnsi="Times New Roman" w:cs="Times New Roman"/>
                              <w:sz w:val="28"/>
                            </w:rPr>
                            <w:fldChar w:fldCharType="begin"/>
                          </w:r>
                          <w:r>
                            <w:rPr>
                              <w:rStyle w:val="8"/>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8"/>
                              <w:rFonts w:ascii="Times New Roman" w:hAnsi="Times New Roman" w:cs="Times New Roman"/>
                              <w:sz w:val="28"/>
                            </w:rPr>
                            <w:t>- 34 -</w:t>
                          </w:r>
                          <w:r>
                            <w:rPr>
                              <w:rFonts w:ascii="Times New Roman" w:hAnsi="Times New Roman" w:cs="Times New Roman"/>
                              <w:sz w:val="28"/>
                            </w:rPr>
                            <w:fldChar w:fldCharType="end"/>
                          </w:r>
                          <w:r>
                            <w:rPr>
                              <w:rFonts w:hint="eastAsia" w:ascii="仿宋_GB2312" w:hAnsi="仿宋_GB2312" w:eastAsia="仿宋_GB2312" w:cs="仿宋_GB2312"/>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ind w:right="284"/>
                      <w:jc w:val="both"/>
                      <w:rPr>
                        <w:rStyle w:val="8"/>
                        <w:rFonts w:eastAsia="宋体"/>
                      </w:rPr>
                    </w:pPr>
                    <w:r>
                      <w:rPr>
                        <w:rStyle w:val="8"/>
                        <w:rFonts w:hint="eastAsia" w:ascii="仿宋_GB2312" w:hAnsi="仿宋_GB2312" w:eastAsia="仿宋_GB2312" w:cs="仿宋_GB2312"/>
                        <w:sz w:val="28"/>
                      </w:rPr>
                      <w:t>—</w:t>
                    </w:r>
                    <w:r>
                      <w:rPr>
                        <w:rFonts w:ascii="Times New Roman" w:hAnsi="Times New Roman" w:cs="Times New Roman"/>
                        <w:sz w:val="28"/>
                      </w:rPr>
                      <w:fldChar w:fldCharType="begin"/>
                    </w:r>
                    <w:r>
                      <w:rPr>
                        <w:rStyle w:val="8"/>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8"/>
                        <w:rFonts w:ascii="Times New Roman" w:hAnsi="Times New Roman" w:cs="Times New Roman"/>
                        <w:sz w:val="28"/>
                      </w:rPr>
                      <w:t>- 34 -</w:t>
                    </w:r>
                    <w:r>
                      <w:rPr>
                        <w:rFonts w:ascii="Times New Roman" w:hAnsi="Times New Roman" w:cs="Times New Roman"/>
                        <w:sz w:val="28"/>
                      </w:rPr>
                      <w:fldChar w:fldCharType="end"/>
                    </w:r>
                    <w:r>
                      <w:rPr>
                        <w:rFonts w:hint="eastAsia" w:ascii="仿宋_GB2312" w:hAnsi="仿宋_GB2312" w:eastAsia="仿宋_GB2312" w:cs="仿宋_GB2312"/>
                        <w:sz w:val="28"/>
                      </w:rPr>
                      <w:t>—</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79888734">
    <w:nsid w:val="6421115E"/>
    <w:multiLevelType w:val="singleLevel"/>
    <w:tmpl w:val="6421115E"/>
    <w:lvl w:ilvl="0" w:tentative="1">
      <w:start w:val="2"/>
      <w:numFmt w:val="chineseCounting"/>
      <w:suff w:val="nothing"/>
      <w:lvlText w:val="（%1）"/>
      <w:lvlJc w:val="left"/>
    </w:lvl>
  </w:abstractNum>
  <w:num w:numId="1">
    <w:abstractNumId w:val="16798887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06"/>
    <w:rsid w:val="00035EFE"/>
    <w:rsid w:val="0008303D"/>
    <w:rsid w:val="0009191B"/>
    <w:rsid w:val="000F67A8"/>
    <w:rsid w:val="0021158A"/>
    <w:rsid w:val="00212FEA"/>
    <w:rsid w:val="002141F6"/>
    <w:rsid w:val="002255E8"/>
    <w:rsid w:val="002679B4"/>
    <w:rsid w:val="002834D7"/>
    <w:rsid w:val="00294CEB"/>
    <w:rsid w:val="002A6393"/>
    <w:rsid w:val="002A66DF"/>
    <w:rsid w:val="00304D7C"/>
    <w:rsid w:val="003218E9"/>
    <w:rsid w:val="00332EE4"/>
    <w:rsid w:val="0039202B"/>
    <w:rsid w:val="003B3931"/>
    <w:rsid w:val="004003DD"/>
    <w:rsid w:val="00404DA0"/>
    <w:rsid w:val="00406C5C"/>
    <w:rsid w:val="00406CEC"/>
    <w:rsid w:val="00417F7A"/>
    <w:rsid w:val="004B40CD"/>
    <w:rsid w:val="00540C06"/>
    <w:rsid w:val="005630FC"/>
    <w:rsid w:val="00594B71"/>
    <w:rsid w:val="00617B77"/>
    <w:rsid w:val="00646F49"/>
    <w:rsid w:val="00684E15"/>
    <w:rsid w:val="006B0F3E"/>
    <w:rsid w:val="006B1B3D"/>
    <w:rsid w:val="006B35B0"/>
    <w:rsid w:val="006D5734"/>
    <w:rsid w:val="00761699"/>
    <w:rsid w:val="00782317"/>
    <w:rsid w:val="00791224"/>
    <w:rsid w:val="007A36A8"/>
    <w:rsid w:val="007B7497"/>
    <w:rsid w:val="007C677F"/>
    <w:rsid w:val="00857C51"/>
    <w:rsid w:val="00883069"/>
    <w:rsid w:val="00924853"/>
    <w:rsid w:val="00986F43"/>
    <w:rsid w:val="009C5231"/>
    <w:rsid w:val="009E4604"/>
    <w:rsid w:val="009F0BE1"/>
    <w:rsid w:val="00A20B23"/>
    <w:rsid w:val="00A40D70"/>
    <w:rsid w:val="00A45FD6"/>
    <w:rsid w:val="00A902B8"/>
    <w:rsid w:val="00AD2C20"/>
    <w:rsid w:val="00B026C0"/>
    <w:rsid w:val="00B02F7E"/>
    <w:rsid w:val="00B4753D"/>
    <w:rsid w:val="00B84B47"/>
    <w:rsid w:val="00BD3B46"/>
    <w:rsid w:val="00C01475"/>
    <w:rsid w:val="00C27557"/>
    <w:rsid w:val="00C27F82"/>
    <w:rsid w:val="00C35FF3"/>
    <w:rsid w:val="00C86246"/>
    <w:rsid w:val="00C914D1"/>
    <w:rsid w:val="00CA2C98"/>
    <w:rsid w:val="00CD2D6E"/>
    <w:rsid w:val="00CD38A7"/>
    <w:rsid w:val="00D05E34"/>
    <w:rsid w:val="00D40519"/>
    <w:rsid w:val="00D51D06"/>
    <w:rsid w:val="00D76264"/>
    <w:rsid w:val="00E47120"/>
    <w:rsid w:val="00E52006"/>
    <w:rsid w:val="00E53859"/>
    <w:rsid w:val="00E57E2B"/>
    <w:rsid w:val="00E65C6C"/>
    <w:rsid w:val="00EB1F0E"/>
    <w:rsid w:val="00F241F0"/>
    <w:rsid w:val="00FC4747"/>
    <w:rsid w:val="00FC5BA6"/>
    <w:rsid w:val="00FF35AE"/>
    <w:rsid w:val="02324EB5"/>
    <w:rsid w:val="0464249B"/>
    <w:rsid w:val="04CB6E4B"/>
    <w:rsid w:val="058306BD"/>
    <w:rsid w:val="06CF71B4"/>
    <w:rsid w:val="07F8402F"/>
    <w:rsid w:val="080D4B23"/>
    <w:rsid w:val="09C232B5"/>
    <w:rsid w:val="0A712205"/>
    <w:rsid w:val="0B105A40"/>
    <w:rsid w:val="0EFD5CC6"/>
    <w:rsid w:val="0F180AA2"/>
    <w:rsid w:val="10F3666E"/>
    <w:rsid w:val="113F4CD8"/>
    <w:rsid w:val="11515E07"/>
    <w:rsid w:val="11A65EBE"/>
    <w:rsid w:val="171C5A07"/>
    <w:rsid w:val="176D963B"/>
    <w:rsid w:val="17E15454"/>
    <w:rsid w:val="18F81607"/>
    <w:rsid w:val="192B4A3A"/>
    <w:rsid w:val="19D07FCA"/>
    <w:rsid w:val="1B7F798D"/>
    <w:rsid w:val="1BB05AEF"/>
    <w:rsid w:val="1C5F74E0"/>
    <w:rsid w:val="1D9D702A"/>
    <w:rsid w:val="1DEC7B27"/>
    <w:rsid w:val="1DFF4B37"/>
    <w:rsid w:val="1E462C75"/>
    <w:rsid w:val="1EFB714F"/>
    <w:rsid w:val="1F5A0E66"/>
    <w:rsid w:val="205854B9"/>
    <w:rsid w:val="210B20D3"/>
    <w:rsid w:val="21504FD2"/>
    <w:rsid w:val="219D74CD"/>
    <w:rsid w:val="2294390E"/>
    <w:rsid w:val="236C053C"/>
    <w:rsid w:val="250A5C64"/>
    <w:rsid w:val="25A14B3B"/>
    <w:rsid w:val="260926B4"/>
    <w:rsid w:val="265D4957"/>
    <w:rsid w:val="27E27EA6"/>
    <w:rsid w:val="27FB2020"/>
    <w:rsid w:val="284E4415"/>
    <w:rsid w:val="2A0D7E9F"/>
    <w:rsid w:val="2A6E0274"/>
    <w:rsid w:val="2C450E7A"/>
    <w:rsid w:val="2C9464EF"/>
    <w:rsid w:val="2CE37701"/>
    <w:rsid w:val="2DC242D4"/>
    <w:rsid w:val="2DEF8D6A"/>
    <w:rsid w:val="2F246550"/>
    <w:rsid w:val="2FBA91A6"/>
    <w:rsid w:val="3030552B"/>
    <w:rsid w:val="31FDF41B"/>
    <w:rsid w:val="320D79DB"/>
    <w:rsid w:val="3257C860"/>
    <w:rsid w:val="32CB23BF"/>
    <w:rsid w:val="33256820"/>
    <w:rsid w:val="33F4E35E"/>
    <w:rsid w:val="33FFF3CD"/>
    <w:rsid w:val="352A11F6"/>
    <w:rsid w:val="35BA748A"/>
    <w:rsid w:val="361E7569"/>
    <w:rsid w:val="37FE0A31"/>
    <w:rsid w:val="39D792D9"/>
    <w:rsid w:val="3BBE15E9"/>
    <w:rsid w:val="3C8E4A18"/>
    <w:rsid w:val="3DBE345E"/>
    <w:rsid w:val="3DF3E130"/>
    <w:rsid w:val="3EBFD5CF"/>
    <w:rsid w:val="3ED75A46"/>
    <w:rsid w:val="3EDEA73B"/>
    <w:rsid w:val="3EED8CAE"/>
    <w:rsid w:val="3FAC0C09"/>
    <w:rsid w:val="3FB354BC"/>
    <w:rsid w:val="3FDF2925"/>
    <w:rsid w:val="3FE5F325"/>
    <w:rsid w:val="3FEF3B35"/>
    <w:rsid w:val="3FFADC58"/>
    <w:rsid w:val="407E25C4"/>
    <w:rsid w:val="43314CB6"/>
    <w:rsid w:val="43603268"/>
    <w:rsid w:val="43A47CF9"/>
    <w:rsid w:val="43C01B39"/>
    <w:rsid w:val="44F73FC6"/>
    <w:rsid w:val="45EC7051"/>
    <w:rsid w:val="47F76D45"/>
    <w:rsid w:val="47FF5D5C"/>
    <w:rsid w:val="48202FD6"/>
    <w:rsid w:val="4C2E0D65"/>
    <w:rsid w:val="4C35097B"/>
    <w:rsid w:val="4CE471ED"/>
    <w:rsid w:val="4DC51B09"/>
    <w:rsid w:val="4F367CB0"/>
    <w:rsid w:val="4F7B2431"/>
    <w:rsid w:val="50D4CD38"/>
    <w:rsid w:val="52A200E3"/>
    <w:rsid w:val="52E20A78"/>
    <w:rsid w:val="536A2B9F"/>
    <w:rsid w:val="53A88E30"/>
    <w:rsid w:val="53F85289"/>
    <w:rsid w:val="53FAD87A"/>
    <w:rsid w:val="543C079E"/>
    <w:rsid w:val="543F3109"/>
    <w:rsid w:val="54FFF2CF"/>
    <w:rsid w:val="55BE29A7"/>
    <w:rsid w:val="561C6310"/>
    <w:rsid w:val="56DBADA4"/>
    <w:rsid w:val="59F2639F"/>
    <w:rsid w:val="5AFE2CE1"/>
    <w:rsid w:val="5B8D19DB"/>
    <w:rsid w:val="5BE6CD66"/>
    <w:rsid w:val="5D0D3858"/>
    <w:rsid w:val="5DECE95B"/>
    <w:rsid w:val="5DFFBFAA"/>
    <w:rsid w:val="5E7106FD"/>
    <w:rsid w:val="5EFEFE9A"/>
    <w:rsid w:val="5EFFDDE2"/>
    <w:rsid w:val="5F763C0F"/>
    <w:rsid w:val="5F7A982F"/>
    <w:rsid w:val="5FD70374"/>
    <w:rsid w:val="5FFBA1B4"/>
    <w:rsid w:val="60550A19"/>
    <w:rsid w:val="61D72498"/>
    <w:rsid w:val="62EC217A"/>
    <w:rsid w:val="62F4595F"/>
    <w:rsid w:val="639F4B05"/>
    <w:rsid w:val="63F5FE37"/>
    <w:rsid w:val="647F6670"/>
    <w:rsid w:val="64D94D53"/>
    <w:rsid w:val="64FD11BC"/>
    <w:rsid w:val="654C418D"/>
    <w:rsid w:val="67675661"/>
    <w:rsid w:val="67E92606"/>
    <w:rsid w:val="6A4FC826"/>
    <w:rsid w:val="6ADF4B0D"/>
    <w:rsid w:val="6B95175B"/>
    <w:rsid w:val="6BAD4FAD"/>
    <w:rsid w:val="6BE79D42"/>
    <w:rsid w:val="6C7B5F76"/>
    <w:rsid w:val="6D235CF7"/>
    <w:rsid w:val="6D8B65A4"/>
    <w:rsid w:val="6DDE03AF"/>
    <w:rsid w:val="6DE21B92"/>
    <w:rsid w:val="6E2965B5"/>
    <w:rsid w:val="6EE17D40"/>
    <w:rsid w:val="6F8A1CA7"/>
    <w:rsid w:val="6FED552A"/>
    <w:rsid w:val="6FF9921E"/>
    <w:rsid w:val="6FFC7CC5"/>
    <w:rsid w:val="6FFD7550"/>
    <w:rsid w:val="712F729D"/>
    <w:rsid w:val="73FF4953"/>
    <w:rsid w:val="757FB40B"/>
    <w:rsid w:val="75B7E1FE"/>
    <w:rsid w:val="76FF1A62"/>
    <w:rsid w:val="774B67BD"/>
    <w:rsid w:val="779BE033"/>
    <w:rsid w:val="77D7EAC5"/>
    <w:rsid w:val="77FF6978"/>
    <w:rsid w:val="77FFA2D4"/>
    <w:rsid w:val="78B80087"/>
    <w:rsid w:val="78FF8B8B"/>
    <w:rsid w:val="792F3138"/>
    <w:rsid w:val="795757FF"/>
    <w:rsid w:val="79A3678C"/>
    <w:rsid w:val="7B6D3540"/>
    <w:rsid w:val="7B7E99B8"/>
    <w:rsid w:val="7BD32D96"/>
    <w:rsid w:val="7BE51F1C"/>
    <w:rsid w:val="7BF3F8E7"/>
    <w:rsid w:val="7C7D07A2"/>
    <w:rsid w:val="7CFFD8D7"/>
    <w:rsid w:val="7D174C4C"/>
    <w:rsid w:val="7D2FEEDE"/>
    <w:rsid w:val="7D4E204D"/>
    <w:rsid w:val="7DFDFA62"/>
    <w:rsid w:val="7E39513C"/>
    <w:rsid w:val="7E84588C"/>
    <w:rsid w:val="7E974710"/>
    <w:rsid w:val="7EC30654"/>
    <w:rsid w:val="7EF34040"/>
    <w:rsid w:val="7EFC883D"/>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20"/>
    <w:unhideWhenUsed/>
    <w:qFormat/>
    <w:uiPriority w:val="99"/>
    <w:pPr>
      <w:ind w:firstLine="420" w:firstLineChars="200"/>
    </w:pPr>
  </w:style>
  <w:style w:type="paragraph" w:styleId="3">
    <w:name w:val="Body Text Indent"/>
    <w:basedOn w:val="1"/>
    <w:next w:val="2"/>
    <w:link w:val="19"/>
    <w:unhideWhenUsed/>
    <w:qFormat/>
    <w:uiPriority w:val="99"/>
    <w:pPr>
      <w:ind w:left="420" w:leftChars="200"/>
    </w:pPr>
  </w:style>
  <w:style w:type="paragraph" w:styleId="4">
    <w:name w:val="Balloon Text"/>
    <w:basedOn w:val="1"/>
    <w:link w:val="37"/>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FollowedHyperlink"/>
    <w:basedOn w:val="7"/>
    <w:unhideWhenUsed/>
    <w:uiPriority w:val="99"/>
    <w:rPr>
      <w:color w:val="800080"/>
      <w:u w:val="single"/>
    </w:rPr>
  </w:style>
  <w:style w:type="character" w:styleId="10">
    <w:name w:val="Hyperlink"/>
    <w:basedOn w:val="7"/>
    <w:unhideWhenUsed/>
    <w:qFormat/>
    <w:uiPriority w:val="99"/>
    <w:rPr>
      <w:color w:val="0000FF"/>
      <w:u w:val="single"/>
    </w:rPr>
  </w:style>
  <w:style w:type="paragraph" w:customStyle="1" w:styleId="12">
    <w:name w:val="列出段落1"/>
    <w:basedOn w:val="1"/>
    <w:qFormat/>
    <w:uiPriority w:val="34"/>
    <w:pPr>
      <w:ind w:firstLine="420" w:firstLineChars="200"/>
    </w:pPr>
  </w:style>
  <w:style w:type="character" w:customStyle="1" w:styleId="13">
    <w:name w:val="页眉 Char"/>
    <w:basedOn w:val="7"/>
    <w:link w:val="6"/>
    <w:qFormat/>
    <w:uiPriority w:val="99"/>
    <w:rPr>
      <w:sz w:val="18"/>
      <w:szCs w:val="18"/>
    </w:rPr>
  </w:style>
  <w:style w:type="character" w:customStyle="1" w:styleId="14">
    <w:name w:val="页脚 Char"/>
    <w:basedOn w:val="7"/>
    <w:link w:val="5"/>
    <w:qFormat/>
    <w:uiPriority w:val="99"/>
    <w:rPr>
      <w:sz w:val="18"/>
      <w:szCs w:val="18"/>
    </w:rPr>
  </w:style>
  <w:style w:type="character" w:customStyle="1" w:styleId="15">
    <w:name w:val="font81"/>
    <w:basedOn w:val="7"/>
    <w:qFormat/>
    <w:uiPriority w:val="0"/>
    <w:rPr>
      <w:rFonts w:hint="eastAsia" w:ascii="宋体" w:hAnsi="宋体" w:eastAsia="宋体" w:cs="宋体"/>
      <w:color w:val="000000"/>
      <w:sz w:val="22"/>
      <w:szCs w:val="22"/>
      <w:u w:val="none"/>
    </w:rPr>
  </w:style>
  <w:style w:type="character" w:customStyle="1" w:styleId="16">
    <w:name w:val="font61"/>
    <w:basedOn w:val="7"/>
    <w:qFormat/>
    <w:uiPriority w:val="0"/>
    <w:rPr>
      <w:rFonts w:hint="eastAsia" w:ascii="宋体" w:hAnsi="宋体" w:eastAsia="宋体" w:cs="宋体"/>
      <w:b/>
      <w:color w:val="000000"/>
      <w:sz w:val="22"/>
      <w:szCs w:val="22"/>
      <w:u w:val="none"/>
    </w:rPr>
  </w:style>
  <w:style w:type="character" w:customStyle="1" w:styleId="17">
    <w:name w:val="font01"/>
    <w:basedOn w:val="7"/>
    <w:qFormat/>
    <w:uiPriority w:val="0"/>
    <w:rPr>
      <w:rFonts w:hint="eastAsia" w:ascii="宋体" w:hAnsi="宋体" w:eastAsia="宋体" w:cs="宋体"/>
      <w:color w:val="000000"/>
      <w:sz w:val="22"/>
      <w:szCs w:val="22"/>
      <w:u w:val="none"/>
    </w:rPr>
  </w:style>
  <w:style w:type="character" w:customStyle="1" w:styleId="18">
    <w:name w:val="font11"/>
    <w:basedOn w:val="7"/>
    <w:qFormat/>
    <w:uiPriority w:val="0"/>
    <w:rPr>
      <w:rFonts w:ascii="Dialog . plain" w:hAnsi="Dialog . plain" w:eastAsia="Dialog . plain" w:cs="Dialog . plain"/>
      <w:color w:val="000000"/>
      <w:sz w:val="22"/>
      <w:szCs w:val="22"/>
      <w:u w:val="none"/>
    </w:rPr>
  </w:style>
  <w:style w:type="character" w:customStyle="1" w:styleId="19">
    <w:name w:val="正文文本缩进 Char"/>
    <w:basedOn w:val="7"/>
    <w:link w:val="3"/>
    <w:uiPriority w:val="99"/>
    <w:rPr>
      <w:rFonts w:asciiTheme="minorHAnsi" w:hAnsiTheme="minorHAnsi" w:eastAsiaTheme="minorEastAsia" w:cstheme="minorBidi"/>
      <w:kern w:val="2"/>
      <w:sz w:val="21"/>
      <w:szCs w:val="22"/>
    </w:rPr>
  </w:style>
  <w:style w:type="character" w:customStyle="1" w:styleId="20">
    <w:name w:val="正文首行缩进 2 Char"/>
    <w:basedOn w:val="19"/>
    <w:link w:val="2"/>
    <w:uiPriority w:val="99"/>
    <w:rPr>
      <w:rFonts w:asciiTheme="minorHAnsi" w:hAnsiTheme="minorHAnsi" w:eastAsiaTheme="minorEastAsia" w:cstheme="minorBidi"/>
      <w:kern w:val="2"/>
      <w:sz w:val="21"/>
      <w:szCs w:val="22"/>
    </w:rPr>
  </w:style>
  <w:style w:type="paragraph" w:customStyle="1" w:styleId="21">
    <w:name w:val="font5"/>
    <w:basedOn w:val="1"/>
    <w:uiPriority w:val="0"/>
    <w:pPr>
      <w:widowControl/>
      <w:spacing w:before="100" w:beforeAutospacing="1" w:after="100" w:afterAutospacing="1"/>
      <w:jc w:val="left"/>
    </w:pPr>
    <w:rPr>
      <w:rFonts w:ascii="Arial" w:hAnsi="Arial" w:eastAsia="宋体" w:cs="Arial"/>
      <w:color w:val="000000"/>
      <w:kern w:val="0"/>
      <w:sz w:val="22"/>
    </w:rPr>
  </w:style>
  <w:style w:type="paragraph" w:customStyle="1" w:styleId="22">
    <w:name w:val="xl65"/>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hAnsi="宋体" w:eastAsia="宋体" w:cs="宋体"/>
      <w:b/>
      <w:bCs/>
      <w:color w:val="000000"/>
      <w:kern w:val="0"/>
      <w:sz w:val="24"/>
      <w:szCs w:val="24"/>
    </w:rPr>
  </w:style>
  <w:style w:type="paragraph" w:customStyle="1" w:styleId="23">
    <w:name w:val="xl66"/>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24">
    <w:name w:val="xl67"/>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hAnsi="宋体" w:eastAsia="宋体" w:cs="宋体"/>
      <w:color w:val="000000"/>
      <w:kern w:val="0"/>
      <w:sz w:val="24"/>
      <w:szCs w:val="24"/>
    </w:rPr>
  </w:style>
  <w:style w:type="paragraph" w:customStyle="1" w:styleId="25">
    <w:name w:val="xl68"/>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hAnsi="宋体" w:eastAsia="宋体" w:cs="宋体"/>
      <w:b/>
      <w:bCs/>
      <w:color w:val="000000"/>
      <w:kern w:val="0"/>
      <w:sz w:val="24"/>
      <w:szCs w:val="24"/>
    </w:rPr>
  </w:style>
  <w:style w:type="paragraph" w:customStyle="1" w:styleId="26">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27">
    <w:name w:val="xl7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b/>
      <w:bCs/>
      <w:color w:val="000000"/>
      <w:kern w:val="0"/>
      <w:sz w:val="24"/>
      <w:szCs w:val="24"/>
    </w:rPr>
  </w:style>
  <w:style w:type="paragraph" w:customStyle="1" w:styleId="28">
    <w:name w:val="xl71"/>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29">
    <w:name w:val="xl7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30">
    <w:name w:val="xl73"/>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hAnsi="宋体" w:eastAsia="宋体" w:cs="宋体"/>
      <w:b/>
      <w:bCs/>
      <w:color w:val="000000"/>
      <w:kern w:val="0"/>
      <w:sz w:val="24"/>
      <w:szCs w:val="24"/>
    </w:rPr>
  </w:style>
  <w:style w:type="paragraph" w:customStyle="1" w:styleId="31">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32">
    <w:name w:val="xl75"/>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hAnsi="宋体" w:eastAsia="宋体" w:cs="宋体"/>
      <w:color w:val="000000"/>
      <w:kern w:val="0"/>
      <w:sz w:val="24"/>
      <w:szCs w:val="24"/>
    </w:rPr>
  </w:style>
  <w:style w:type="paragraph" w:customStyle="1" w:styleId="33">
    <w:name w:val="xl76"/>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34">
    <w:name w:val="xl77"/>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35">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hAnsi="宋体" w:eastAsia="宋体" w:cs="宋体"/>
      <w:b/>
      <w:bCs/>
      <w:color w:val="000000"/>
      <w:kern w:val="0"/>
      <w:sz w:val="32"/>
      <w:szCs w:val="32"/>
    </w:rPr>
  </w:style>
  <w:style w:type="paragraph" w:customStyle="1" w:styleId="36">
    <w:name w:val="xl79"/>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24"/>
      <w:szCs w:val="24"/>
    </w:rPr>
  </w:style>
  <w:style w:type="character" w:customStyle="1" w:styleId="37">
    <w:name w:val="批注框文本 Char"/>
    <w:basedOn w:val="7"/>
    <w:link w:val="4"/>
    <w:semiHidden/>
    <w:uiPriority w:val="99"/>
    <w:rPr>
      <w:rFonts w:asciiTheme="minorHAnsi" w:hAnsiTheme="minorHAnsi" w:eastAsiaTheme="minorEastAsia" w:cstheme="minorBidi"/>
      <w:kern w:val="2"/>
      <w:sz w:val="18"/>
      <w:szCs w:val="18"/>
    </w:rPr>
  </w:style>
  <w:style w:type="character" w:customStyle="1" w:styleId="38">
    <w:name w:val="font41"/>
    <w:basedOn w:val="7"/>
    <w:qFormat/>
    <w:uiPriority w:val="0"/>
    <w:rPr>
      <w:rFonts w:ascii="Dialog . plain" w:hAnsi="Dialog . plain" w:eastAsia="Dialog . plain" w:cs="Dialog . plain"/>
      <w:color w:val="000000"/>
      <w:sz w:val="22"/>
      <w:szCs w:val="22"/>
      <w:u w:val="none"/>
    </w:rPr>
  </w:style>
  <w:style w:type="character" w:customStyle="1" w:styleId="39">
    <w:name w:val="font51"/>
    <w:basedOn w:val="7"/>
    <w:uiPriority w:val="0"/>
    <w:rPr>
      <w:rFonts w:ascii="Dialog . bold" w:hAnsi="Dialog . bold" w:eastAsia="Dialog . bold" w:cs="Dialog . bold"/>
      <w:b/>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42</Pages>
  <Words>2939</Words>
  <Characters>16753</Characters>
  <Lines>139</Lines>
  <Paragraphs>39</Paragraphs>
  <ScaleCrop>false</ScaleCrop>
  <LinksUpToDate>false</LinksUpToDate>
  <CharactersWithSpaces>19653</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Administrator</cp:lastModifiedBy>
  <cp:lastPrinted>2025-07-28T02:09:00Z</cp:lastPrinted>
  <dcterms:modified xsi:type="dcterms:W3CDTF">2026-04-03T09:11:02Z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