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37B70">
      <w:pPr>
        <w:spacing w:line="600" w:lineRule="exact"/>
        <w:jc w:val="center"/>
        <w:outlineLvl w:val="0"/>
        <w:rPr>
          <w:rFonts w:ascii="方正小标宋简体" w:hAnsi="宋体" w:eastAsia="方正小标宋简体"/>
          <w:color w:val="000000"/>
          <w:sz w:val="72"/>
          <w:szCs w:val="72"/>
        </w:rPr>
      </w:pPr>
      <w:bookmarkStart w:id="0" w:name="_Toc15306267"/>
    </w:p>
    <w:p w14:paraId="25C8BD53">
      <w:pPr>
        <w:spacing w:line="600" w:lineRule="exact"/>
        <w:jc w:val="center"/>
        <w:outlineLvl w:val="0"/>
        <w:rPr>
          <w:rFonts w:ascii="方正小标宋简体" w:hAnsi="宋体" w:eastAsia="方正小标宋简体"/>
          <w:color w:val="000000"/>
          <w:sz w:val="72"/>
          <w:szCs w:val="72"/>
        </w:rPr>
      </w:pPr>
    </w:p>
    <w:p w14:paraId="42656F61">
      <w:pPr>
        <w:spacing w:line="600" w:lineRule="exact"/>
        <w:jc w:val="center"/>
        <w:outlineLvl w:val="0"/>
        <w:rPr>
          <w:rFonts w:ascii="方正小标宋简体" w:hAnsi="宋体" w:eastAsia="方正小标宋简体"/>
          <w:color w:val="000000"/>
          <w:sz w:val="72"/>
          <w:szCs w:val="72"/>
        </w:rPr>
      </w:pPr>
    </w:p>
    <w:p w14:paraId="65150958">
      <w:pPr>
        <w:spacing w:line="600" w:lineRule="exact"/>
        <w:jc w:val="center"/>
        <w:outlineLvl w:val="0"/>
        <w:rPr>
          <w:rFonts w:ascii="方正小标宋简体" w:hAnsi="宋体" w:eastAsia="方正小标宋简体"/>
          <w:color w:val="000000"/>
          <w:sz w:val="72"/>
          <w:szCs w:val="72"/>
        </w:rPr>
      </w:pPr>
    </w:p>
    <w:p w14:paraId="5177E295">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7193"/>
      <w:bookmarkStart w:id="3" w:name="_Toc15396475"/>
      <w:bookmarkStart w:id="4" w:name="_Toc15396597"/>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644B4674">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96598"/>
      <w:bookmarkStart w:id="8" w:name="_Toc15377426"/>
      <w:bookmarkStart w:id="9" w:name="_Toc15377194"/>
      <w:bookmarkStart w:id="10" w:name="_Toc15378442"/>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九寨沟县九寨国家森林公园部门决算</w:t>
      </w:r>
      <w:bookmarkEnd w:id="6"/>
      <w:bookmarkEnd w:id="7"/>
      <w:bookmarkEnd w:id="8"/>
      <w:bookmarkEnd w:id="9"/>
      <w:bookmarkEnd w:id="10"/>
      <w:bookmarkEnd w:id="11"/>
    </w:p>
    <w:p w14:paraId="67768B97">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28FC2952">
      <w:pPr>
        <w:widowControl/>
        <w:jc w:val="center"/>
        <w:rPr>
          <w:rFonts w:ascii="黑体" w:hAnsi="黑体" w:eastAsia="黑体" w:cstheme="minorBidi"/>
          <w:sz w:val="28"/>
          <w:szCs w:val="28"/>
        </w:rPr>
      </w:pPr>
      <w:bookmarkStart w:id="75" w:name="_GoBack"/>
      <w:bookmarkEnd w:id="75"/>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20E93561">
      <w:pPr>
        <w:pStyle w:val="10"/>
      </w:pPr>
      <w:r>
        <w:rPr>
          <w:rFonts w:hint="eastAsia"/>
        </w:rPr>
        <w:t>公开时间：20</w:t>
      </w:r>
      <w:r>
        <w:rPr>
          <w:rFonts w:hint="eastAsia"/>
          <w:lang w:val="en-US" w:eastAsia="zh-CN"/>
        </w:rPr>
        <w:t>20</w:t>
      </w:r>
      <w:r>
        <w:rPr>
          <w:rFonts w:hint="eastAsia"/>
        </w:rPr>
        <w:t>年8月25日</w:t>
      </w:r>
    </w:p>
    <w:p w14:paraId="7D459A4A"/>
    <w:p w14:paraId="66F313C0">
      <w:pPr>
        <w:pStyle w:val="10"/>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tab/>
      </w:r>
      <w:r>
        <w:rPr>
          <w:rFonts w:hint="eastAsia"/>
        </w:rPr>
        <w:t>4</w:t>
      </w:r>
      <w:r>
        <w:rPr>
          <w:rFonts w:hint="eastAsia"/>
        </w:rPr>
        <w:fldChar w:fldCharType="end"/>
      </w:r>
    </w:p>
    <w:p w14:paraId="4EE6E288">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4744C287">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595386CE">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w:t>
      </w:r>
      <w:r>
        <w:rPr>
          <w:rStyle w:val="15"/>
          <w:rFonts w:hint="eastAsia"/>
        </w:rPr>
        <w:t>9年度部门决算情况说明</w:t>
      </w:r>
      <w:r>
        <w:tab/>
      </w:r>
      <w:r>
        <w:fldChar w:fldCharType="begin"/>
      </w:r>
      <w:r>
        <w:instrText xml:space="preserve"> PAGEREF _Toc15396602 \h </w:instrText>
      </w:r>
      <w:r>
        <w:fldChar w:fldCharType="separate"/>
      </w:r>
      <w:r>
        <w:t>5</w:t>
      </w:r>
      <w:r>
        <w:fldChar w:fldCharType="end"/>
      </w:r>
      <w:r>
        <w:fldChar w:fldCharType="end"/>
      </w:r>
    </w:p>
    <w:p w14:paraId="380D72C6">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64A2277D">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1CFCEF4E">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351BB4DF">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65954300">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159723EB">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7F18B57D">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2C6E7FBA">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2DF1ED09">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35A25E51">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0620235C">
      <w:pPr>
        <w:pStyle w:val="10"/>
        <w:rPr>
          <w:rFonts w:cstheme="minorBidi"/>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14:paraId="3930DB6B">
      <w:pPr>
        <w:pStyle w:val="10"/>
        <w:rPr>
          <w:rFonts w:cstheme="minorBidi"/>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14:paraId="2E382086">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3FACE8CC">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14:paraId="523D2EB3">
      <w:pPr>
        <w:pStyle w:val="10"/>
        <w:rPr>
          <w:rFonts w:cstheme="minorBidi"/>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14:paraId="23619E6F">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601BA47">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F9970D4">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6E6AD37">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6FE7E768">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7BCDCFB">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2AD1714">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DD30896">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A59E6FD">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E8E9634">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1058AC1">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BD7C1BD">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BE2E6DA">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1BC448B">
      <w:pPr>
        <w:widowControl/>
        <w:jc w:val="left"/>
        <w:rPr>
          <w:rFonts w:ascii="仿宋" w:hAnsi="仿宋" w:eastAsia="仿宋"/>
          <w:color w:val="000000"/>
          <w:sz w:val="24"/>
        </w:rPr>
      </w:pPr>
      <w:r>
        <w:rPr>
          <w:rFonts w:ascii="仿宋" w:hAnsi="仿宋" w:eastAsia="仿宋"/>
          <w:color w:val="000000"/>
          <w:sz w:val="24"/>
        </w:rPr>
        <w:fldChar w:fldCharType="end"/>
      </w:r>
    </w:p>
    <w:p w14:paraId="42E1536D">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14:paraId="2D9CA1B1">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14:paraId="534EA724">
      <w:pPr>
        <w:pStyle w:val="3"/>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14:paraId="68AB22CC">
      <w:pPr>
        <w:spacing w:line="440" w:lineRule="exact"/>
        <w:ind w:firstLine="640" w:firstLineChars="200"/>
        <w:rPr>
          <w:rFonts w:ascii="仿宋" w:hAnsi="仿宋" w:eastAsia="仿宋_GB2312"/>
          <w:bCs/>
          <w:sz w:val="32"/>
          <w:szCs w:val="32"/>
        </w:rPr>
      </w:pPr>
      <w:bookmarkStart w:id="16" w:name="_Toc15378445"/>
      <w:bookmarkStart w:id="17" w:name="_Toc15377198"/>
      <w:r>
        <w:rPr>
          <w:rFonts w:hint="eastAsia" w:ascii="仿宋" w:hAnsi="仿宋" w:eastAsia="仿宋"/>
          <w:bCs/>
          <w:color w:val="000000"/>
          <w:sz w:val="32"/>
          <w:szCs w:val="32"/>
        </w:rPr>
        <w:t>（一）主要职能</w:t>
      </w:r>
    </w:p>
    <w:p w14:paraId="42F6ECB1">
      <w:pPr>
        <w:spacing w:line="440" w:lineRule="exact"/>
        <w:ind w:firstLine="640" w:firstLineChars="200"/>
        <w:rPr>
          <w:rFonts w:ascii="仿宋" w:hAnsi="仿宋" w:eastAsia="仿宋_GB2312"/>
          <w:sz w:val="32"/>
          <w:szCs w:val="32"/>
        </w:rPr>
      </w:pPr>
      <w:r>
        <w:rPr>
          <w:rFonts w:hint="eastAsia" w:ascii="仿宋" w:hAnsi="仿宋" w:eastAsia="仿宋_GB2312" w:cs="宋体"/>
          <w:kern w:val="0"/>
          <w:sz w:val="32"/>
          <w:szCs w:val="32"/>
        </w:rPr>
        <w:t>根据《森林公园管理办法》和《四川省森林公园管理条例》的有关规定，在上级行政主管部门的指导下，结合森林公园的实际和经济发展的需要，制定相应的发展实施方案，并组织实施；统一管理森林公园内的各种资源；调查自然资源并建立档案；组织生态环境监测，应用法律和科学的手段保护园内的生态环境、自然资源及各种野生动植物；组织和协调有关部门开展公园的科学研究工作；负责进行宣教工作；组织科学实验、教学学习、科研考察及驯化、繁殖珍稀濒危野生动植物等工作；负责公园内各项基础设施建设项目顺利实施，协助监督部门对各项基础设施建设项目工程进行质量监督，认真履行上级行政主管部门下达的各项职责。同时受九寨沟县林业局委托执法授权。九寨国家森林公园管理局在林业行政主管部门指导下做好了动植物保护、封山育林、造林绿化、环境保护、护林防火和森林病虫害防治、林政管理等工作;在园区内开展林业法律法规宣传和执法检查;根据《行政处罚法》、《森林法》、《野生动植物保护法》、《森林法实施细则》、《森林防火条例》及《林业行政处罚程序规定》等法律法规的规定及时有效制止违法活动，维护林业行政管理秩序。</w:t>
      </w:r>
    </w:p>
    <w:p w14:paraId="389B581F">
      <w:pPr>
        <w:spacing w:line="440" w:lineRule="exact"/>
        <w:ind w:firstLine="640" w:firstLineChars="200"/>
        <w:rPr>
          <w:rFonts w:ascii="仿宋_GB2312" w:eastAsia="仿宋_GB2312"/>
          <w:sz w:val="32"/>
          <w:szCs w:val="32"/>
          <w:shd w:val="clear" w:color="auto" w:fill="FFFFFF"/>
        </w:rPr>
      </w:pPr>
      <w:r>
        <w:rPr>
          <w:rFonts w:hint="eastAsia" w:ascii="仿宋" w:hAnsi="仿宋" w:eastAsia="仿宋_GB2312"/>
          <w:bCs/>
          <w:sz w:val="32"/>
          <w:szCs w:val="32"/>
        </w:rPr>
        <w:t>（二）</w:t>
      </w:r>
      <w:r>
        <w:rPr>
          <w:rFonts w:hint="eastAsia" w:ascii="仿宋_GB2312" w:eastAsia="仿宋_GB2312"/>
          <w:sz w:val="32"/>
          <w:szCs w:val="32"/>
          <w:shd w:val="clear" w:color="auto" w:fill="FFFFFF"/>
        </w:rPr>
        <w:t>2019年重点工作</w:t>
      </w:r>
    </w:p>
    <w:p w14:paraId="182C14BC">
      <w:pPr>
        <w:spacing w:line="440" w:lineRule="exact"/>
        <w:ind w:firstLine="640" w:firstLineChars="200"/>
        <w:rPr>
          <w:rFonts w:ascii="仿宋_GB2312" w:hAnsi="宋体" w:eastAsia="仿宋_GB2312" w:cs="宋体"/>
          <w:color w:val="000000"/>
          <w:kern w:val="0"/>
          <w:sz w:val="32"/>
          <w:szCs w:val="32"/>
        </w:rPr>
      </w:pPr>
      <w:r>
        <w:rPr>
          <w:rFonts w:hint="eastAsia" w:ascii="仿宋" w:hAnsi="仿宋" w:eastAsia="仿宋_GB2312"/>
          <w:bCs/>
          <w:sz w:val="32"/>
          <w:szCs w:val="32"/>
        </w:rPr>
        <w:t>根据县委、县政府关于2019年全县工作的总体部署，森林公园2019的主要工作是：（1）</w:t>
      </w:r>
      <w:r>
        <w:rPr>
          <w:rFonts w:hint="eastAsia" w:ascii="仿宋_GB2312" w:eastAsia="仿宋_GB2312"/>
          <w:color w:val="000000"/>
          <w:sz w:val="32"/>
          <w:szCs w:val="32"/>
        </w:rPr>
        <w:t>完成</w:t>
      </w:r>
      <w:r>
        <w:rPr>
          <w:rFonts w:hint="eastAsia" w:ascii="仿宋_GB2312" w:eastAsia="仿宋_GB2312"/>
          <w:sz w:val="32"/>
          <w:szCs w:val="32"/>
        </w:rPr>
        <w:t>《</w:t>
      </w:r>
      <w:r>
        <w:rPr>
          <w:rFonts w:ascii="仿宋_GB2312" w:hAnsi="宋体" w:eastAsia="仿宋_GB2312" w:cs="宋体"/>
          <w:color w:val="000000"/>
          <w:kern w:val="0"/>
          <w:sz w:val="32"/>
          <w:szCs w:val="32"/>
        </w:rPr>
        <w:t>201</w:t>
      </w:r>
      <w:r>
        <w:rPr>
          <w:rFonts w:hint="eastAsia" w:ascii="仿宋_GB2312" w:hAnsi="宋体" w:eastAsia="仿宋_GB2312" w:cs="宋体"/>
          <w:color w:val="000000"/>
          <w:kern w:val="0"/>
          <w:sz w:val="32"/>
          <w:szCs w:val="32"/>
        </w:rPr>
        <w:t>8年九寨国家森林公园重点生态功能区转移支付禁止开发区项目</w:t>
      </w:r>
      <w:r>
        <w:rPr>
          <w:rFonts w:hint="eastAsia" w:ascii="仿宋_GB2312" w:eastAsia="仿宋_GB2312"/>
          <w:sz w:val="32"/>
          <w:szCs w:val="32"/>
        </w:rPr>
        <w:t>》的建设。</w:t>
      </w:r>
      <w:r>
        <w:rPr>
          <w:rFonts w:hint="eastAsia" w:ascii="仿宋" w:hAnsi="仿宋" w:eastAsia="仿宋_GB2312"/>
          <w:sz w:val="32"/>
          <w:szCs w:val="32"/>
        </w:rPr>
        <w:t>（2）加快</w:t>
      </w:r>
      <w:r>
        <w:rPr>
          <w:rFonts w:hint="eastAsia" w:ascii="仿宋_GB2312" w:eastAsia="仿宋_GB2312"/>
          <w:color w:val="000000"/>
          <w:sz w:val="32"/>
          <w:szCs w:val="32"/>
        </w:rPr>
        <w:t>各项灾后重建项目建设</w:t>
      </w:r>
      <w:r>
        <w:rPr>
          <w:rFonts w:hint="eastAsia" w:ascii="仿宋_GB2312" w:hAnsi="宋体" w:eastAsia="仿宋_GB2312" w:cs="宋体"/>
          <w:color w:val="000000"/>
          <w:kern w:val="0"/>
          <w:sz w:val="32"/>
          <w:szCs w:val="32"/>
        </w:rPr>
        <w:t>。</w:t>
      </w:r>
      <w:r>
        <w:rPr>
          <w:rFonts w:hint="eastAsia" w:ascii="仿宋" w:hAnsi="仿宋" w:eastAsia="仿宋_GB2312"/>
          <w:color w:val="000000"/>
          <w:sz w:val="32"/>
          <w:szCs w:val="32"/>
        </w:rPr>
        <w:t>（3）</w:t>
      </w:r>
      <w:r>
        <w:rPr>
          <w:rFonts w:hint="eastAsia" w:ascii="仿宋_GB2312" w:eastAsia="仿宋_GB2312"/>
          <w:color w:val="000000"/>
          <w:sz w:val="32"/>
          <w:szCs w:val="32"/>
        </w:rPr>
        <w:t>进一步加强职工的理论学习和业务培训，切实提高工作人员的理论水平和业务水平。</w:t>
      </w:r>
      <w:r>
        <w:rPr>
          <w:rFonts w:hint="eastAsia" w:ascii="仿宋" w:hAnsi="仿宋" w:eastAsia="仿宋_GB2312"/>
          <w:color w:val="000000"/>
          <w:sz w:val="32"/>
          <w:szCs w:val="32"/>
        </w:rPr>
        <w:t>（4）</w:t>
      </w:r>
      <w:r>
        <w:rPr>
          <w:rFonts w:hint="eastAsia" w:ascii="仿宋_GB2312" w:eastAsia="仿宋_GB2312"/>
          <w:color w:val="000000"/>
          <w:sz w:val="32"/>
          <w:szCs w:val="32"/>
        </w:rPr>
        <w:t>进一步加强森林防火宣传，提高全民防火意识；杜绝森林火灾的发生。加强森林资源和风景资源的保护管理工作，严禁乱砍滥伐、乱捕滥猎、挖沙取石、进入林区挖药。</w:t>
      </w:r>
      <w:r>
        <w:rPr>
          <w:rFonts w:hint="eastAsia" w:ascii="仿宋" w:hAnsi="仿宋" w:eastAsia="仿宋_GB2312"/>
          <w:color w:val="000000"/>
          <w:sz w:val="32"/>
          <w:szCs w:val="32"/>
        </w:rPr>
        <w:t>（5）</w:t>
      </w:r>
      <w:r>
        <w:rPr>
          <w:rFonts w:hint="eastAsia" w:ascii="仿宋_GB2312" w:eastAsia="仿宋_GB2312"/>
          <w:color w:val="000000"/>
          <w:sz w:val="32"/>
          <w:szCs w:val="32"/>
        </w:rPr>
        <w:t>加强对神仙池公司的经营和管理，力争扭亏为赢。</w:t>
      </w:r>
      <w:r>
        <w:rPr>
          <w:rFonts w:hint="eastAsia" w:ascii="仿宋" w:hAnsi="仿宋" w:eastAsia="仿宋_GB2312"/>
          <w:color w:val="000000"/>
          <w:sz w:val="32"/>
          <w:szCs w:val="32"/>
        </w:rPr>
        <w:t>（6）</w:t>
      </w:r>
      <w:r>
        <w:rPr>
          <w:rFonts w:hint="eastAsia" w:ascii="仿宋_GB2312" w:eastAsia="仿宋_GB2312"/>
          <w:color w:val="000000"/>
          <w:sz w:val="32"/>
          <w:szCs w:val="32"/>
        </w:rPr>
        <w:t xml:space="preserve">继续加大对贫困村的帮扶工作出色完成脱贫任务。 </w:t>
      </w:r>
    </w:p>
    <w:bookmarkEnd w:id="16"/>
    <w:bookmarkEnd w:id="17"/>
    <w:p w14:paraId="30D5A114">
      <w:pPr>
        <w:pStyle w:val="3"/>
        <w:spacing w:line="440" w:lineRule="exact"/>
        <w:rPr>
          <w:rStyle w:val="25"/>
          <w:b w:val="0"/>
          <w:bCs w:val="0"/>
        </w:rPr>
      </w:pPr>
      <w:bookmarkStart w:id="18" w:name="_Toc15377200"/>
      <w:bookmarkStart w:id="19"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8"/>
      <w:bookmarkEnd w:id="19"/>
    </w:p>
    <w:p w14:paraId="3431413C">
      <w:pPr>
        <w:spacing w:line="440" w:lineRule="exact"/>
        <w:ind w:firstLine="640" w:firstLineChars="200"/>
        <w:rPr>
          <w:rFonts w:ascii="仿宋_GB2312" w:eastAsia="仿宋_GB2312"/>
          <w:b/>
          <w:sz w:val="32"/>
          <w:szCs w:val="32"/>
        </w:rPr>
      </w:pPr>
      <w:bookmarkStart w:id="20" w:name="OLE_LINK1"/>
      <w:r>
        <w:rPr>
          <w:rFonts w:hint="eastAsia" w:ascii="仿宋_GB2312" w:eastAsia="仿宋_GB2312"/>
          <w:sz w:val="32"/>
          <w:szCs w:val="32"/>
        </w:rPr>
        <w:t>2019年</w:t>
      </w:r>
      <w:bookmarkEnd w:id="20"/>
      <w:r>
        <w:rPr>
          <w:rFonts w:hint="eastAsia" w:ascii="仿宋_GB2312" w:eastAsia="仿宋_GB2312"/>
          <w:sz w:val="32"/>
          <w:szCs w:val="32"/>
        </w:rPr>
        <w:t>单位机构数为 1个，事业机构1个；财政供养人员编制为 31名，事业编制 31名；</w:t>
      </w:r>
      <w:r>
        <w:rPr>
          <w:rFonts w:hint="eastAsia" w:ascii="仿宋_GB2312" w:eastAsia="仿宋_GB2312" w:cs="仿宋_GB2312"/>
          <w:bCs/>
          <w:kern w:val="0"/>
          <w:sz w:val="32"/>
          <w:szCs w:val="32"/>
          <w:lang w:val="zh-CN"/>
        </w:rPr>
        <w:t>201</w:t>
      </w:r>
      <w:r>
        <w:rPr>
          <w:rFonts w:hint="eastAsia" w:ascii="仿宋_GB2312" w:eastAsia="仿宋_GB2312" w:cs="仿宋_GB2312"/>
          <w:bCs/>
          <w:kern w:val="0"/>
          <w:sz w:val="32"/>
          <w:szCs w:val="32"/>
        </w:rPr>
        <w:t>9</w:t>
      </w:r>
      <w:r>
        <w:rPr>
          <w:rFonts w:hint="eastAsia" w:ascii="仿宋_GB2312" w:eastAsia="仿宋_GB2312" w:cs="仿宋_GB2312"/>
          <w:bCs/>
          <w:kern w:val="0"/>
          <w:sz w:val="32"/>
          <w:szCs w:val="32"/>
          <w:lang w:val="zh-CN"/>
        </w:rPr>
        <w:t>年实际财政供养人员 28 人，较上年增加</w:t>
      </w:r>
      <w:r>
        <w:rPr>
          <w:rFonts w:hint="eastAsia" w:ascii="仿宋_GB2312" w:eastAsia="仿宋_GB2312" w:cs="仿宋_GB2312"/>
          <w:bCs/>
          <w:kern w:val="0"/>
          <w:sz w:val="32"/>
          <w:szCs w:val="32"/>
        </w:rPr>
        <w:t>0</w:t>
      </w:r>
      <w:r>
        <w:rPr>
          <w:rFonts w:hint="eastAsia" w:ascii="仿宋_GB2312" w:eastAsia="仿宋_GB2312" w:cs="仿宋_GB2312"/>
          <w:bCs/>
          <w:kern w:val="0"/>
          <w:sz w:val="32"/>
          <w:szCs w:val="32"/>
          <w:lang w:val="zh-CN"/>
        </w:rPr>
        <w:t>人，其中： 事业28人。</w:t>
      </w:r>
    </w:p>
    <w:p w14:paraId="42C93ACF">
      <w:pPr>
        <w:pStyle w:val="2"/>
        <w:spacing w:line="440" w:lineRule="exact"/>
        <w:ind w:right="440"/>
        <w:jc w:val="right"/>
        <w:rPr>
          <w:rStyle w:val="24"/>
          <w:rFonts w:ascii="黑体" w:hAnsi="黑体" w:eastAsia="黑体"/>
          <w:b w:val="0"/>
          <w:bCs w:val="0"/>
        </w:rPr>
      </w:pPr>
      <w:bookmarkStart w:id="21" w:name="_Toc15377204"/>
      <w:bookmarkStart w:id="22"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1"/>
      <w:bookmarkEnd w:id="22"/>
    </w:p>
    <w:p w14:paraId="05090775">
      <w:pPr>
        <w:spacing w:line="440" w:lineRule="exact"/>
      </w:pPr>
    </w:p>
    <w:p w14:paraId="0164D32F">
      <w:pPr>
        <w:pStyle w:val="23"/>
        <w:numPr>
          <w:ilvl w:val="0"/>
          <w:numId w:val="1"/>
        </w:numPr>
        <w:spacing w:line="440" w:lineRule="exact"/>
        <w:ind w:firstLineChars="0"/>
        <w:outlineLvl w:val="1"/>
        <w:rPr>
          <w:rStyle w:val="25"/>
          <w:rFonts w:ascii="黑体" w:hAnsi="黑体" w:eastAsia="黑体"/>
          <w:b w:val="0"/>
        </w:rPr>
      </w:pPr>
      <w:bookmarkStart w:id="23" w:name="_Toc15396603"/>
      <w:bookmarkStart w:id="24"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3"/>
      <w:bookmarkEnd w:id="24"/>
    </w:p>
    <w:p w14:paraId="17B84224">
      <w:pPr>
        <w:spacing w:line="44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2019年度收、支总计2831.56万元。与2018年相比，收、支总计各减少3063.69万元，下降52</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。主要变动原因是灾后恢复重建项目支出陆续减少。</w:t>
      </w:r>
    </w:p>
    <w:p w14:paraId="197A8495">
      <w:pPr>
        <w:pStyle w:val="23"/>
        <w:numPr>
          <w:ilvl w:val="0"/>
          <w:numId w:val="1"/>
        </w:numPr>
        <w:spacing w:line="440" w:lineRule="exact"/>
        <w:ind w:firstLineChars="0"/>
        <w:outlineLvl w:val="1"/>
        <w:rPr>
          <w:rStyle w:val="25"/>
          <w:rFonts w:ascii="黑体" w:hAnsi="黑体" w:eastAsia="黑体"/>
          <w:b w:val="0"/>
        </w:rPr>
      </w:pPr>
      <w:bookmarkStart w:id="25" w:name="_Toc15377206"/>
      <w:bookmarkStart w:id="26"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5"/>
      <w:bookmarkEnd w:id="26"/>
    </w:p>
    <w:p w14:paraId="781D6EAF">
      <w:pPr>
        <w:spacing w:line="440"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9年本年收入合计1283.54万元，其中：一般公共预算财政拨款收入1283.54万元，占100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64CAD4E7">
      <w:pPr>
        <w:spacing w:line="440" w:lineRule="exact"/>
        <w:ind w:firstLine="640" w:firstLineChars="200"/>
        <w:rPr>
          <w:rFonts w:ascii="仿宋_GB2312" w:eastAsia="仿宋_GB2312"/>
          <w:color w:val="FF0000"/>
          <w:sz w:val="32"/>
          <w:szCs w:val="32"/>
        </w:rPr>
      </w:pPr>
    </w:p>
    <w:p w14:paraId="55012963">
      <w:pPr>
        <w:pStyle w:val="23"/>
        <w:numPr>
          <w:ilvl w:val="0"/>
          <w:numId w:val="1"/>
        </w:numPr>
        <w:spacing w:line="440" w:lineRule="exact"/>
        <w:ind w:firstLineChars="0"/>
        <w:outlineLvl w:val="1"/>
        <w:rPr>
          <w:rStyle w:val="25"/>
          <w:rFonts w:ascii="黑体" w:hAnsi="黑体" w:eastAsia="黑体"/>
          <w:b w:val="0"/>
        </w:rPr>
      </w:pPr>
      <w:bookmarkStart w:id="27" w:name="_Toc15396605"/>
      <w:bookmarkStart w:id="28"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7"/>
      <w:bookmarkEnd w:id="28"/>
    </w:p>
    <w:p w14:paraId="45CD49A2">
      <w:pPr>
        <w:spacing w:line="44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9年本年支出合计1791.19万元，其中：基本支出430.64万元，占24</w:t>
      </w:r>
      <w:r>
        <w:rPr>
          <w:rFonts w:ascii="仿宋" w:hAnsi="仿宋" w:eastAsia="仿宋"/>
          <w:color w:val="000000"/>
          <w:sz w:val="32"/>
          <w:szCs w:val="32"/>
        </w:rPr>
        <w:t>%</w:t>
      </w:r>
      <w:r>
        <w:rPr>
          <w:rFonts w:hint="eastAsia" w:ascii="仿宋" w:hAnsi="仿宋" w:eastAsia="仿宋"/>
          <w:color w:val="000000"/>
          <w:sz w:val="32"/>
          <w:szCs w:val="32"/>
        </w:rPr>
        <w:t>；项目支出1360.55万元，占76</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4F1EF2D2">
      <w:pPr>
        <w:spacing w:line="440" w:lineRule="exact"/>
        <w:ind w:firstLine="640" w:firstLineChars="200"/>
        <w:rPr>
          <w:rFonts w:ascii="仿宋_GB2312" w:eastAsia="仿宋_GB2312"/>
          <w:color w:val="FF0000"/>
          <w:sz w:val="32"/>
          <w:szCs w:val="32"/>
        </w:rPr>
      </w:pPr>
    </w:p>
    <w:p w14:paraId="1AC6F833">
      <w:pPr>
        <w:spacing w:line="440" w:lineRule="exact"/>
        <w:ind w:firstLine="640" w:firstLineChars="200"/>
        <w:outlineLvl w:val="1"/>
        <w:rPr>
          <w:rStyle w:val="25"/>
          <w:rFonts w:ascii="黑体" w:hAnsi="黑体" w:eastAsia="黑体"/>
          <w:b w:val="0"/>
        </w:rPr>
      </w:pPr>
      <w:bookmarkStart w:id="29" w:name="_Toc15377208"/>
      <w:bookmarkStart w:id="30"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9"/>
      <w:bookmarkEnd w:id="30"/>
    </w:p>
    <w:p w14:paraId="7543F224">
      <w:pPr>
        <w:spacing w:line="44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2019年度收、支总计2831.56万元。与2018年相比，收、支总计各减少3063.69万元，下降52</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。主要变动原因是灾后恢复重建项目支出陆续减少。</w:t>
      </w:r>
    </w:p>
    <w:p w14:paraId="53EDD862">
      <w:pPr>
        <w:spacing w:line="44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（除国有资本经营预算外，数据来源于财决</w:t>
      </w:r>
      <w:r>
        <w:rPr>
          <w:rFonts w:ascii="仿宋" w:hAnsi="仿宋" w:eastAsia="仿宋"/>
          <w:b/>
          <w:color w:val="000000" w:themeColor="text1"/>
          <w:sz w:val="32"/>
          <w:szCs w:val="32"/>
          <w14:textFill>
            <w14:solidFill>
              <w14:schemeClr w14:val="tx1"/>
            </w14:solidFill>
          </w14:textFill>
        </w:rPr>
        <w:t>Z01-1</w:t>
      </w:r>
      <w:r>
        <w:rPr>
          <w:rFonts w:hint="eastAsia" w:ascii="仿宋" w:hAnsi="仿宋" w:eastAsia="仿宋"/>
          <w:b/>
          <w:color w:val="000000" w:themeColor="text1"/>
          <w:sz w:val="32"/>
          <w:szCs w:val="32"/>
          <w14:textFill>
            <w14:solidFill>
              <w14:schemeClr w14:val="tx1"/>
            </w14:solidFill>
          </w14:textFill>
        </w:rPr>
        <w:t>表，口径为“总计”数+国有资本经营预算。）</w:t>
      </w:r>
    </w:p>
    <w:p w14:paraId="788EEB44">
      <w:pPr>
        <w:spacing w:line="440" w:lineRule="exact"/>
        <w:ind w:firstLine="640"/>
        <w:rPr>
          <w:rFonts w:ascii="仿宋" w:hAnsi="仿宋" w:eastAsia="仿宋"/>
          <w:b/>
          <w:color w:val="00B050"/>
          <w:sz w:val="32"/>
          <w:szCs w:val="32"/>
        </w:rPr>
      </w:pPr>
    </w:p>
    <w:p w14:paraId="657EEF07">
      <w:pPr>
        <w:spacing w:line="440" w:lineRule="exact"/>
        <w:ind w:firstLine="640" w:firstLineChars="200"/>
        <w:outlineLvl w:val="1"/>
        <w:rPr>
          <w:rStyle w:val="25"/>
          <w:rFonts w:ascii="黑体" w:hAnsi="黑体" w:eastAsia="黑体"/>
          <w:b w:val="0"/>
        </w:rPr>
      </w:pPr>
      <w:bookmarkStart w:id="31" w:name="_Toc15377209"/>
      <w:bookmarkStart w:id="32"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1"/>
      <w:bookmarkEnd w:id="32"/>
    </w:p>
    <w:p w14:paraId="7455059F">
      <w:pPr>
        <w:spacing w:line="440" w:lineRule="exact"/>
        <w:ind w:firstLine="643" w:firstLineChars="200"/>
        <w:outlineLvl w:val="2"/>
        <w:rPr>
          <w:rFonts w:ascii="仿宋" w:hAnsi="仿宋" w:eastAsia="仿宋"/>
          <w:b/>
          <w:color w:val="000000"/>
          <w:sz w:val="32"/>
          <w:szCs w:val="32"/>
        </w:rPr>
      </w:pPr>
      <w:bookmarkStart w:id="33" w:name="_Toc15377210"/>
      <w:r>
        <w:rPr>
          <w:rFonts w:hint="eastAsia" w:ascii="仿宋" w:hAnsi="仿宋" w:eastAsia="仿宋"/>
          <w:b/>
          <w:color w:val="000000"/>
          <w:sz w:val="32"/>
          <w:szCs w:val="32"/>
        </w:rPr>
        <w:t>（一）一般公共预算财政拨款支出决算总体情况</w:t>
      </w:r>
      <w:bookmarkEnd w:id="33"/>
    </w:p>
    <w:p w14:paraId="2B4A4423">
      <w:pPr>
        <w:spacing w:line="44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9年一般公共预算财政拨款支出1791.19万元，占本年支出合计的100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8年相比，一般公共预算财政拨款增加1880.41万元，下降51</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。主要变动原因是灾后恢复重建项目支出陆续减少.</w:t>
      </w:r>
    </w:p>
    <w:p w14:paraId="5E70E514">
      <w:pPr>
        <w:spacing w:line="440" w:lineRule="exact"/>
        <w:ind w:firstLine="643" w:firstLineChars="200"/>
        <w:outlineLvl w:val="2"/>
        <w:rPr>
          <w:rFonts w:ascii="仿宋" w:hAnsi="仿宋" w:eastAsia="仿宋"/>
          <w:b/>
          <w:color w:val="000000"/>
          <w:sz w:val="32"/>
          <w:szCs w:val="32"/>
        </w:rPr>
      </w:pPr>
      <w:bookmarkStart w:id="34" w:name="_Toc15377211"/>
      <w:r>
        <w:rPr>
          <w:rFonts w:hint="eastAsia" w:ascii="仿宋" w:hAnsi="仿宋" w:eastAsia="仿宋"/>
          <w:b/>
          <w:color w:val="000000"/>
          <w:sz w:val="32"/>
          <w:szCs w:val="32"/>
        </w:rPr>
        <w:t>（二）一般公共预算财政拨款支出决算结构情况</w:t>
      </w:r>
      <w:bookmarkEnd w:id="34"/>
    </w:p>
    <w:p w14:paraId="1C2DE01A">
      <w:pPr>
        <w:spacing w:line="44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rPr>
        <w:t>1791.19</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一般公共服务（2</w:t>
      </w:r>
      <w:r>
        <w:rPr>
          <w:rFonts w:ascii="仿宋" w:hAnsi="仿宋" w:eastAsia="仿宋"/>
          <w:b/>
          <w:color w:val="000000" w:themeColor="text1"/>
          <w:sz w:val="32"/>
          <w:szCs w:val="32"/>
          <w14:textFill>
            <w14:solidFill>
              <w14:schemeClr w14:val="tx1"/>
            </w14:solidFill>
          </w14:textFill>
        </w:rPr>
        <w:t>01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支出0.5万元，占不到1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教育支出（2</w:t>
      </w:r>
      <w:r>
        <w:rPr>
          <w:rFonts w:ascii="仿宋" w:hAnsi="仿宋" w:eastAsia="仿宋"/>
          <w:b/>
          <w:color w:val="000000" w:themeColor="text1"/>
          <w:sz w:val="32"/>
          <w:szCs w:val="32"/>
          <w14:textFill>
            <w14:solidFill>
              <w14:schemeClr w14:val="tx1"/>
            </w14:solidFill>
          </w14:textFill>
        </w:rPr>
        <w:t>025</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3万元，占0.1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文化旅游体育与传媒（2</w:t>
      </w:r>
      <w:r>
        <w:rPr>
          <w:rFonts w:ascii="仿宋" w:hAnsi="仿宋" w:eastAsia="仿宋"/>
          <w:b/>
          <w:bCs/>
          <w:color w:val="000000" w:themeColor="text1"/>
          <w:sz w:val="32"/>
          <w:szCs w:val="32"/>
          <w14:textFill>
            <w14:solidFill>
              <w14:schemeClr w14:val="tx1"/>
            </w14:solidFill>
          </w14:textFill>
        </w:rPr>
        <w:t>07</w:t>
      </w:r>
      <w:r>
        <w:rPr>
          <w:rFonts w:hint="eastAsia"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支出183.72万元，占10%；</w:t>
      </w:r>
      <w:r>
        <w:rPr>
          <w:rFonts w:hint="eastAsia" w:ascii="仿宋" w:hAnsi="仿宋" w:eastAsia="仿宋"/>
          <w:b/>
          <w:color w:val="000000" w:themeColor="text1"/>
          <w:sz w:val="32"/>
          <w:szCs w:val="32"/>
          <w14:textFill>
            <w14:solidFill>
              <w14:schemeClr w14:val="tx1"/>
            </w14:solidFill>
          </w14:textFill>
        </w:rPr>
        <w:t>社会保障和就业（2</w:t>
      </w:r>
      <w:r>
        <w:rPr>
          <w:rFonts w:ascii="仿宋" w:hAnsi="仿宋" w:eastAsia="仿宋"/>
          <w:b/>
          <w:color w:val="000000" w:themeColor="text1"/>
          <w:sz w:val="32"/>
          <w:szCs w:val="32"/>
          <w14:textFill>
            <w14:solidFill>
              <w14:schemeClr w14:val="tx1"/>
            </w14:solidFill>
          </w14:textFill>
        </w:rPr>
        <w:t>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支出47.62万元，占2.7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ascii="仿宋" w:hAnsi="仿宋" w:eastAsia="仿宋"/>
          <w:b/>
          <w:bCs/>
          <w:color w:val="000000" w:themeColor="text1"/>
          <w:sz w:val="32"/>
          <w:szCs w:val="32"/>
          <w14:textFill>
            <w14:solidFill>
              <w14:schemeClr w14:val="tx1"/>
            </w14:solidFill>
          </w14:textFill>
        </w:rPr>
        <w:t>210</w:t>
      </w:r>
      <w:r>
        <w:rPr>
          <w:rFonts w:hint="eastAsia"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支出24.25万元，占1.4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节能环保(</w:t>
      </w:r>
      <w:r>
        <w:rPr>
          <w:rFonts w:ascii="仿宋" w:hAnsi="仿宋" w:eastAsia="仿宋"/>
          <w:b/>
          <w:bCs/>
          <w:color w:val="000000" w:themeColor="text1"/>
          <w:sz w:val="32"/>
          <w:szCs w:val="32"/>
          <w14:textFill>
            <w14:solidFill>
              <w14:schemeClr w14:val="tx1"/>
            </w14:solidFill>
          </w14:textFill>
        </w:rPr>
        <w:t>211</w:t>
      </w:r>
      <w:r>
        <w:rPr>
          <w:rFonts w:hint="eastAsia"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支出301.28万元，占17%；</w:t>
      </w:r>
      <w:r>
        <w:rPr>
          <w:rFonts w:hint="eastAsia" w:ascii="仿宋" w:hAnsi="仿宋" w:eastAsia="仿宋"/>
          <w:b/>
          <w:bCs/>
          <w:color w:val="000000" w:themeColor="text1"/>
          <w:sz w:val="32"/>
          <w:szCs w:val="32"/>
          <w14:textFill>
            <w14:solidFill>
              <w14:schemeClr w14:val="tx1"/>
            </w14:solidFill>
          </w14:textFill>
        </w:rPr>
        <w:t>住房保障(</w:t>
      </w:r>
      <w:r>
        <w:rPr>
          <w:rFonts w:ascii="仿宋" w:hAnsi="仿宋" w:eastAsia="仿宋"/>
          <w:b/>
          <w:bCs/>
          <w:color w:val="000000" w:themeColor="text1"/>
          <w:sz w:val="32"/>
          <w:szCs w:val="32"/>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33.57万元，占2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农林水(</w:t>
      </w:r>
      <w:r>
        <w:rPr>
          <w:rFonts w:ascii="仿宋" w:hAnsi="仿宋" w:eastAsia="仿宋"/>
          <w:b/>
          <w:bCs/>
          <w:color w:val="000000" w:themeColor="text1"/>
          <w:sz w:val="32"/>
          <w:szCs w:val="32"/>
          <w14:textFill>
            <w14:solidFill>
              <w14:schemeClr w14:val="tx1"/>
            </w14:solidFill>
          </w14:textFill>
        </w:rPr>
        <w:t>213</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1059.71万元，占59%；</w:t>
      </w:r>
      <w:r>
        <w:rPr>
          <w:rFonts w:hint="eastAsia" w:ascii="仿宋" w:hAnsi="仿宋" w:eastAsia="仿宋"/>
          <w:b/>
          <w:bCs/>
          <w:color w:val="000000" w:themeColor="text1"/>
          <w:sz w:val="32"/>
          <w:szCs w:val="32"/>
          <w14:textFill>
            <w14:solidFill>
              <w14:schemeClr w14:val="tx1"/>
            </w14:solidFill>
          </w14:textFill>
        </w:rPr>
        <w:t>商业服务业等(</w:t>
      </w:r>
      <w:r>
        <w:rPr>
          <w:rFonts w:ascii="仿宋" w:hAnsi="仿宋" w:eastAsia="仿宋"/>
          <w:b/>
          <w:bCs/>
          <w:color w:val="000000" w:themeColor="text1"/>
          <w:sz w:val="32"/>
          <w:szCs w:val="32"/>
          <w14:textFill>
            <w14:solidFill>
              <w14:schemeClr w14:val="tx1"/>
            </w14:solidFill>
          </w14:textFill>
        </w:rPr>
        <w:t>216</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139.04万元，占7.8%；</w:t>
      </w:r>
      <w:r>
        <w:rPr>
          <w:rFonts w:hint="eastAsia" w:ascii="仿宋" w:hAnsi="仿宋" w:eastAsia="仿宋"/>
          <w:b/>
          <w:color w:val="000000" w:themeColor="text1"/>
          <w:sz w:val="32"/>
          <w:szCs w:val="32"/>
          <w14:textFill>
            <w14:solidFill>
              <w14:schemeClr w14:val="tx1"/>
            </w14:solidFill>
          </w14:textFill>
        </w:rPr>
        <w:t>（罗列全部功能分类科目，至类级。）</w:t>
      </w:r>
    </w:p>
    <w:p w14:paraId="7F9DC4E9">
      <w:pPr>
        <w:spacing w:line="440" w:lineRule="exact"/>
        <w:ind w:firstLine="643" w:firstLineChars="200"/>
        <w:outlineLvl w:val="2"/>
        <w:rPr>
          <w:rFonts w:ascii="仿宋" w:hAnsi="仿宋" w:eastAsia="仿宋"/>
          <w:b/>
          <w:color w:val="000000"/>
          <w:sz w:val="32"/>
          <w:szCs w:val="32"/>
        </w:rPr>
      </w:pPr>
      <w:bookmarkStart w:id="35" w:name="_Toc15377212"/>
      <w:r>
        <w:rPr>
          <w:rFonts w:hint="eastAsia" w:ascii="仿宋" w:hAnsi="仿宋" w:eastAsia="仿宋"/>
          <w:b/>
          <w:color w:val="000000"/>
          <w:sz w:val="32"/>
          <w:szCs w:val="32"/>
        </w:rPr>
        <w:t>（三）一般公共预算财政拨款支出决算具体情况</w:t>
      </w:r>
      <w:bookmarkEnd w:id="35"/>
    </w:p>
    <w:p w14:paraId="24B5D347">
      <w:pPr>
        <w:spacing w:line="440" w:lineRule="exact"/>
        <w:ind w:firstLine="640" w:firstLineChars="200"/>
        <w:outlineLvl w:val="2"/>
        <w:rPr>
          <w:rFonts w:ascii="仿宋" w:hAnsi="仿宋" w:eastAsia="仿宋"/>
          <w:bCs/>
          <w:color w:val="FF0000"/>
          <w:sz w:val="32"/>
          <w:szCs w:val="32"/>
        </w:rPr>
      </w:pPr>
      <w:bookmarkStart w:id="36" w:name="_Toc15377213"/>
      <w:bookmarkStart w:id="37" w:name="_Toc15377444"/>
      <w:bookmarkStart w:id="38" w:name="_Toc15378460"/>
      <w:r>
        <w:rPr>
          <w:rFonts w:hint="eastAsia" w:ascii="仿宋" w:hAnsi="仿宋" w:eastAsia="仿宋"/>
          <w:bCs/>
          <w:color w:val="000000" w:themeColor="text1"/>
          <w:sz w:val="32"/>
          <w:szCs w:val="32"/>
          <w14:textFill>
            <w14:solidFill>
              <w14:schemeClr w14:val="tx1"/>
            </w14:solidFill>
          </w14:textFill>
        </w:rPr>
        <w:t>2019年般公共预算支出决算数为1791.19万元，</w:t>
      </w:r>
      <w:r>
        <w:rPr>
          <w:rStyle w:val="14"/>
          <w:rFonts w:hint="eastAsia" w:ascii="仿宋" w:hAnsi="仿宋" w:eastAsia="仿宋"/>
          <w:b w:val="0"/>
          <w:bCs/>
          <w:color w:val="000000" w:themeColor="text1"/>
          <w:sz w:val="32"/>
          <w:szCs w:val="32"/>
          <w14:textFill>
            <w14:solidFill>
              <w14:schemeClr w14:val="tx1"/>
            </w14:solidFill>
          </w14:textFill>
        </w:rPr>
        <w:t>完成</w:t>
      </w:r>
      <w:r>
        <w:rPr>
          <w:rStyle w:val="14"/>
          <w:rFonts w:hint="eastAsia" w:ascii="仿宋" w:hAnsi="仿宋" w:eastAsia="仿宋"/>
          <w:b w:val="0"/>
          <w:bCs/>
          <w:color w:val="000000"/>
          <w:sz w:val="32"/>
          <w:szCs w:val="32"/>
        </w:rPr>
        <w:t>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。其中：</w:t>
      </w:r>
      <w:bookmarkEnd w:id="36"/>
      <w:bookmarkEnd w:id="37"/>
      <w:bookmarkEnd w:id="38"/>
    </w:p>
    <w:p w14:paraId="1C3CD5AA">
      <w:pPr>
        <w:spacing w:line="44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1.教育支出205其他教育支出99其他组织事务支出99</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支出决算为3万元，完成预算100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61A151D3">
      <w:pPr>
        <w:spacing w:line="44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2.文化旅游体育与传媒支出207文化和旅游01 其他文化和旅游支出99</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支出决算为182.72万元，完成预算100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06C30EDD">
      <w:pPr>
        <w:spacing w:line="44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3.社会保障和就业208行政事业单位离退休05机关事业单位基本养老保险缴费支出05</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支出决算为34.75万元，</w:t>
      </w:r>
      <w:r>
        <w:rPr>
          <w:rStyle w:val="14"/>
          <w:rFonts w:hint="eastAsia" w:ascii="仿宋" w:hAnsi="仿宋" w:eastAsia="仿宋"/>
          <w:color w:val="000000"/>
          <w:sz w:val="32"/>
          <w:szCs w:val="32"/>
        </w:rPr>
        <w:t>208其他社会保障和就业支出99其他社会保障和就业支出01</w:t>
      </w:r>
      <w:r>
        <w:rPr>
          <w:rStyle w:val="14"/>
          <w:rFonts w:hint="eastAsia" w:ascii="仿宋" w:hAnsi="仿宋" w:eastAsia="仿宋"/>
          <w:b w:val="0"/>
          <w:bCs/>
          <w:color w:val="000000"/>
          <w:sz w:val="32"/>
          <w:szCs w:val="32"/>
        </w:rPr>
        <w:t>支出12.86万元，完成预算100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5FEBB6AB">
      <w:pPr>
        <w:spacing w:line="44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4.卫生健康支出210卫生健康管理事务01 其他卫生健康管理事务支出99：</w:t>
      </w:r>
      <w:r>
        <w:rPr>
          <w:rStyle w:val="14"/>
          <w:rFonts w:hint="eastAsia" w:ascii="仿宋" w:hAnsi="仿宋" w:eastAsia="仿宋"/>
          <w:b w:val="0"/>
          <w:bCs/>
          <w:color w:val="000000"/>
          <w:sz w:val="32"/>
          <w:szCs w:val="32"/>
        </w:rPr>
        <w:t>支出决算为2.62万元，</w:t>
      </w:r>
      <w:r>
        <w:rPr>
          <w:rStyle w:val="14"/>
          <w:rFonts w:hint="eastAsia" w:ascii="仿宋" w:hAnsi="仿宋" w:eastAsia="仿宋"/>
          <w:bCs/>
          <w:color w:val="000000"/>
          <w:sz w:val="32"/>
          <w:szCs w:val="32"/>
        </w:rPr>
        <w:t>行政事业单位医疗11事业单位医疗02</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支出决算为17.22万元，210</w:t>
      </w:r>
      <w:r>
        <w:rPr>
          <w:rStyle w:val="14"/>
          <w:rFonts w:hint="eastAsia" w:ascii="仿宋" w:hAnsi="仿宋" w:eastAsia="仿宋"/>
          <w:bCs/>
          <w:color w:val="000000"/>
          <w:sz w:val="32"/>
          <w:szCs w:val="32"/>
        </w:rPr>
        <w:t>行政事业单位医疗</w:t>
      </w:r>
      <w:r>
        <w:rPr>
          <w:rStyle w:val="14"/>
          <w:rFonts w:hint="eastAsia" w:ascii="仿宋" w:hAnsi="仿宋" w:eastAsia="仿宋"/>
          <w:b w:val="0"/>
          <w:bCs/>
          <w:color w:val="000000"/>
          <w:sz w:val="32"/>
          <w:szCs w:val="32"/>
        </w:rPr>
        <w:t>11其他</w:t>
      </w:r>
      <w:r>
        <w:rPr>
          <w:rStyle w:val="14"/>
          <w:rFonts w:hint="eastAsia" w:ascii="仿宋" w:hAnsi="仿宋" w:eastAsia="仿宋"/>
          <w:bCs/>
          <w:color w:val="000000"/>
          <w:sz w:val="32"/>
          <w:szCs w:val="32"/>
        </w:rPr>
        <w:t>行政事业单位医疗支出</w:t>
      </w:r>
      <w:r>
        <w:rPr>
          <w:rStyle w:val="14"/>
          <w:rFonts w:hint="eastAsia" w:ascii="仿宋" w:hAnsi="仿宋" w:eastAsia="仿宋"/>
          <w:b w:val="0"/>
          <w:bCs/>
          <w:color w:val="000000"/>
          <w:sz w:val="32"/>
          <w:szCs w:val="32"/>
        </w:rPr>
        <w:t>99支出决算4.41万元，完成预算100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7399D5B6">
      <w:pPr>
        <w:spacing w:line="440" w:lineRule="exact"/>
        <w:ind w:firstLine="643" w:firstLineChars="200"/>
        <w:rPr>
          <w:rStyle w:val="14"/>
          <w:rFonts w:ascii="仿宋" w:hAnsi="仿宋" w:eastAsia="仿宋"/>
          <w:b w:val="0"/>
          <w:bCs/>
          <w:color w:val="000000"/>
          <w:sz w:val="32"/>
          <w:szCs w:val="32"/>
        </w:rPr>
      </w:pPr>
      <w:r>
        <w:rPr>
          <w:rFonts w:hint="eastAsia" w:ascii="仿宋" w:hAnsi="仿宋" w:eastAsia="仿宋"/>
          <w:b/>
          <w:bCs/>
          <w:color w:val="000000"/>
          <w:sz w:val="32"/>
          <w:szCs w:val="32"/>
        </w:rPr>
        <w:t>5.节能环保支出211自然生态保护</w:t>
      </w:r>
      <w:r>
        <w:rPr>
          <w:rFonts w:hint="eastAsia" w:ascii="仿宋" w:hAnsi="仿宋" w:eastAsia="仿宋"/>
          <w:color w:val="000000"/>
          <w:sz w:val="32"/>
          <w:szCs w:val="32"/>
        </w:rPr>
        <w:t>04</w:t>
      </w:r>
      <w:r>
        <w:rPr>
          <w:rFonts w:hint="eastAsia" w:ascii="仿宋" w:hAnsi="仿宋" w:eastAsia="仿宋"/>
          <w:b/>
          <w:bCs/>
          <w:color w:val="000000"/>
          <w:sz w:val="32"/>
          <w:szCs w:val="32"/>
        </w:rPr>
        <w:t>生态保护01</w:t>
      </w:r>
      <w:r>
        <w:rPr>
          <w:rFonts w:hint="eastAsia" w:ascii="仿宋" w:hAnsi="仿宋" w:eastAsia="仿宋"/>
          <w:color w:val="000000"/>
          <w:sz w:val="32"/>
          <w:szCs w:val="32"/>
        </w:rPr>
        <w:t>支出决算数为51.86万元，</w:t>
      </w:r>
      <w:r>
        <w:rPr>
          <w:rFonts w:hint="eastAsia" w:ascii="仿宋" w:hAnsi="仿宋" w:eastAsia="仿宋"/>
          <w:b/>
          <w:bCs/>
          <w:color w:val="000000"/>
          <w:sz w:val="32"/>
          <w:szCs w:val="32"/>
        </w:rPr>
        <w:t>211 其他节能环保支出99</w:t>
      </w:r>
      <w:r>
        <w:rPr>
          <w:rFonts w:hint="eastAsia" w:ascii="仿宋" w:hAnsi="仿宋" w:eastAsia="仿宋"/>
          <w:color w:val="000000"/>
          <w:sz w:val="32"/>
          <w:szCs w:val="32"/>
        </w:rPr>
        <w:t xml:space="preserve"> </w:t>
      </w:r>
      <w:r>
        <w:rPr>
          <w:rFonts w:hint="eastAsia" w:ascii="仿宋" w:hAnsi="仿宋" w:eastAsia="仿宋"/>
          <w:b/>
          <w:bCs/>
          <w:color w:val="000000"/>
          <w:sz w:val="32"/>
          <w:szCs w:val="32"/>
        </w:rPr>
        <w:t>其他节能环保支出01</w:t>
      </w:r>
      <w:r>
        <w:rPr>
          <w:rFonts w:hint="eastAsia" w:ascii="仿宋" w:hAnsi="仿宋" w:eastAsia="仿宋"/>
          <w:color w:val="000000"/>
          <w:sz w:val="32"/>
          <w:szCs w:val="32"/>
        </w:rPr>
        <w:t>支出</w:t>
      </w:r>
      <w:r>
        <w:rPr>
          <w:rStyle w:val="14"/>
          <w:rFonts w:hint="eastAsia" w:ascii="仿宋" w:hAnsi="仿宋" w:eastAsia="仿宋"/>
          <w:b w:val="0"/>
          <w:bCs/>
          <w:color w:val="000000"/>
          <w:sz w:val="32"/>
          <w:szCs w:val="32"/>
        </w:rPr>
        <w:t>决算为249.42万元，完成预算100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3CC1868A">
      <w:pPr>
        <w:spacing w:line="440" w:lineRule="exact"/>
        <w:ind w:firstLine="643" w:firstLineChars="200"/>
        <w:rPr>
          <w:rStyle w:val="14"/>
          <w:rFonts w:ascii="仿宋" w:hAnsi="仿宋" w:eastAsia="仿宋"/>
          <w:b w:val="0"/>
          <w:bCs/>
          <w:color w:val="000000"/>
          <w:sz w:val="32"/>
          <w:szCs w:val="32"/>
        </w:rPr>
      </w:pPr>
      <w:r>
        <w:rPr>
          <w:rStyle w:val="14"/>
          <w:rFonts w:hint="eastAsia" w:ascii="仿宋" w:hAnsi="仿宋" w:eastAsia="仿宋"/>
          <w:color w:val="000000"/>
          <w:sz w:val="32"/>
          <w:szCs w:val="32"/>
        </w:rPr>
        <w:t>6.农林水支出213林业和草原02事业机构04</w:t>
      </w:r>
      <w:r>
        <w:rPr>
          <w:rFonts w:hint="eastAsia" w:ascii="仿宋" w:hAnsi="仿宋" w:eastAsia="仿宋"/>
          <w:color w:val="000000"/>
          <w:sz w:val="32"/>
          <w:szCs w:val="32"/>
        </w:rPr>
        <w:t>支出决算数为335.07万元，</w:t>
      </w:r>
      <w:r>
        <w:rPr>
          <w:rFonts w:hint="eastAsia" w:ascii="仿宋" w:hAnsi="仿宋" w:eastAsia="仿宋"/>
          <w:b/>
          <w:bCs/>
          <w:color w:val="000000"/>
          <w:sz w:val="32"/>
          <w:szCs w:val="32"/>
        </w:rPr>
        <w:t>213</w:t>
      </w:r>
      <w:r>
        <w:rPr>
          <w:rStyle w:val="14"/>
          <w:rFonts w:hint="eastAsia" w:ascii="仿宋" w:hAnsi="仿宋" w:eastAsia="仿宋"/>
          <w:bCs/>
          <w:color w:val="000000"/>
          <w:sz w:val="32"/>
          <w:szCs w:val="32"/>
        </w:rPr>
        <w:t>林业和草原</w:t>
      </w:r>
      <w:r>
        <w:rPr>
          <w:rFonts w:hint="eastAsia" w:ascii="仿宋" w:hAnsi="仿宋" w:eastAsia="仿宋"/>
          <w:b/>
          <w:bCs/>
          <w:color w:val="000000"/>
          <w:sz w:val="32"/>
          <w:szCs w:val="32"/>
        </w:rPr>
        <w:t>02 其他林业支出99</w:t>
      </w:r>
      <w:r>
        <w:rPr>
          <w:rFonts w:hint="eastAsia" w:ascii="仿宋" w:hAnsi="仿宋" w:eastAsia="仿宋"/>
          <w:color w:val="000000"/>
          <w:sz w:val="32"/>
          <w:szCs w:val="32"/>
        </w:rPr>
        <w:t>支出</w:t>
      </w:r>
      <w:r>
        <w:rPr>
          <w:rStyle w:val="14"/>
          <w:rFonts w:hint="eastAsia" w:ascii="仿宋" w:hAnsi="仿宋" w:eastAsia="仿宋"/>
          <w:b w:val="0"/>
          <w:bCs/>
          <w:color w:val="000000"/>
          <w:sz w:val="32"/>
          <w:szCs w:val="32"/>
        </w:rPr>
        <w:t>决算为724.64万元。完成预算100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4EC67797">
      <w:pPr>
        <w:spacing w:line="440" w:lineRule="exact"/>
        <w:ind w:firstLine="643" w:firstLineChars="200"/>
        <w:rPr>
          <w:rStyle w:val="14"/>
          <w:rFonts w:ascii="仿宋" w:hAnsi="仿宋" w:eastAsia="仿宋"/>
          <w:b w:val="0"/>
          <w:bCs/>
          <w:color w:val="000000"/>
          <w:sz w:val="32"/>
          <w:szCs w:val="32"/>
        </w:rPr>
      </w:pPr>
      <w:r>
        <w:rPr>
          <w:rStyle w:val="14"/>
          <w:rFonts w:hint="eastAsia" w:ascii="仿宋" w:hAnsi="仿宋" w:eastAsia="仿宋"/>
          <w:color w:val="000000"/>
          <w:sz w:val="32"/>
          <w:szCs w:val="32"/>
        </w:rPr>
        <w:t>7.商业服务业等支出</w:t>
      </w:r>
      <w:r>
        <w:rPr>
          <w:rFonts w:hint="eastAsia" w:ascii="仿宋" w:hAnsi="仿宋" w:eastAsia="仿宋"/>
          <w:b/>
          <w:bCs/>
          <w:color w:val="000000"/>
          <w:sz w:val="32"/>
          <w:szCs w:val="32"/>
        </w:rPr>
        <w:t xml:space="preserve">216其他商业服务业等支出99其他商业服务业等支99 </w:t>
      </w:r>
      <w:r>
        <w:rPr>
          <w:rFonts w:hint="eastAsia" w:ascii="仿宋" w:hAnsi="仿宋" w:eastAsia="仿宋"/>
          <w:color w:val="000000"/>
          <w:sz w:val="32"/>
          <w:szCs w:val="32"/>
        </w:rPr>
        <w:t>出决算数为139.04万元，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2C5329A3">
      <w:pPr>
        <w:spacing w:line="440" w:lineRule="exact"/>
        <w:ind w:firstLine="643" w:firstLineChars="200"/>
        <w:rPr>
          <w:rStyle w:val="14"/>
          <w:rFonts w:ascii="仿宋" w:hAnsi="仿宋" w:eastAsia="仿宋"/>
          <w:b w:val="0"/>
          <w:bCs/>
          <w:color w:val="000000"/>
          <w:sz w:val="32"/>
          <w:szCs w:val="32"/>
        </w:rPr>
      </w:pPr>
      <w:r>
        <w:rPr>
          <w:rStyle w:val="14"/>
          <w:rFonts w:hint="eastAsia" w:ascii="仿宋" w:hAnsi="仿宋" w:eastAsia="仿宋"/>
          <w:color w:val="000000"/>
          <w:sz w:val="32"/>
          <w:szCs w:val="32"/>
        </w:rPr>
        <w:t>8</w:t>
      </w:r>
      <w:r>
        <w:rPr>
          <w:rStyle w:val="14"/>
          <w:rFonts w:hint="eastAsia" w:ascii="仿宋" w:hAnsi="仿宋" w:eastAsia="仿宋"/>
          <w:b w:val="0"/>
          <w:bCs/>
          <w:color w:val="000000"/>
          <w:sz w:val="32"/>
          <w:szCs w:val="32"/>
        </w:rPr>
        <w:t>.</w:t>
      </w:r>
      <w:r>
        <w:rPr>
          <w:rStyle w:val="14"/>
          <w:rFonts w:hint="eastAsia" w:ascii="仿宋" w:hAnsi="仿宋" w:eastAsia="仿宋"/>
          <w:color w:val="000000"/>
          <w:sz w:val="32"/>
          <w:szCs w:val="32"/>
        </w:rPr>
        <w:t>住房保障支出221住房改革支出02住房公积金01</w:t>
      </w:r>
      <w:r>
        <w:rPr>
          <w:rFonts w:hint="eastAsia" w:ascii="仿宋" w:hAnsi="仿宋" w:eastAsia="仿宋"/>
          <w:color w:val="000000"/>
          <w:sz w:val="32"/>
          <w:szCs w:val="32"/>
        </w:rPr>
        <w:t>支出决算数为33.57万元，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0DC6C397">
      <w:pPr>
        <w:spacing w:line="440" w:lineRule="exact"/>
        <w:ind w:firstLine="640" w:firstLineChars="200"/>
        <w:rPr>
          <w:rStyle w:val="14"/>
          <w:rFonts w:ascii="仿宋" w:hAnsi="仿宋" w:eastAsia="仿宋"/>
          <w:b w:val="0"/>
          <w:bCs/>
          <w:color w:val="000000"/>
          <w:sz w:val="32"/>
          <w:szCs w:val="32"/>
        </w:rPr>
      </w:pPr>
    </w:p>
    <w:p w14:paraId="1A1B308E">
      <w:pPr>
        <w:spacing w:line="44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08</w:t>
      </w:r>
      <w:r>
        <w:rPr>
          <w:rFonts w:hint="eastAsia" w:ascii="仿宋" w:hAnsi="仿宋" w:eastAsia="仿宋"/>
          <w:b/>
          <w:color w:val="000000"/>
          <w:sz w:val="32"/>
          <w:szCs w:val="32"/>
        </w:rPr>
        <w:t>表，罗列全部功能分类科目至项级。上述“预算”口径为调整预算数。增减变动原因为决算数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和调整预算数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比较，与预算数持平可以不写原因。）</w:t>
      </w:r>
    </w:p>
    <w:p w14:paraId="310754D0">
      <w:pPr>
        <w:spacing w:line="440" w:lineRule="exact"/>
        <w:ind w:firstLine="640"/>
        <w:rPr>
          <w:rFonts w:ascii="仿宋" w:hAnsi="仿宋" w:eastAsia="仿宋"/>
          <w:b/>
          <w:color w:val="000000"/>
          <w:sz w:val="32"/>
          <w:szCs w:val="32"/>
        </w:rPr>
      </w:pPr>
    </w:p>
    <w:p w14:paraId="0465DD56">
      <w:pPr>
        <w:tabs>
          <w:tab w:val="right" w:pos="8306"/>
        </w:tabs>
        <w:spacing w:line="440" w:lineRule="exact"/>
        <w:ind w:firstLine="640"/>
        <w:outlineLvl w:val="1"/>
        <w:rPr>
          <w:rStyle w:val="25"/>
        </w:rPr>
      </w:pPr>
      <w:bookmarkStart w:id="39" w:name="_Toc15396608"/>
      <w:bookmarkStart w:id="40"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9"/>
      <w:bookmarkEnd w:id="40"/>
      <w:r>
        <w:rPr>
          <w:rStyle w:val="25"/>
          <w:rFonts w:ascii="黑体" w:hAnsi="黑体" w:eastAsia="黑体"/>
          <w:b w:val="0"/>
        </w:rPr>
        <w:tab/>
      </w:r>
    </w:p>
    <w:p w14:paraId="65729EEA">
      <w:pPr>
        <w:spacing w:line="44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430.64万元，其中：人员经费388.46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42.18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4143D35">
      <w:pPr>
        <w:spacing w:line="44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（数据来源财决</w:t>
      </w:r>
      <w:r>
        <w:rPr>
          <w:rFonts w:ascii="仿宋" w:hAnsi="仿宋" w:eastAsia="仿宋"/>
          <w:b/>
          <w:color w:val="000000" w:themeColor="text1"/>
          <w:sz w:val="32"/>
          <w:szCs w:val="32"/>
          <w14:textFill>
            <w14:solidFill>
              <w14:schemeClr w14:val="tx1"/>
            </w14:solidFill>
          </w14:textFill>
        </w:rPr>
        <w:t>0</w:t>
      </w:r>
      <w:r>
        <w:rPr>
          <w:rFonts w:hint="eastAsia" w:ascii="仿宋" w:hAnsi="仿宋" w:eastAsia="仿宋"/>
          <w:b/>
          <w:color w:val="000000" w:themeColor="text1"/>
          <w:sz w:val="32"/>
          <w:szCs w:val="32"/>
          <w14:textFill>
            <w14:solidFill>
              <w14:schemeClr w14:val="tx1"/>
            </w14:solidFill>
          </w14:textFill>
        </w:rPr>
        <w:t>7表，根据本部门实际支出情况罗列全部经济分类科目。）</w:t>
      </w:r>
    </w:p>
    <w:p w14:paraId="30447446">
      <w:pPr>
        <w:spacing w:line="440" w:lineRule="exact"/>
        <w:ind w:firstLine="640"/>
        <w:rPr>
          <w:rFonts w:ascii="仿宋" w:hAnsi="仿宋" w:eastAsia="仿宋"/>
          <w:b/>
          <w:color w:val="FF0000"/>
          <w:sz w:val="32"/>
          <w:szCs w:val="32"/>
        </w:rPr>
      </w:pPr>
    </w:p>
    <w:p w14:paraId="0D96902C">
      <w:pPr>
        <w:spacing w:line="440" w:lineRule="exact"/>
        <w:ind w:firstLine="640"/>
        <w:outlineLvl w:val="1"/>
        <w:rPr>
          <w:rStyle w:val="25"/>
          <w:rFonts w:ascii="黑体" w:hAnsi="黑体" w:eastAsia="黑体"/>
          <w:b w:val="0"/>
        </w:rPr>
      </w:pPr>
      <w:bookmarkStart w:id="41" w:name="_Toc15396609"/>
      <w:bookmarkStart w:id="42"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1"/>
      <w:bookmarkEnd w:id="42"/>
    </w:p>
    <w:p w14:paraId="3755DE9C">
      <w:pPr>
        <w:spacing w:line="440" w:lineRule="exact"/>
        <w:ind w:firstLine="640"/>
        <w:outlineLvl w:val="2"/>
        <w:rPr>
          <w:rFonts w:ascii="仿宋" w:hAnsi="仿宋" w:eastAsia="仿宋"/>
          <w:b/>
          <w:color w:val="000000"/>
          <w:sz w:val="32"/>
          <w:szCs w:val="32"/>
        </w:rPr>
      </w:pPr>
      <w:bookmarkStart w:id="43" w:name="_Toc15377216"/>
      <w:r>
        <w:rPr>
          <w:rFonts w:hint="eastAsia" w:ascii="仿宋" w:hAnsi="仿宋" w:eastAsia="仿宋"/>
          <w:b/>
          <w:color w:val="000000"/>
          <w:sz w:val="32"/>
          <w:szCs w:val="32"/>
        </w:rPr>
        <w:t>（一）“三公”经费财政拨款支出决算总体情况说明</w:t>
      </w:r>
      <w:bookmarkEnd w:id="43"/>
    </w:p>
    <w:p w14:paraId="35542A31">
      <w:pPr>
        <w:spacing w:line="44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9年“三公”经费财政拨款支出决算为7.31万元，完成预算100</w:t>
      </w:r>
      <w:r>
        <w:rPr>
          <w:rFonts w:ascii="仿宋" w:hAnsi="仿宋" w:eastAsia="仿宋"/>
          <w:color w:val="000000"/>
          <w:sz w:val="32"/>
          <w:szCs w:val="32"/>
        </w:rPr>
        <w:t>%</w:t>
      </w:r>
      <w:r>
        <w:rPr>
          <w:rFonts w:hint="eastAsia" w:ascii="仿宋" w:hAnsi="仿宋" w:eastAsia="仿宋"/>
          <w:color w:val="000000"/>
          <w:sz w:val="32"/>
          <w:szCs w:val="32"/>
        </w:rPr>
        <w:t>，决算数大于预算数的主要原因是灾后重建项目工作量增加。</w:t>
      </w:r>
    </w:p>
    <w:p w14:paraId="23897C6C">
      <w:pPr>
        <w:spacing w:line="44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14:textFill>
            <w14:solidFill>
              <w14:schemeClr w14:val="tx1"/>
            </w14:solidFill>
          </w14:textFill>
        </w:rPr>
        <w:t>算数，包括政府性基金支出决算情况。）</w:t>
      </w:r>
    </w:p>
    <w:p w14:paraId="130360D7">
      <w:pPr>
        <w:spacing w:line="440" w:lineRule="exact"/>
        <w:ind w:firstLine="640"/>
        <w:outlineLvl w:val="2"/>
        <w:rPr>
          <w:rFonts w:ascii="仿宋" w:hAnsi="仿宋" w:eastAsia="仿宋"/>
          <w:b/>
          <w:color w:val="000000"/>
          <w:sz w:val="32"/>
          <w:szCs w:val="32"/>
        </w:rPr>
      </w:pPr>
      <w:bookmarkStart w:id="44" w:name="_Toc15377217"/>
      <w:r>
        <w:rPr>
          <w:rFonts w:hint="eastAsia" w:ascii="仿宋" w:hAnsi="仿宋" w:eastAsia="仿宋"/>
          <w:b/>
          <w:color w:val="000000"/>
          <w:sz w:val="32"/>
          <w:szCs w:val="32"/>
        </w:rPr>
        <w:t>（二）“三公”经费财政拨款支出决算具体情况说明</w:t>
      </w:r>
      <w:bookmarkEnd w:id="44"/>
    </w:p>
    <w:p w14:paraId="2CB49F1E">
      <w:pPr>
        <w:spacing w:line="44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；公务用车购置及运行维护费支出决算7.31万元，占100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335657A6">
      <w:pPr>
        <w:spacing w:line="44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 xml:space="preserve">。    </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7.31万元,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8年减少5.32万元，下降42</w:t>
      </w:r>
      <w:r>
        <w:rPr>
          <w:rFonts w:ascii="仿宋_GB2312" w:eastAsia="仿宋_GB2312"/>
          <w:color w:val="000000"/>
          <w:sz w:val="32"/>
          <w:szCs w:val="32"/>
        </w:rPr>
        <w:t>%</w:t>
      </w:r>
      <w:r>
        <w:rPr>
          <w:rFonts w:hint="eastAsia" w:ascii="仿宋_GB2312" w:eastAsia="仿宋_GB2312"/>
          <w:color w:val="000000"/>
          <w:sz w:val="32"/>
          <w:szCs w:val="32"/>
        </w:rPr>
        <w:t>。主要原因是车辆维修费减少。</w:t>
      </w:r>
    </w:p>
    <w:p w14:paraId="45A9197D">
      <w:pPr>
        <w:spacing w:line="44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0万元。全年按规定更新购置公务用车0辆，其中：轿车0辆、金额0万元，越野车0辆、金额0万元，载客汽车0辆、金额0万元，主要用于…。截至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月底，单位共有公务用车3辆，其中：轿车1辆、越野车2辆、载客汽车0辆。</w:t>
      </w:r>
    </w:p>
    <w:p w14:paraId="37AADD14">
      <w:pPr>
        <w:spacing w:line="44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7.31万元。主要用于干部职工下乡精准扶贫、项目查看等所需的公务用车燃料费、维修费、过路过桥费、保险费等支出。</w:t>
      </w:r>
    </w:p>
    <w:p w14:paraId="08633054">
      <w:pPr>
        <w:spacing w:line="440"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35E23C38">
      <w:pPr>
        <w:spacing w:line="44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14:paraId="18AE51DD">
      <w:pPr>
        <w:spacing w:line="44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14:paraId="0B8874D4">
      <w:pPr>
        <w:spacing w:line="440" w:lineRule="exact"/>
        <w:ind w:firstLine="640"/>
        <w:outlineLvl w:val="1"/>
        <w:rPr>
          <w:rFonts w:ascii="黑体" w:eastAsia="黑体"/>
          <w:color w:val="000000"/>
          <w:sz w:val="32"/>
          <w:szCs w:val="32"/>
        </w:rPr>
      </w:pPr>
      <w:bookmarkStart w:id="45" w:name="_Toc15396610"/>
      <w:bookmarkStart w:id="46" w:name="_Toc15377218"/>
    </w:p>
    <w:p w14:paraId="25308791">
      <w:pPr>
        <w:spacing w:line="44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5"/>
      <w:bookmarkEnd w:id="46"/>
    </w:p>
    <w:p w14:paraId="19B88AED">
      <w:pPr>
        <w:spacing w:line="44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7F78E515">
      <w:pPr>
        <w:spacing w:line="440" w:lineRule="exact"/>
        <w:ind w:firstLine="640"/>
        <w:rPr>
          <w:rFonts w:ascii="仿宋_GB2312" w:eastAsia="仿宋_GB2312"/>
          <w:color w:val="000000"/>
          <w:sz w:val="32"/>
          <w:szCs w:val="32"/>
        </w:rPr>
      </w:pPr>
    </w:p>
    <w:p w14:paraId="630F3DB2">
      <w:pPr>
        <w:numPr>
          <w:ilvl w:val="0"/>
          <w:numId w:val="2"/>
        </w:numPr>
        <w:spacing w:line="440" w:lineRule="exact"/>
        <w:ind w:firstLine="640"/>
        <w:outlineLvl w:val="1"/>
        <w:rPr>
          <w:rStyle w:val="25"/>
          <w:rFonts w:ascii="黑体" w:hAnsi="黑体" w:eastAsia="黑体"/>
          <w:b w:val="0"/>
        </w:rPr>
      </w:pPr>
      <w:bookmarkStart w:id="47" w:name="_Toc15377219"/>
      <w:bookmarkStart w:id="48" w:name="_Toc15396611"/>
      <w:r>
        <w:rPr>
          <w:rStyle w:val="25"/>
          <w:rFonts w:hint="eastAsia" w:ascii="黑体" w:hAnsi="黑体" w:eastAsia="黑体"/>
          <w:b w:val="0"/>
        </w:rPr>
        <w:t>国有资本经营预算支出决算情况说明</w:t>
      </w:r>
      <w:bookmarkEnd w:id="47"/>
      <w:bookmarkEnd w:id="48"/>
    </w:p>
    <w:p w14:paraId="61612E5E">
      <w:pPr>
        <w:spacing w:line="44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3AA1CD37">
      <w:pPr>
        <w:pStyle w:val="23"/>
        <w:numPr>
          <w:ilvl w:val="0"/>
          <w:numId w:val="3"/>
        </w:numPr>
        <w:spacing w:line="440" w:lineRule="exact"/>
        <w:ind w:firstLineChars="0"/>
        <w:rPr>
          <w:rStyle w:val="25"/>
          <w:rFonts w:ascii="黑体" w:hAnsi="黑体" w:eastAsia="黑体"/>
          <w:b w:val="0"/>
        </w:rPr>
      </w:pPr>
      <w:r>
        <w:rPr>
          <w:rStyle w:val="25"/>
          <w:rFonts w:hint="eastAsia" w:ascii="黑体" w:hAnsi="黑体" w:eastAsia="黑体"/>
          <w:b w:val="0"/>
        </w:rPr>
        <w:t>预算绩效情况说明</w:t>
      </w:r>
    </w:p>
    <w:p w14:paraId="2C168368">
      <w:pPr>
        <w:numPr>
          <w:ilvl w:val="0"/>
          <w:numId w:val="4"/>
        </w:numPr>
        <w:spacing w:line="44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034D544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项目开展了预算事前绩效评估，对4个项目编制了绩效目标，预算执行过程中，选取4个项目开展绩效监控，年终执行完毕后，对4个项目开展了绩效目标完成情况梳理填报。</w:t>
      </w:r>
    </w:p>
    <w:p w14:paraId="5DA87FDF">
      <w:pPr>
        <w:spacing w:line="440" w:lineRule="exact"/>
        <w:ind w:firstLine="640" w:firstLineChars="200"/>
        <w:rPr>
          <w:rFonts w:eastAsia="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bCs/>
          <w:sz w:val="28"/>
          <w:szCs w:val="28"/>
        </w:rPr>
        <w:t>2019年，我局积极履职，强化管理，较好的完成了年度工作目标。通过加强预算收支管理，不断建立健全内部管理制度，梳理内部管理流程，部门整体支出管理水平得到提升。根据部门整体支出绩效评价指标体系，各项工作有序开展，社会和谐稳定。</w:t>
      </w:r>
      <w:r>
        <w:rPr>
          <w:rFonts w:hint="eastAsia" w:ascii="仿宋_GB2312" w:hAnsi="仿宋_GB2312" w:eastAsia="仿宋_GB2312" w:cs="仿宋_GB2312"/>
          <w:sz w:val="32"/>
          <w:szCs w:val="32"/>
        </w:rPr>
        <w:t>本部门还自行组织了4个项目绩效评价，从评价情况来看各项目</w:t>
      </w:r>
      <w:r>
        <w:rPr>
          <w:rFonts w:hint="eastAsia" w:eastAsia="仿宋_GB2312"/>
          <w:sz w:val="32"/>
          <w:szCs w:val="32"/>
        </w:rPr>
        <w:t>项目有效保障生态建设与保护，维护生态安全、人民群众生命健康，综合评价结果优秀。</w:t>
      </w:r>
    </w:p>
    <w:p w14:paraId="4F407512">
      <w:pPr>
        <w:numPr>
          <w:ilvl w:val="0"/>
          <w:numId w:val="4"/>
        </w:numPr>
        <w:spacing w:line="44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本部门在2019年度部门决算中反映“九寨国家森林公园保护站业务用房及防火基础设施恢复重建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九寨国家森林公园林区道路恢复重建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九寨国家森林公园神仙池管理中心供排水系统恢复重建”等4个项目绩效目标实际完成情况。（本单位部门项目绩效目标个数在5个以上的，选取5个项目进行公开，目标个数在5个以下的，全部进行公开，公开内容包括完成情况综述和完成情况表）。</w:t>
      </w:r>
    </w:p>
    <w:p w14:paraId="64D08B2A">
      <w:pPr>
        <w:spacing w:line="440" w:lineRule="exact"/>
        <w:ind w:firstLine="640" w:firstLineChars="200"/>
        <w:rPr>
          <w:rFonts w:eastAsia="仿宋_GB2312"/>
          <w:sz w:val="32"/>
          <w:szCs w:val="32"/>
        </w:rPr>
      </w:pPr>
      <w:r>
        <w:rPr>
          <w:rFonts w:hint="eastAsia" w:ascii="仿宋_GB2312" w:hAnsi="仿宋_GB2312" w:eastAsia="仿宋_GB2312" w:cs="仿宋_GB2312"/>
          <w:sz w:val="32"/>
          <w:szCs w:val="32"/>
        </w:rPr>
        <w:t>1、九寨国家森林公园保护站业务用房及防火基础设施恢复重建项目绩效目标完成情况综述。项目累计预算数1035万元，累计执行数为751.28万元，完成预算的73%。通过项目实施，</w:t>
      </w:r>
      <w:r>
        <w:rPr>
          <w:rFonts w:hint="eastAsia" w:eastAsia="仿宋_GB2312"/>
          <w:sz w:val="32"/>
          <w:szCs w:val="32"/>
        </w:rPr>
        <w:t>完成维修加固上寺寨保护站467平方米、上寺寨车库159平方米，重建甘海子保护站完成主体建设，重建储备库700平方米及购置设备。有效保障生态建设与保护，维护生态安全、人民群众生命健康，综合评价结果优秀。</w:t>
      </w:r>
      <w:r>
        <w:rPr>
          <w:rFonts w:hint="eastAsia" w:ascii="仿宋_GB2312" w:hAnsi="仿宋_GB2312" w:eastAsia="仿宋_GB2312" w:cs="仿宋_GB2312"/>
          <w:sz w:val="32"/>
          <w:szCs w:val="32"/>
        </w:rPr>
        <w:t>发现的主要问题：</w:t>
      </w:r>
      <w:r>
        <w:rPr>
          <w:rFonts w:hint="eastAsia" w:eastAsia="仿宋_GB2312"/>
          <w:sz w:val="32"/>
          <w:szCs w:val="32"/>
        </w:rPr>
        <w:t>由于天气等自然条件的影响，项目在施工中，存在施工进度较为缓慢的情况。</w:t>
      </w:r>
      <w:r>
        <w:rPr>
          <w:rFonts w:hint="eastAsia" w:ascii="仿宋_GB2312" w:hAnsi="仿宋_GB2312" w:eastAsia="仿宋_GB2312" w:cs="仿宋_GB2312"/>
          <w:sz w:val="32"/>
          <w:szCs w:val="32"/>
        </w:rPr>
        <w:t>下一步改进措施：</w:t>
      </w:r>
      <w:r>
        <w:rPr>
          <w:rFonts w:hint="eastAsia" w:eastAsia="仿宋_GB2312"/>
          <w:sz w:val="32"/>
          <w:szCs w:val="32"/>
        </w:rPr>
        <w:t>在以后的项目规划中，充分考虑天气等客观原因对项目施工的影响，合理规划施工期限。</w:t>
      </w:r>
    </w:p>
    <w:p w14:paraId="38C7ACE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九寨国家森林公园林区道路恢复重建项目绩效目标完成情况综述。项目截止2019年12月累计预算数达870万元，累计执行数为413.28万元，完成预算的48%。通过项目实施，保证林区道路通畅创造灾后重建新的旅游增长，</w:t>
      </w:r>
      <w:r>
        <w:rPr>
          <w:rFonts w:hint="eastAsia" w:ascii="仿宋_GB2312" w:hAnsi="仿宋_GB2312" w:eastAsia="仿宋_GB2312" w:cs="仿宋_GB2312"/>
          <w:color w:val="7F7F7F"/>
          <w:sz w:val="32"/>
          <w:szCs w:val="32"/>
        </w:rPr>
        <w:t>保障人民群众生命健康和维护和谐稳定大局，提高项目区森林防火控制能力</w:t>
      </w:r>
      <w:r>
        <w:rPr>
          <w:rFonts w:hint="eastAsia" w:ascii="仿宋_GB2312" w:hAnsi="仿宋_GB2312" w:eastAsia="仿宋_GB2312" w:cs="仿宋_GB2312"/>
          <w:sz w:val="32"/>
          <w:szCs w:val="32"/>
        </w:rPr>
        <w:t>，为景区的顺利开园提供保障。发现的主要问题：</w:t>
      </w:r>
      <w:r>
        <w:rPr>
          <w:rFonts w:hint="eastAsia" w:eastAsia="仿宋_GB2312"/>
          <w:sz w:val="32"/>
          <w:szCs w:val="32"/>
        </w:rPr>
        <w:t>由于天气等自然条件的影响，项目在施工中，存在施工进度较为缓慢的情况。</w:t>
      </w:r>
      <w:r>
        <w:rPr>
          <w:rFonts w:hint="eastAsia" w:ascii="仿宋_GB2312" w:hAnsi="仿宋_GB2312" w:eastAsia="仿宋_GB2312" w:cs="仿宋_GB2312"/>
          <w:sz w:val="32"/>
          <w:szCs w:val="32"/>
        </w:rPr>
        <w:t>下一步改进措施：</w:t>
      </w:r>
      <w:r>
        <w:rPr>
          <w:rFonts w:hint="eastAsia" w:eastAsia="仿宋_GB2312"/>
          <w:sz w:val="32"/>
          <w:szCs w:val="32"/>
        </w:rPr>
        <w:t>在以后的项目规划中，充分考虑天气等客观原因对项目施工的影响，合理规划施工期限。</w:t>
      </w:r>
    </w:p>
    <w:p w14:paraId="6283F5BD">
      <w:pPr>
        <w:numPr>
          <w:ilvl w:val="0"/>
          <w:numId w:val="5"/>
        </w:num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寨国家森林公园神仙池管理中心供排水系统恢复重建项目绩效目标完成情况综述。项目全年预算数140万元，累计执行数为123.7万元，完成预算的88%，已完成竣工验收。通过项目实施，有效保障生态建设与保护，维护生态安全为宗旨，以切实提高森林防火控制能力，维护园区生态平衡为目标.发现的主要问题：无。下一步改进措施：无</w:t>
      </w:r>
    </w:p>
    <w:p w14:paraId="1B96081C">
      <w:pPr>
        <w:numPr>
          <w:ilvl w:val="0"/>
          <w:numId w:val="5"/>
        </w:num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神仙池生态旅游区建设项目恢复重建项目绩效目标完成情况综述。项目全年预算数2000万元，累计执行数为1327.4万元，完成预算的66%。通过项目实施，有效保障生态建设与保护，维护生态安全为宗旨，以切实提高森林防火控制能力，维护园区生态平衡为目标，发现的主要问题：无。下一步改进措施：无</w:t>
      </w:r>
    </w:p>
    <w:p w14:paraId="1FD87E39">
      <w:pPr>
        <w:spacing w:line="580" w:lineRule="atLeast"/>
        <w:rPr>
          <w:rFonts w:ascii="仿宋_GB2312" w:hAnsi="仿宋_GB2312" w:eastAsia="仿宋_GB2312" w:cs="仿宋_GB2312"/>
          <w:sz w:val="32"/>
          <w:szCs w:val="32"/>
        </w:rPr>
      </w:pPr>
    </w:p>
    <w:p w14:paraId="03BF48B0">
      <w:pPr>
        <w:tabs>
          <w:tab w:val="left" w:pos="312"/>
        </w:tabs>
        <w:spacing w:line="580" w:lineRule="exact"/>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68FE6D6C">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92BC224">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(2019 年度)</w:t>
            </w:r>
          </w:p>
        </w:tc>
      </w:tr>
      <w:tr w14:paraId="28731BDB">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26326D">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497AC1">
            <w:pPr>
              <w:widowControl/>
              <w:jc w:val="center"/>
              <w:textAlignment w:val="center"/>
              <w:rPr>
                <w:rFonts w:ascii="宋体" w:hAnsi="宋体" w:cs="宋体"/>
                <w:color w:val="000000"/>
                <w:sz w:val="24"/>
              </w:rPr>
            </w:pPr>
            <w:r>
              <w:rPr>
                <w:rFonts w:hint="eastAsia" w:eastAsia="仿宋_GB2312"/>
                <w:sz w:val="32"/>
                <w:szCs w:val="32"/>
              </w:rPr>
              <w:t>九寨国家森林公园林区道路恢复重建</w:t>
            </w:r>
          </w:p>
        </w:tc>
      </w:tr>
      <w:tr w14:paraId="0F63716B">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AB8FC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E3AE64">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3D9F1FA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AE9E54">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C77AC2">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18C6E6">
            <w:pPr>
              <w:widowControl/>
              <w:jc w:val="center"/>
              <w:textAlignment w:val="center"/>
              <w:rPr>
                <w:rFonts w:ascii="宋体" w:hAnsi="宋体" w:cs="宋体"/>
                <w:color w:val="000000"/>
                <w:sz w:val="24"/>
              </w:rPr>
            </w:pPr>
            <w:r>
              <w:rPr>
                <w:rFonts w:hint="eastAsia" w:ascii="宋体" w:hAnsi="宋体" w:cs="宋体"/>
                <w:color w:val="000000"/>
                <w:sz w:val="24"/>
              </w:rPr>
              <w:t>870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299A9A">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6A8445">
            <w:pPr>
              <w:widowControl/>
              <w:jc w:val="center"/>
              <w:textAlignment w:val="center"/>
              <w:rPr>
                <w:rFonts w:ascii="宋体" w:hAnsi="宋体" w:cs="宋体"/>
                <w:color w:val="000000"/>
                <w:sz w:val="24"/>
              </w:rPr>
            </w:pPr>
            <w:r>
              <w:rPr>
                <w:rFonts w:hint="eastAsia" w:ascii="宋体" w:hAnsi="宋体" w:cs="宋体"/>
                <w:color w:val="000000"/>
                <w:sz w:val="24"/>
              </w:rPr>
              <w:t>413.28</w:t>
            </w:r>
          </w:p>
        </w:tc>
      </w:tr>
      <w:tr w14:paraId="7C72D4F8">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159C52D">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F65B39">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0DC1A6">
            <w:pPr>
              <w:widowControl/>
              <w:jc w:val="center"/>
              <w:textAlignment w:val="center"/>
              <w:rPr>
                <w:rFonts w:ascii="宋体" w:hAnsi="宋体" w:cs="宋体"/>
                <w:color w:val="000000"/>
                <w:sz w:val="24"/>
              </w:rPr>
            </w:pPr>
            <w:r>
              <w:rPr>
                <w:rFonts w:hint="eastAsia" w:ascii="宋体" w:hAnsi="宋体" w:cs="宋体"/>
                <w:color w:val="000000"/>
                <w:sz w:val="24"/>
              </w:rPr>
              <w:t>870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69F818">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CDB92C">
            <w:pPr>
              <w:widowControl/>
              <w:jc w:val="center"/>
              <w:textAlignment w:val="center"/>
              <w:rPr>
                <w:rFonts w:ascii="宋体" w:hAnsi="宋体" w:cs="宋体"/>
                <w:color w:val="000000"/>
                <w:sz w:val="24"/>
              </w:rPr>
            </w:pPr>
            <w:r>
              <w:rPr>
                <w:rFonts w:hint="eastAsia" w:ascii="宋体" w:hAnsi="宋体" w:cs="宋体"/>
                <w:color w:val="000000"/>
                <w:sz w:val="24"/>
              </w:rPr>
              <w:t>413.28</w:t>
            </w:r>
          </w:p>
        </w:tc>
      </w:tr>
      <w:tr w14:paraId="43505833">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AC5B120">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C011F8">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A2EC90">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FC36A8">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7A3313">
            <w:pPr>
              <w:jc w:val="center"/>
              <w:rPr>
                <w:rFonts w:ascii="宋体" w:hAnsi="宋体" w:cs="宋体"/>
                <w:color w:val="000000"/>
                <w:sz w:val="24"/>
              </w:rPr>
            </w:pPr>
          </w:p>
        </w:tc>
      </w:tr>
      <w:tr w14:paraId="22E9CEDD">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68A083">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FD2739">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CE731D">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4AE69F17">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08E8D3C">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BF8DBE">
            <w:pPr>
              <w:widowControl/>
              <w:jc w:val="center"/>
              <w:textAlignment w:val="center"/>
              <w:rPr>
                <w:rFonts w:ascii="宋体" w:hAnsi="宋体" w:cs="宋体"/>
                <w:color w:val="000000"/>
                <w:sz w:val="24"/>
              </w:rPr>
            </w:pPr>
            <w:r>
              <w:rPr>
                <w:rFonts w:ascii="宋体" w:hAnsi="宋体" w:cs="宋体"/>
                <w:kern w:val="0"/>
                <w:sz w:val="24"/>
              </w:rPr>
              <w:t>1.重建林区道路全长4175米；2.补修水泥混</w:t>
            </w:r>
            <w:r>
              <w:rPr>
                <w:rFonts w:hint="eastAsia" w:ascii="宋体" w:hAnsi="宋体" w:cs="宋体"/>
                <w:kern w:val="0"/>
                <w:sz w:val="24"/>
                <w:lang w:val="en-US" w:eastAsia="zh-CN"/>
              </w:rPr>
              <w:t>凝</w:t>
            </w:r>
            <w:r>
              <w:rPr>
                <w:rFonts w:ascii="宋体" w:hAnsi="宋体" w:cs="宋体"/>
                <w:kern w:val="0"/>
                <w:sz w:val="24"/>
              </w:rPr>
              <w:t>土路面全长1890米；3.重建砾石路面护林防火通道3950米。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E2269C">
            <w:pPr>
              <w:widowControl/>
              <w:jc w:val="center"/>
              <w:textAlignment w:val="center"/>
              <w:rPr>
                <w:rFonts w:ascii="宋体" w:hAnsi="宋体" w:cs="宋体"/>
                <w:color w:val="000000"/>
                <w:sz w:val="24"/>
              </w:rPr>
            </w:pPr>
            <w:r>
              <w:rPr>
                <w:rFonts w:hint="eastAsia" w:ascii="宋体" w:hAnsi="宋体" w:cs="宋体"/>
                <w:kern w:val="0"/>
                <w:sz w:val="24"/>
              </w:rPr>
              <w:t>工程全面进行中</w:t>
            </w:r>
          </w:p>
        </w:tc>
      </w:tr>
      <w:tr w14:paraId="1B950035">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A2B035">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2EA297">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CDB0FC">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5C342C">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F51D5A">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DE0826">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36BD8A72">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675628E">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51708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9AD05E">
            <w:pPr>
              <w:widowControl/>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799048">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ACEE2B">
            <w:pPr>
              <w:jc w:val="center"/>
              <w:rPr>
                <w:rFonts w:ascii="宋体" w:hAnsi="宋体" w:cs="宋体"/>
                <w:color w:val="000000"/>
                <w:sz w:val="24"/>
              </w:rPr>
            </w:pPr>
            <w:r>
              <w:rPr>
                <w:rFonts w:hint="eastAsia"/>
                <w:sz w:val="24"/>
              </w:rPr>
              <w:t>林区道路维修10公里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9DAD2E">
            <w:pPr>
              <w:widowControl/>
              <w:jc w:val="center"/>
              <w:textAlignment w:val="center"/>
              <w:rPr>
                <w:rFonts w:ascii="宋体" w:hAnsi="宋体" w:cs="宋体"/>
                <w:color w:val="000000"/>
                <w:sz w:val="24"/>
              </w:rPr>
            </w:pPr>
          </w:p>
        </w:tc>
      </w:tr>
      <w:tr w14:paraId="7E1D7441">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6D912F8">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B0C07E">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61E455">
            <w:pPr>
              <w:widowControl/>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6C1A69">
            <w:pPr>
              <w:spacing w:line="360"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D99807">
            <w:pPr>
              <w:jc w:val="center"/>
              <w:rPr>
                <w:rFonts w:ascii="宋体" w:hAnsi="宋体" w:eastAsia="仿宋_GB2312" w:cs="宋体"/>
                <w:color w:val="000000"/>
                <w:sz w:val="24"/>
              </w:rPr>
            </w:pPr>
            <w:r>
              <w:rPr>
                <w:rFonts w:hint="eastAsia" w:eastAsia="仿宋_GB2312" w:cs="仿宋_GB2312"/>
                <w:sz w:val="24"/>
              </w:rPr>
              <w:t>2018.5-</w:t>
            </w:r>
            <w:r>
              <w:rPr>
                <w:rFonts w:eastAsia="仿宋_GB2312"/>
                <w:sz w:val="24"/>
              </w:rPr>
              <w:t xml:space="preserve"> </w:t>
            </w:r>
            <w:r>
              <w:rPr>
                <w:rFonts w:hint="eastAsia" w:eastAsia="仿宋_GB2312"/>
                <w:sz w:val="24"/>
              </w:rPr>
              <w:t>2020.9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8D83CA">
            <w:pPr>
              <w:jc w:val="center"/>
              <w:rPr>
                <w:rFonts w:ascii="宋体" w:hAnsi="宋体" w:cs="宋体"/>
                <w:color w:val="000000"/>
                <w:sz w:val="24"/>
              </w:rPr>
            </w:pPr>
          </w:p>
        </w:tc>
      </w:tr>
      <w:tr w14:paraId="12444FA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FB16206">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8C324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E070B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E2DA58">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9706EE">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C0207D">
            <w:pPr>
              <w:widowControl/>
              <w:jc w:val="center"/>
              <w:textAlignment w:val="center"/>
              <w:rPr>
                <w:rFonts w:ascii="宋体" w:hAnsi="宋体" w:cs="宋体"/>
                <w:color w:val="000000"/>
                <w:sz w:val="24"/>
              </w:rPr>
            </w:pPr>
          </w:p>
        </w:tc>
      </w:tr>
      <w:tr w14:paraId="4B09F804">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C91FE5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BECACE">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59FEF7">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D1EE70">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7BCB8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377C34">
            <w:pPr>
              <w:widowControl/>
              <w:jc w:val="center"/>
              <w:textAlignment w:val="center"/>
              <w:rPr>
                <w:rFonts w:ascii="宋体" w:hAnsi="宋体" w:cs="宋体"/>
                <w:color w:val="000000"/>
                <w:sz w:val="24"/>
              </w:rPr>
            </w:pPr>
          </w:p>
        </w:tc>
      </w:tr>
      <w:tr w14:paraId="11971957">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933993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AED2C2">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3C9B9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EAE29B">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450F4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345AF2">
            <w:pPr>
              <w:widowControl/>
              <w:jc w:val="center"/>
              <w:textAlignment w:val="center"/>
              <w:rPr>
                <w:rFonts w:ascii="宋体" w:hAnsi="宋体" w:cs="宋体"/>
                <w:color w:val="000000"/>
                <w:sz w:val="24"/>
              </w:rPr>
            </w:pPr>
          </w:p>
        </w:tc>
      </w:tr>
      <w:tr w14:paraId="6792830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2CD373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76310F">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49F68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3CDA6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DD86C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ECAB4A">
            <w:pPr>
              <w:widowControl/>
              <w:jc w:val="center"/>
              <w:textAlignment w:val="center"/>
              <w:rPr>
                <w:rFonts w:ascii="宋体" w:hAnsi="宋体" w:cs="宋体"/>
                <w:color w:val="000000"/>
                <w:sz w:val="24"/>
              </w:rPr>
            </w:pPr>
          </w:p>
        </w:tc>
      </w:tr>
      <w:tr w14:paraId="5FEB53E3">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F871FA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C8C078">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960286">
            <w:pPr>
              <w:spacing w:line="360" w:lineRule="exact"/>
              <w:jc w:val="center"/>
              <w:rPr>
                <w:rFonts w:eastAsia="仿宋_GB2312"/>
                <w:sz w:val="24"/>
              </w:rPr>
            </w:pPr>
            <w:r>
              <w:rPr>
                <w:rFonts w:hint="eastAsia" w:eastAsia="仿宋_GB2312" w:cs="仿宋_GB2312"/>
                <w:sz w:val="24"/>
              </w:rPr>
              <w:t>经济效益</w:t>
            </w:r>
          </w:p>
          <w:p w14:paraId="59E6DE87">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5620D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B253E3">
            <w:pPr>
              <w:widowControl/>
              <w:jc w:val="center"/>
              <w:textAlignment w:val="center"/>
              <w:rPr>
                <w:rFonts w:ascii="宋体" w:hAnsi="宋体" w:cs="宋体"/>
                <w:color w:val="000000"/>
                <w:sz w:val="24"/>
              </w:rPr>
            </w:pPr>
            <w:r>
              <w:rPr>
                <w:rFonts w:hint="eastAsia"/>
                <w:color w:val="7F7F7F"/>
              </w:rPr>
              <w:t>提高九寨沟县生态旅游竞争力、促进经济社会可持续发展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6C1EB2">
            <w:pPr>
              <w:widowControl/>
              <w:jc w:val="center"/>
              <w:textAlignment w:val="center"/>
              <w:rPr>
                <w:rFonts w:ascii="宋体" w:hAnsi="宋体" w:cs="宋体"/>
                <w:color w:val="000000"/>
                <w:sz w:val="24"/>
              </w:rPr>
            </w:pPr>
          </w:p>
        </w:tc>
      </w:tr>
      <w:tr w14:paraId="35431484">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336000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B1A797">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9F3945">
            <w:pPr>
              <w:spacing w:line="360" w:lineRule="exact"/>
              <w:jc w:val="center"/>
              <w:rPr>
                <w:rFonts w:eastAsia="仿宋_GB2312"/>
                <w:sz w:val="24"/>
              </w:rPr>
            </w:pPr>
            <w:r>
              <w:rPr>
                <w:rFonts w:hint="eastAsia" w:eastAsia="仿宋_GB2312" w:cs="仿宋_GB2312"/>
                <w:sz w:val="24"/>
              </w:rPr>
              <w:t>社会效益</w:t>
            </w:r>
          </w:p>
          <w:p w14:paraId="74A515B4">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830E1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B2F5CB">
            <w:pPr>
              <w:spacing w:line="360" w:lineRule="exact"/>
              <w:jc w:val="center"/>
              <w:rPr>
                <w:rFonts w:ascii="宋体" w:hAnsi="宋体" w:cs="宋体"/>
                <w:color w:val="000000"/>
                <w:sz w:val="24"/>
              </w:rPr>
            </w:pPr>
            <w:r>
              <w:rPr>
                <w:rFonts w:hint="eastAsia"/>
                <w:color w:val="7F7F7F"/>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3A1C25">
            <w:pPr>
              <w:widowControl/>
              <w:jc w:val="center"/>
              <w:textAlignment w:val="center"/>
              <w:rPr>
                <w:rFonts w:ascii="宋体" w:hAnsi="宋体" w:cs="宋体"/>
                <w:color w:val="000000"/>
                <w:sz w:val="24"/>
              </w:rPr>
            </w:pPr>
          </w:p>
        </w:tc>
      </w:tr>
      <w:tr w14:paraId="2D0E6AD3">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504C238">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2B73CC">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501121">
            <w:pPr>
              <w:spacing w:line="360" w:lineRule="exact"/>
              <w:jc w:val="center"/>
              <w:rPr>
                <w:rFonts w:eastAsia="仿宋_GB2312"/>
                <w:sz w:val="24"/>
              </w:rPr>
            </w:pPr>
            <w:r>
              <w:rPr>
                <w:rFonts w:hint="eastAsia" w:eastAsia="仿宋_GB2312" w:cs="仿宋_GB2312"/>
                <w:sz w:val="24"/>
              </w:rPr>
              <w:t>生态效益</w:t>
            </w:r>
          </w:p>
          <w:p w14:paraId="3831A1B3">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64CDC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AAEA6C">
            <w:pPr>
              <w:spacing w:line="360" w:lineRule="exact"/>
              <w:jc w:val="center"/>
              <w:rPr>
                <w:rFonts w:ascii="宋体" w:hAnsi="宋体" w:cs="宋体"/>
                <w:color w:val="000000"/>
                <w:sz w:val="24"/>
              </w:rPr>
            </w:pPr>
            <w:r>
              <w:rPr>
                <w:rFonts w:hint="eastAsia"/>
                <w:color w:val="7F7F7F"/>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A5EF6">
            <w:pPr>
              <w:widowControl/>
              <w:jc w:val="center"/>
              <w:textAlignment w:val="center"/>
              <w:rPr>
                <w:rFonts w:ascii="宋体" w:hAnsi="宋体" w:cs="宋体"/>
                <w:color w:val="000000"/>
                <w:sz w:val="24"/>
              </w:rPr>
            </w:pPr>
          </w:p>
        </w:tc>
      </w:tr>
      <w:tr w14:paraId="0848B70E">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632086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898DFA">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B80E47">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ECDBBF">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760F9A">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4C1DC0">
            <w:pPr>
              <w:widowControl/>
              <w:jc w:val="center"/>
              <w:textAlignment w:val="center"/>
              <w:rPr>
                <w:rFonts w:ascii="宋体" w:hAnsi="宋体" w:cs="宋体"/>
                <w:color w:val="000000"/>
                <w:sz w:val="24"/>
              </w:rPr>
            </w:pPr>
            <w:r>
              <w:rPr>
                <w:rFonts w:hint="eastAsia" w:ascii="宋体" w:hAnsi="宋体" w:cs="宋体"/>
                <w:color w:val="000000"/>
                <w:sz w:val="24"/>
              </w:rPr>
              <w:t>满意</w:t>
            </w:r>
          </w:p>
        </w:tc>
      </w:tr>
    </w:tbl>
    <w:p w14:paraId="16E2C377">
      <w:pPr>
        <w:rPr>
          <w:rFonts w:ascii="Calibri" w:hAnsi="Calibri"/>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32CE787">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417E355">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(2019年度)</w:t>
            </w:r>
          </w:p>
        </w:tc>
      </w:tr>
      <w:tr w14:paraId="7009318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F45FDD">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BE7F25">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九寨国家森林公园保护站业务用房及防火基础设施恢复重建项目</w:t>
            </w:r>
          </w:p>
        </w:tc>
      </w:tr>
      <w:tr w14:paraId="3B16F4FD">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072EC6">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6F5D0A">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5498B424">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F35A7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3354C4">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73B09">
            <w:pPr>
              <w:widowControl/>
              <w:jc w:val="center"/>
              <w:textAlignment w:val="center"/>
              <w:rPr>
                <w:rFonts w:ascii="宋体" w:hAnsi="宋体" w:cs="宋体"/>
                <w:color w:val="000000"/>
                <w:sz w:val="24"/>
              </w:rPr>
            </w:pPr>
            <w:r>
              <w:rPr>
                <w:rFonts w:hint="eastAsia" w:ascii="宋体" w:hAnsi="宋体" w:cs="宋体"/>
                <w:color w:val="000000"/>
                <w:sz w:val="24"/>
              </w:rPr>
              <w:t>1035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72E8EF">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01EEA4">
            <w:pPr>
              <w:widowControl/>
              <w:jc w:val="center"/>
              <w:textAlignment w:val="center"/>
              <w:rPr>
                <w:rFonts w:ascii="宋体" w:hAnsi="宋体" w:cs="宋体"/>
                <w:color w:val="000000"/>
                <w:sz w:val="24"/>
              </w:rPr>
            </w:pPr>
            <w:r>
              <w:rPr>
                <w:rFonts w:hint="eastAsia" w:ascii="宋体" w:hAnsi="宋体" w:cs="宋体"/>
                <w:color w:val="000000"/>
                <w:sz w:val="24"/>
              </w:rPr>
              <w:t>751.25</w:t>
            </w:r>
          </w:p>
        </w:tc>
      </w:tr>
      <w:tr w14:paraId="41B01AD6">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C54115C">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57DD87">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778CE1">
            <w:pPr>
              <w:widowControl/>
              <w:jc w:val="center"/>
              <w:textAlignment w:val="center"/>
              <w:rPr>
                <w:rFonts w:ascii="宋体" w:hAnsi="宋体" w:cs="宋体"/>
                <w:color w:val="000000"/>
                <w:sz w:val="24"/>
              </w:rPr>
            </w:pPr>
            <w:r>
              <w:rPr>
                <w:rFonts w:hint="eastAsia" w:ascii="宋体" w:hAnsi="宋体" w:cs="宋体"/>
                <w:color w:val="000000"/>
                <w:sz w:val="24"/>
              </w:rPr>
              <w:t>1035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560219">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BBF7B4">
            <w:pPr>
              <w:widowControl/>
              <w:jc w:val="center"/>
              <w:textAlignment w:val="center"/>
              <w:rPr>
                <w:rFonts w:ascii="宋体" w:hAnsi="宋体" w:cs="宋体"/>
                <w:color w:val="000000"/>
                <w:sz w:val="24"/>
              </w:rPr>
            </w:pPr>
            <w:r>
              <w:rPr>
                <w:rFonts w:hint="eastAsia" w:ascii="宋体" w:hAnsi="宋体" w:cs="宋体"/>
                <w:color w:val="000000"/>
                <w:sz w:val="24"/>
              </w:rPr>
              <w:t>7510.25</w:t>
            </w:r>
          </w:p>
        </w:tc>
      </w:tr>
      <w:tr w14:paraId="5C42EE7A">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C91FF47">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1FD1FA">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809F98">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41FF4B">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147058">
            <w:pPr>
              <w:jc w:val="center"/>
              <w:rPr>
                <w:rFonts w:ascii="宋体" w:hAnsi="宋体" w:cs="宋体"/>
                <w:color w:val="000000"/>
                <w:sz w:val="24"/>
              </w:rPr>
            </w:pPr>
          </w:p>
        </w:tc>
      </w:tr>
      <w:tr w14:paraId="08CF9EF1">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BC2F2B">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197BAF">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144403">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14CB5CD4">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9AE72E">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428E74">
            <w:pPr>
              <w:widowControl/>
              <w:jc w:val="center"/>
              <w:textAlignment w:val="center"/>
              <w:rPr>
                <w:rFonts w:ascii="宋体" w:hAnsi="宋体" w:cs="宋体"/>
                <w:color w:val="000000"/>
                <w:sz w:val="24"/>
              </w:rPr>
            </w:pPr>
            <w:r>
              <w:rPr>
                <w:rFonts w:ascii="宋体" w:hAnsi="宋体" w:cs="宋体"/>
                <w:kern w:val="0"/>
                <w:sz w:val="24"/>
              </w:rPr>
              <w:t>1、维修加固上寺寨保护站467平方米、上寺寨车库159平方米；重建甘海子保护站1400平方米。2、重建储备库700平方米及购置设备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53E00C">
            <w:pPr>
              <w:widowControl/>
              <w:jc w:val="center"/>
              <w:textAlignment w:val="center"/>
              <w:rPr>
                <w:rFonts w:ascii="宋体" w:hAnsi="宋体" w:cs="宋体"/>
                <w:color w:val="000000"/>
                <w:sz w:val="24"/>
              </w:rPr>
            </w:pPr>
            <w:r>
              <w:rPr>
                <w:rFonts w:hint="eastAsia" w:ascii="宋体" w:hAnsi="宋体" w:cs="宋体"/>
                <w:kern w:val="0"/>
                <w:sz w:val="24"/>
              </w:rPr>
              <w:t>已完成一下项目的80%</w:t>
            </w:r>
            <w:r>
              <w:rPr>
                <w:rFonts w:ascii="宋体" w:hAnsi="宋体" w:cs="宋体"/>
                <w:kern w:val="0"/>
                <w:sz w:val="24"/>
              </w:rPr>
              <w:t>1、维修加固上寺寨保护站467平方米、上寺寨车库159平方米；重建甘海子保护站</w:t>
            </w:r>
            <w:r>
              <w:rPr>
                <w:rFonts w:hint="eastAsia" w:ascii="宋体" w:hAnsi="宋体" w:cs="宋体"/>
                <w:kern w:val="0"/>
                <w:sz w:val="24"/>
              </w:rPr>
              <w:t>完成主体建设。</w:t>
            </w:r>
            <w:r>
              <w:rPr>
                <w:rFonts w:ascii="宋体" w:hAnsi="宋体" w:cs="宋体"/>
                <w:kern w:val="0"/>
                <w:sz w:val="24"/>
              </w:rPr>
              <w:t>2、重建储备库700平方米及购置设备</w:t>
            </w:r>
            <w:r>
              <w:rPr>
                <w:rFonts w:hint="eastAsia" w:ascii="宋体" w:hAnsi="宋体" w:cs="宋体"/>
                <w:kern w:val="0"/>
                <w:sz w:val="24"/>
              </w:rPr>
              <w:t>。</w:t>
            </w:r>
          </w:p>
        </w:tc>
      </w:tr>
      <w:tr w14:paraId="6FA71B65">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3F8D6F">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A2FC61">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DFE01">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06B54D">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16BC6D">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8B9601">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31F6C902">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EE19E94">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061E93">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EB4F1C">
            <w:pPr>
              <w:widowControl/>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C0780F">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D54319">
            <w:pPr>
              <w:widowControl/>
              <w:jc w:val="center"/>
              <w:textAlignment w:val="center"/>
              <w:rPr>
                <w:rFonts w:ascii="宋体" w:hAnsi="宋体" w:cs="宋体"/>
                <w:color w:val="000000"/>
                <w:sz w:val="24"/>
              </w:rPr>
            </w:pPr>
            <w:r>
              <w:rPr>
                <w:rFonts w:ascii="宋体" w:hAnsi="宋体" w:cs="宋体"/>
                <w:kern w:val="0"/>
                <w:sz w:val="24"/>
              </w:rPr>
              <w:t>维修加固上寺寨保护站467平方米、上寺寨车库159平方米</w:t>
            </w:r>
            <w:r>
              <w:rPr>
                <w:rFonts w:hint="eastAsia" w:ascii="宋体" w:hAnsi="宋体" w:cs="宋体"/>
                <w:kern w:val="0"/>
                <w:sz w:val="24"/>
              </w:rPr>
              <w:t>、</w:t>
            </w:r>
            <w:r>
              <w:rPr>
                <w:rFonts w:ascii="宋体" w:hAnsi="宋体" w:cs="宋体"/>
                <w:kern w:val="0"/>
                <w:sz w:val="24"/>
              </w:rPr>
              <w:t>神仙池保护站400平方米</w:t>
            </w:r>
            <w:r>
              <w:rPr>
                <w:rFonts w:hint="eastAsia" w:ascii="宋体" w:hAnsi="宋体" w:cs="宋体"/>
                <w:kern w:val="0"/>
                <w:sz w:val="24"/>
              </w:rPr>
              <w:t>。</w:t>
            </w:r>
            <w:r>
              <w:rPr>
                <w:rFonts w:ascii="宋体" w:hAnsi="宋体" w:cs="宋体"/>
                <w:kern w:val="0"/>
                <w:sz w:val="24"/>
              </w:rPr>
              <w:t>重建甘海子保护站1400平方米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B980F8">
            <w:pPr>
              <w:widowControl/>
              <w:jc w:val="center"/>
              <w:textAlignment w:val="center"/>
              <w:rPr>
                <w:rFonts w:ascii="宋体" w:hAnsi="宋体" w:cs="宋体"/>
                <w:color w:val="000000"/>
                <w:sz w:val="24"/>
              </w:rPr>
            </w:pPr>
            <w:r>
              <w:rPr>
                <w:rFonts w:hint="eastAsia" w:ascii="宋体" w:hAnsi="宋体" w:cs="宋体"/>
                <w:kern w:val="0"/>
                <w:sz w:val="24"/>
              </w:rPr>
              <w:t>完成</w:t>
            </w:r>
            <w:r>
              <w:rPr>
                <w:rFonts w:ascii="宋体" w:hAnsi="宋体" w:cs="宋体"/>
                <w:kern w:val="0"/>
                <w:sz w:val="24"/>
              </w:rPr>
              <w:t>上寺寨保护站、上寺寨车库维修加固</w:t>
            </w:r>
            <w:r>
              <w:rPr>
                <w:rFonts w:hint="eastAsia" w:ascii="宋体" w:hAnsi="宋体" w:cs="宋体"/>
                <w:kern w:val="0"/>
                <w:sz w:val="24"/>
              </w:rPr>
              <w:t>。</w:t>
            </w:r>
            <w:r>
              <w:rPr>
                <w:rFonts w:ascii="宋体" w:hAnsi="宋体" w:cs="宋体"/>
                <w:kern w:val="0"/>
                <w:sz w:val="24"/>
              </w:rPr>
              <w:t>重建甘海子保护站</w:t>
            </w:r>
            <w:r>
              <w:rPr>
                <w:rFonts w:hint="eastAsia" w:ascii="宋体" w:hAnsi="宋体" w:cs="宋体"/>
                <w:kern w:val="0"/>
                <w:sz w:val="24"/>
              </w:rPr>
              <w:t>完成主体建设</w:t>
            </w:r>
          </w:p>
        </w:tc>
      </w:tr>
      <w:tr w14:paraId="4EAAC357">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13414BA">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73C97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551B99">
            <w:pPr>
              <w:widowControl/>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4F997E">
            <w:pPr>
              <w:spacing w:line="360"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5577D6">
            <w:pPr>
              <w:jc w:val="center"/>
              <w:rPr>
                <w:rFonts w:ascii="宋体" w:hAnsi="宋体" w:cs="宋体"/>
                <w:color w:val="000000"/>
                <w:sz w:val="24"/>
              </w:rPr>
            </w:pPr>
            <w:r>
              <w:rPr>
                <w:rFonts w:hint="eastAsia" w:eastAsia="仿宋_GB2312" w:cs="仿宋_GB2312"/>
                <w:sz w:val="24"/>
              </w:rPr>
              <w:t>2018.</w:t>
            </w:r>
            <w:r>
              <w:rPr>
                <w:rFonts w:hint="eastAsia" w:eastAsia="仿宋_GB2312"/>
                <w:sz w:val="24"/>
              </w:rPr>
              <w:t>2</w:t>
            </w:r>
            <w:r>
              <w:rPr>
                <w:rFonts w:hint="eastAsia" w:eastAsia="仿宋_GB2312" w:cs="仿宋_GB2312"/>
                <w:sz w:val="24"/>
              </w:rPr>
              <w:t>-</w:t>
            </w:r>
            <w:r>
              <w:rPr>
                <w:rFonts w:eastAsia="仿宋_GB2312"/>
                <w:sz w:val="24"/>
              </w:rPr>
              <w:t xml:space="preserve"> </w:t>
            </w:r>
            <w:r>
              <w:rPr>
                <w:rFonts w:hint="eastAsia" w:eastAsia="仿宋_GB2312"/>
                <w:sz w:val="24"/>
              </w:rPr>
              <w:t>2020.</w:t>
            </w:r>
            <w:r>
              <w:rPr>
                <w:rFonts w:eastAsia="仿宋_GB2312"/>
                <w:sz w:val="24"/>
              </w:rPr>
              <w:t xml:space="preserve"> </w:t>
            </w:r>
            <w:r>
              <w:rPr>
                <w:rFonts w:hint="eastAsia" w:eastAsia="仿宋_GB2312"/>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BB7888">
            <w:pPr>
              <w:jc w:val="center"/>
              <w:rPr>
                <w:rFonts w:ascii="宋体" w:hAnsi="宋体" w:cs="宋体"/>
                <w:color w:val="000000"/>
                <w:sz w:val="24"/>
              </w:rPr>
            </w:pPr>
            <w:r>
              <w:rPr>
                <w:rFonts w:hint="eastAsia" w:eastAsia="仿宋_GB2312"/>
                <w:sz w:val="24"/>
              </w:rPr>
              <w:t>按时完成</w:t>
            </w:r>
          </w:p>
        </w:tc>
      </w:tr>
      <w:tr w14:paraId="7C62447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0B7E0FF">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BACB8F">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B74A12">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3CC46F">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1E6F8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786700">
            <w:pPr>
              <w:widowControl/>
              <w:jc w:val="center"/>
              <w:textAlignment w:val="center"/>
              <w:rPr>
                <w:rFonts w:ascii="宋体" w:hAnsi="宋体" w:cs="宋体"/>
                <w:color w:val="000000"/>
                <w:sz w:val="24"/>
              </w:rPr>
            </w:pPr>
          </w:p>
        </w:tc>
      </w:tr>
      <w:tr w14:paraId="1157CBD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13EB391">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E500A8">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4A009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B97765">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1E45C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81D53A">
            <w:pPr>
              <w:widowControl/>
              <w:jc w:val="center"/>
              <w:textAlignment w:val="center"/>
              <w:rPr>
                <w:rFonts w:ascii="宋体" w:hAnsi="宋体" w:cs="宋体"/>
                <w:color w:val="000000"/>
                <w:sz w:val="24"/>
              </w:rPr>
            </w:pPr>
          </w:p>
        </w:tc>
      </w:tr>
      <w:tr w14:paraId="5D11A69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6C13084">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7E31E1">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33809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DF0FCC">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DD62E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7A3370">
            <w:pPr>
              <w:widowControl/>
              <w:jc w:val="center"/>
              <w:textAlignment w:val="center"/>
              <w:rPr>
                <w:rFonts w:ascii="宋体" w:hAnsi="宋体" w:cs="宋体"/>
                <w:color w:val="000000"/>
                <w:sz w:val="24"/>
              </w:rPr>
            </w:pPr>
          </w:p>
        </w:tc>
      </w:tr>
      <w:tr w14:paraId="40465105">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8801AF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3CD84F">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0CFD7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47026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D701F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DD8F86">
            <w:pPr>
              <w:widowControl/>
              <w:jc w:val="center"/>
              <w:textAlignment w:val="center"/>
              <w:rPr>
                <w:rFonts w:ascii="宋体" w:hAnsi="宋体" w:cs="宋体"/>
                <w:color w:val="000000"/>
                <w:sz w:val="24"/>
              </w:rPr>
            </w:pPr>
          </w:p>
        </w:tc>
      </w:tr>
      <w:tr w14:paraId="5796AFB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7798B7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AFB087">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11D759">
            <w:pPr>
              <w:spacing w:line="360" w:lineRule="exact"/>
              <w:jc w:val="center"/>
              <w:rPr>
                <w:rFonts w:eastAsia="仿宋_GB2312"/>
                <w:sz w:val="24"/>
              </w:rPr>
            </w:pPr>
            <w:r>
              <w:rPr>
                <w:rFonts w:hint="eastAsia" w:eastAsia="仿宋_GB2312" w:cs="仿宋_GB2312"/>
                <w:sz w:val="24"/>
              </w:rPr>
              <w:t>经济效益</w:t>
            </w:r>
          </w:p>
          <w:p w14:paraId="4FFBB774">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32764D">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EFA654">
            <w:pPr>
              <w:widowControl/>
              <w:jc w:val="center"/>
              <w:textAlignment w:val="center"/>
              <w:rPr>
                <w:rFonts w:ascii="宋体" w:hAnsi="宋体" w:cs="宋体"/>
                <w:color w:val="000000"/>
                <w:sz w:val="24"/>
              </w:rPr>
            </w:pPr>
            <w:r>
              <w:rPr>
                <w:rFonts w:hint="eastAsia"/>
                <w:color w:val="7F7F7F"/>
              </w:rPr>
              <w:t>提高九寨沟县生态旅游竞争力、促进经济社会可持续发展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CCB3E3">
            <w:pPr>
              <w:widowControl/>
              <w:jc w:val="center"/>
              <w:textAlignment w:val="center"/>
              <w:rPr>
                <w:rFonts w:ascii="宋体" w:hAnsi="宋体" w:cs="宋体"/>
                <w:color w:val="000000"/>
                <w:sz w:val="24"/>
              </w:rPr>
            </w:pPr>
            <w:r>
              <w:rPr>
                <w:rFonts w:hint="eastAsia" w:eastAsia="仿宋_GB2312"/>
                <w:sz w:val="24"/>
              </w:rPr>
              <w:t>有效保障</w:t>
            </w:r>
            <w:r>
              <w:rPr>
                <w:rFonts w:hint="eastAsia"/>
                <w:color w:val="7F7F7F"/>
              </w:rPr>
              <w:t>生态建设与保护，维护生态安全</w:t>
            </w:r>
          </w:p>
        </w:tc>
      </w:tr>
      <w:tr w14:paraId="6EF2754B">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2A3BD90">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C5A12E">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61DEEE">
            <w:pPr>
              <w:spacing w:line="360" w:lineRule="exact"/>
              <w:jc w:val="center"/>
              <w:rPr>
                <w:rFonts w:eastAsia="仿宋_GB2312"/>
                <w:sz w:val="24"/>
              </w:rPr>
            </w:pPr>
            <w:r>
              <w:rPr>
                <w:rFonts w:hint="eastAsia" w:eastAsia="仿宋_GB2312" w:cs="仿宋_GB2312"/>
                <w:sz w:val="24"/>
              </w:rPr>
              <w:t>社会效益</w:t>
            </w:r>
          </w:p>
          <w:p w14:paraId="6B46ED09">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0D6DA5">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972191">
            <w:pPr>
              <w:spacing w:line="360" w:lineRule="exact"/>
              <w:jc w:val="center"/>
              <w:rPr>
                <w:rFonts w:ascii="宋体" w:hAnsi="宋体" w:cs="宋体"/>
                <w:color w:val="000000"/>
                <w:sz w:val="24"/>
              </w:rPr>
            </w:pPr>
            <w:r>
              <w:rPr>
                <w:rFonts w:hint="eastAsia"/>
                <w:color w:val="7F7F7F"/>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2F2C7B">
            <w:pPr>
              <w:widowControl/>
              <w:jc w:val="center"/>
              <w:textAlignment w:val="center"/>
              <w:rPr>
                <w:rFonts w:ascii="宋体" w:hAnsi="宋体" w:cs="宋体"/>
                <w:color w:val="000000"/>
                <w:sz w:val="24"/>
              </w:rPr>
            </w:pPr>
            <w:r>
              <w:rPr>
                <w:rFonts w:hint="eastAsia" w:eastAsia="仿宋_GB2312"/>
                <w:sz w:val="24"/>
              </w:rPr>
              <w:t>有效保障</w:t>
            </w:r>
            <w:r>
              <w:rPr>
                <w:rFonts w:hint="eastAsia"/>
                <w:color w:val="7F7F7F"/>
              </w:rPr>
              <w:t>人民群众生命健康和维护和谐稳定</w:t>
            </w:r>
          </w:p>
        </w:tc>
      </w:tr>
      <w:tr w14:paraId="70E677AD">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58A22D6">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4E51C7">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10CB93">
            <w:pPr>
              <w:spacing w:line="360" w:lineRule="exact"/>
              <w:jc w:val="center"/>
              <w:rPr>
                <w:rFonts w:eastAsia="仿宋_GB2312"/>
                <w:sz w:val="24"/>
              </w:rPr>
            </w:pPr>
            <w:r>
              <w:rPr>
                <w:rFonts w:hint="eastAsia" w:eastAsia="仿宋_GB2312" w:cs="仿宋_GB2312"/>
                <w:sz w:val="24"/>
              </w:rPr>
              <w:t>生态效益</w:t>
            </w:r>
          </w:p>
          <w:p w14:paraId="6EBD17B0">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C267CE">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412280">
            <w:pPr>
              <w:spacing w:line="360" w:lineRule="exact"/>
              <w:jc w:val="center"/>
              <w:rPr>
                <w:rFonts w:ascii="宋体" w:hAnsi="宋体" w:cs="宋体"/>
                <w:color w:val="000000"/>
                <w:sz w:val="24"/>
              </w:rPr>
            </w:pPr>
            <w:r>
              <w:rPr>
                <w:rFonts w:hint="eastAsia"/>
                <w:color w:val="7F7F7F"/>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3C5121">
            <w:pPr>
              <w:widowControl/>
              <w:jc w:val="center"/>
              <w:textAlignment w:val="center"/>
              <w:rPr>
                <w:rFonts w:ascii="宋体" w:hAnsi="宋体" w:cs="宋体"/>
                <w:color w:val="000000"/>
                <w:sz w:val="24"/>
              </w:rPr>
            </w:pPr>
            <w:r>
              <w:rPr>
                <w:rFonts w:hint="eastAsia"/>
                <w:color w:val="7F7F7F"/>
              </w:rPr>
              <w:t>提高园区内预测、预报和控制森林防火的综合能力</w:t>
            </w:r>
          </w:p>
        </w:tc>
      </w:tr>
      <w:tr w14:paraId="7D40C0D1">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7A53FA4">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CF102C">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26C35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69252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14B235">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2AF256">
            <w:pPr>
              <w:widowControl/>
              <w:jc w:val="center"/>
              <w:textAlignment w:val="center"/>
              <w:rPr>
                <w:rFonts w:ascii="宋体" w:hAnsi="宋体" w:cs="宋体"/>
                <w:color w:val="000000"/>
                <w:sz w:val="24"/>
              </w:rPr>
            </w:pPr>
            <w:r>
              <w:rPr>
                <w:rFonts w:hint="eastAsia" w:ascii="宋体" w:hAnsi="宋体" w:cs="宋体"/>
                <w:color w:val="000000"/>
                <w:sz w:val="24"/>
              </w:rPr>
              <w:t>满意</w:t>
            </w:r>
          </w:p>
        </w:tc>
      </w:tr>
      <w:tr w14:paraId="1D28D200">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296FD83D">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(2019年度)</w:t>
            </w:r>
          </w:p>
        </w:tc>
      </w:tr>
      <w:tr w14:paraId="1A41E0A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6EB604">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B043CB">
            <w:pPr>
              <w:spacing w:before="156" w:beforeLines="50" w:line="760" w:lineRule="exact"/>
              <w:ind w:firstLine="480" w:firstLineChars="150"/>
              <w:rPr>
                <w:rFonts w:eastAsia="仿宋_GB2312"/>
                <w:sz w:val="32"/>
                <w:szCs w:val="32"/>
                <w:u w:val="single"/>
              </w:rPr>
            </w:pPr>
            <w:r>
              <w:rPr>
                <w:rFonts w:hint="eastAsia" w:eastAsia="仿宋_GB2312"/>
                <w:sz w:val="32"/>
                <w:szCs w:val="32"/>
              </w:rPr>
              <w:t>九寨国家森林公园神仙池管理中心供排水系统恢复重建</w:t>
            </w:r>
            <w:r>
              <w:rPr>
                <w:rFonts w:eastAsia="仿宋_GB2312"/>
                <w:sz w:val="32"/>
                <w:szCs w:val="32"/>
              </w:rPr>
              <w:t xml:space="preserve">                             </w:t>
            </w:r>
            <w:r>
              <w:rPr>
                <w:rFonts w:eastAsia="仿宋_GB2312"/>
                <w:sz w:val="32"/>
                <w:szCs w:val="32"/>
                <w:u w:val="single"/>
              </w:rPr>
              <w:t xml:space="preserve">        </w:t>
            </w:r>
          </w:p>
          <w:p w14:paraId="5F9DF694">
            <w:pPr>
              <w:widowControl/>
              <w:jc w:val="center"/>
              <w:textAlignment w:val="center"/>
              <w:rPr>
                <w:rFonts w:ascii="宋体" w:hAnsi="宋体" w:cs="宋体"/>
                <w:color w:val="000000"/>
                <w:sz w:val="24"/>
              </w:rPr>
            </w:pPr>
          </w:p>
        </w:tc>
      </w:tr>
      <w:tr w14:paraId="5751C43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27BFE4">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870034">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1F4979BA">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A9AD4D">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159BFA">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6C5253">
            <w:pPr>
              <w:widowControl/>
              <w:jc w:val="center"/>
              <w:textAlignment w:val="center"/>
              <w:rPr>
                <w:rFonts w:ascii="宋体" w:hAnsi="宋体" w:cs="宋体"/>
                <w:color w:val="000000"/>
                <w:sz w:val="24"/>
              </w:rPr>
            </w:pPr>
            <w:r>
              <w:rPr>
                <w:rFonts w:hint="eastAsia" w:ascii="宋体" w:hAnsi="宋体" w:cs="宋体"/>
                <w:color w:val="000000"/>
                <w:sz w:val="24"/>
              </w:rPr>
              <w:t>140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FD0DB8">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5C1E49">
            <w:pPr>
              <w:widowControl/>
              <w:jc w:val="center"/>
              <w:textAlignment w:val="center"/>
              <w:rPr>
                <w:rFonts w:ascii="宋体" w:hAnsi="宋体" w:cs="宋体"/>
                <w:color w:val="000000"/>
                <w:sz w:val="24"/>
              </w:rPr>
            </w:pPr>
            <w:r>
              <w:rPr>
                <w:rFonts w:hint="eastAsia" w:ascii="宋体" w:hAnsi="宋体" w:cs="宋体"/>
                <w:color w:val="000000"/>
                <w:sz w:val="24"/>
              </w:rPr>
              <w:t>123.7</w:t>
            </w:r>
          </w:p>
        </w:tc>
      </w:tr>
      <w:tr w14:paraId="538D4C4A">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B37884E">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F04B3E">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06DFE6">
            <w:pPr>
              <w:widowControl/>
              <w:jc w:val="center"/>
              <w:textAlignment w:val="center"/>
              <w:rPr>
                <w:rFonts w:ascii="宋体" w:hAnsi="宋体" w:cs="宋体"/>
                <w:color w:val="000000"/>
                <w:sz w:val="24"/>
              </w:rPr>
            </w:pPr>
            <w:r>
              <w:rPr>
                <w:rFonts w:hint="eastAsia" w:ascii="宋体" w:hAnsi="宋体" w:cs="宋体"/>
                <w:color w:val="000000"/>
                <w:sz w:val="24"/>
              </w:rPr>
              <w:t>140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C33941">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51BB3C">
            <w:pPr>
              <w:widowControl/>
              <w:jc w:val="center"/>
              <w:textAlignment w:val="center"/>
              <w:rPr>
                <w:rFonts w:ascii="宋体" w:hAnsi="宋体" w:cs="宋体"/>
                <w:color w:val="000000"/>
                <w:sz w:val="24"/>
              </w:rPr>
            </w:pPr>
            <w:r>
              <w:rPr>
                <w:rFonts w:hint="eastAsia" w:ascii="宋体" w:hAnsi="宋体" w:cs="宋体"/>
                <w:color w:val="000000"/>
                <w:sz w:val="24"/>
              </w:rPr>
              <w:t>123.7</w:t>
            </w:r>
          </w:p>
        </w:tc>
      </w:tr>
      <w:tr w14:paraId="2B405F4B">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6EDC89B">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AA56F4">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E98B8C">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ADFB36">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31F5BD">
            <w:pPr>
              <w:jc w:val="center"/>
              <w:rPr>
                <w:rFonts w:ascii="宋体" w:hAnsi="宋体" w:cs="宋体"/>
                <w:color w:val="000000"/>
                <w:sz w:val="24"/>
              </w:rPr>
            </w:pPr>
          </w:p>
        </w:tc>
      </w:tr>
      <w:tr w14:paraId="38554215">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97665E">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168607">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BEF604">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2BB282F4">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8B4AD6B">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9849CA">
            <w:pPr>
              <w:widowControl/>
              <w:jc w:val="center"/>
              <w:textAlignment w:val="center"/>
              <w:rPr>
                <w:rFonts w:ascii="宋体" w:hAnsi="宋体" w:cs="宋体"/>
                <w:color w:val="000000"/>
                <w:sz w:val="24"/>
              </w:rPr>
            </w:pPr>
            <w:r>
              <w:rPr>
                <w:rFonts w:ascii="宋体" w:hAnsi="宋体" w:cs="宋体"/>
                <w:kern w:val="0"/>
                <w:sz w:val="24"/>
              </w:rPr>
              <w:t>1.新建水源地饮用水管道2500米、消防管道200米及消防桩4套；2.改建小型污水处理站1座及配套附属设施，该改造一座员工厕所给排水及电气系统项目。备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CC8722">
            <w:pPr>
              <w:spacing w:line="400" w:lineRule="exact"/>
              <w:jc w:val="center"/>
              <w:rPr>
                <w:rFonts w:ascii="宋体" w:hAnsi="宋体" w:cs="宋体"/>
                <w:color w:val="000000"/>
                <w:sz w:val="24"/>
              </w:rPr>
            </w:pPr>
            <w:r>
              <w:rPr>
                <w:rFonts w:ascii="宋体" w:hAnsi="宋体" w:cs="宋体"/>
                <w:kern w:val="0"/>
                <w:sz w:val="24"/>
              </w:rPr>
              <w:t>1.新建水源地饮用水管道2500米、消防管道200米及消防桩4套；2.改建小型污水处理站1座及配套附属设施，该改造一座员工厕所给排水及电气系统项目。</w:t>
            </w:r>
            <w:r>
              <w:rPr>
                <w:rFonts w:hint="eastAsia" w:ascii="宋体" w:hAnsi="宋体" w:cs="宋体"/>
                <w:kern w:val="0"/>
                <w:sz w:val="24"/>
              </w:rPr>
              <w:t>已完成</w:t>
            </w:r>
          </w:p>
        </w:tc>
      </w:tr>
      <w:tr w14:paraId="6948BD48">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2D0584">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00FABE">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38FB93">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22F415">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5E7C8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436790">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40BDB226">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B3FB3F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C80AD6">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4EA35B">
            <w:pPr>
              <w:widowControl/>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4294D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ADF963">
            <w:pPr>
              <w:spacing w:line="360" w:lineRule="exact"/>
              <w:jc w:val="center"/>
              <w:rPr>
                <w:rFonts w:ascii="宋体" w:hAnsi="宋体" w:cs="宋体"/>
                <w:color w:val="000000"/>
                <w:sz w:val="24"/>
              </w:rPr>
            </w:pPr>
            <w:r>
              <w:rPr>
                <w:rFonts w:ascii="宋体" w:hAnsi="宋体" w:cs="宋体"/>
                <w:kern w:val="0"/>
                <w:sz w:val="24"/>
              </w:rPr>
              <w:t>新建水源地饮用水管道</w:t>
            </w:r>
            <w:r>
              <w:rPr>
                <w:rFonts w:hint="eastAsia" w:ascii="宋体" w:hAnsi="宋体" w:cs="宋体"/>
                <w:kern w:val="0"/>
                <w:sz w:val="24"/>
              </w:rPr>
              <w:t>2500米、新建</w:t>
            </w:r>
            <w:r>
              <w:rPr>
                <w:rFonts w:ascii="宋体" w:hAnsi="宋体" w:cs="宋体"/>
                <w:kern w:val="0"/>
                <w:sz w:val="24"/>
              </w:rPr>
              <w:t>消防管道</w:t>
            </w:r>
            <w:r>
              <w:rPr>
                <w:rFonts w:hint="eastAsia" w:ascii="宋体" w:hAnsi="宋体" w:cs="宋体"/>
                <w:kern w:val="0"/>
                <w:sz w:val="24"/>
              </w:rPr>
              <w:t>200米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4F8E46">
            <w:pPr>
              <w:widowControl/>
              <w:jc w:val="center"/>
              <w:textAlignment w:val="center"/>
              <w:rPr>
                <w:rFonts w:ascii="宋体" w:hAnsi="宋体" w:cs="宋体"/>
                <w:color w:val="000000"/>
                <w:sz w:val="24"/>
              </w:rPr>
            </w:pPr>
            <w:r>
              <w:rPr>
                <w:rFonts w:ascii="宋体" w:hAnsi="宋体" w:cs="宋体"/>
                <w:kern w:val="0"/>
                <w:sz w:val="24"/>
              </w:rPr>
              <w:t>新建水源地饮用水管道</w:t>
            </w:r>
            <w:r>
              <w:rPr>
                <w:rFonts w:hint="eastAsia" w:ascii="宋体" w:hAnsi="宋体" w:cs="宋体"/>
                <w:kern w:val="0"/>
                <w:sz w:val="24"/>
              </w:rPr>
              <w:t>2500米、新建</w:t>
            </w:r>
            <w:r>
              <w:rPr>
                <w:rFonts w:ascii="宋体" w:hAnsi="宋体" w:cs="宋体"/>
                <w:kern w:val="0"/>
                <w:sz w:val="24"/>
              </w:rPr>
              <w:t>消防管道</w:t>
            </w:r>
            <w:r>
              <w:rPr>
                <w:rFonts w:hint="eastAsia" w:ascii="宋体" w:hAnsi="宋体" w:cs="宋体"/>
                <w:kern w:val="0"/>
                <w:sz w:val="24"/>
              </w:rPr>
              <w:t>200米</w:t>
            </w:r>
          </w:p>
        </w:tc>
      </w:tr>
      <w:tr w14:paraId="79A390A2">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8161F01">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121AF6">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CE2B33">
            <w:pPr>
              <w:widowControl/>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5329BA">
            <w:pPr>
              <w:spacing w:line="360" w:lineRule="exact"/>
              <w:jc w:val="center"/>
              <w:rPr>
                <w:rFonts w:ascii="宋体" w:hAnsi="宋体" w:cs="宋体"/>
                <w:color w:val="0000FF"/>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BAE8C2">
            <w:pPr>
              <w:spacing w:line="360" w:lineRule="exact"/>
              <w:jc w:val="center"/>
              <w:rPr>
                <w:rFonts w:ascii="宋体" w:hAnsi="宋体" w:cs="宋体"/>
                <w:color w:val="000000"/>
                <w:sz w:val="24"/>
              </w:rPr>
            </w:pPr>
            <w:r>
              <w:rPr>
                <w:rFonts w:hint="eastAsia" w:eastAsia="仿宋_GB2312"/>
                <w:sz w:val="24"/>
              </w:rPr>
              <w:t>2018.3——2018.12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655DC9">
            <w:pPr>
              <w:jc w:val="center"/>
              <w:rPr>
                <w:rFonts w:ascii="宋体" w:hAnsi="宋体" w:cs="宋体"/>
                <w:color w:val="000000"/>
                <w:sz w:val="24"/>
              </w:rPr>
            </w:pPr>
            <w:r>
              <w:rPr>
                <w:rFonts w:hint="eastAsia" w:ascii="宋体" w:hAnsi="宋体" w:cs="宋体"/>
                <w:color w:val="000000"/>
                <w:sz w:val="24"/>
              </w:rPr>
              <w:t>已按要求完成</w:t>
            </w:r>
          </w:p>
        </w:tc>
      </w:tr>
      <w:tr w14:paraId="049C26D9">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B3666D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E0F654">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0B432B">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1C22A2">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0B0364">
            <w:pPr>
              <w:spacing w:line="360" w:lineRule="exact"/>
              <w:jc w:val="center"/>
              <w:rPr>
                <w:rFonts w:ascii="宋体" w:hAnsi="宋体" w:cs="宋体"/>
                <w:color w:val="000000"/>
                <w:sz w:val="24"/>
              </w:rPr>
            </w:pPr>
            <w:r>
              <w:rPr>
                <w:rFonts w:ascii="宋体" w:hAnsi="宋体" w:cs="宋体"/>
                <w:kern w:val="0"/>
                <w:sz w:val="24"/>
              </w:rPr>
              <w:t>该改造一座员工厕所给排水及电气系统</w:t>
            </w:r>
            <w:r>
              <w:rPr>
                <w:rFonts w:hint="eastAsia" w:ascii="宋体" w:hAnsi="宋体" w:cs="宋体"/>
                <w:kern w:val="0"/>
                <w:sz w:val="24"/>
              </w:rPr>
              <w:t>；</w:t>
            </w:r>
            <w:r>
              <w:rPr>
                <w:rFonts w:ascii="宋体" w:hAnsi="宋体" w:cs="宋体"/>
                <w:kern w:val="0"/>
                <w:sz w:val="24"/>
              </w:rPr>
              <w:t>改建小型污水处理站1座及配套附属设施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36D8FD">
            <w:pPr>
              <w:widowControl/>
              <w:jc w:val="center"/>
              <w:textAlignment w:val="center"/>
              <w:rPr>
                <w:rFonts w:ascii="宋体" w:hAnsi="宋体" w:cs="宋体"/>
                <w:color w:val="000000"/>
                <w:sz w:val="24"/>
              </w:rPr>
            </w:pPr>
            <w:r>
              <w:rPr>
                <w:rFonts w:hint="eastAsia" w:ascii="宋体" w:hAnsi="宋体" w:cs="宋体"/>
                <w:color w:val="000000"/>
                <w:sz w:val="24"/>
              </w:rPr>
              <w:t>已按要求完成</w:t>
            </w:r>
          </w:p>
        </w:tc>
      </w:tr>
      <w:tr w14:paraId="3EC85336">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75BB490">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FF9184">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BC133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55CDB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FAA3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83A5AE">
            <w:pPr>
              <w:widowControl/>
              <w:jc w:val="center"/>
              <w:textAlignment w:val="center"/>
              <w:rPr>
                <w:rFonts w:ascii="宋体" w:hAnsi="宋体" w:cs="宋体"/>
                <w:color w:val="000000"/>
                <w:sz w:val="24"/>
              </w:rPr>
            </w:pPr>
          </w:p>
        </w:tc>
      </w:tr>
      <w:tr w14:paraId="7F5CEC8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3BA16B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213A3F">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F018D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AFB207">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57D9C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5B8567">
            <w:pPr>
              <w:widowControl/>
              <w:jc w:val="center"/>
              <w:textAlignment w:val="center"/>
              <w:rPr>
                <w:rFonts w:ascii="宋体" w:hAnsi="宋体" w:cs="宋体"/>
                <w:color w:val="000000"/>
                <w:sz w:val="24"/>
              </w:rPr>
            </w:pPr>
          </w:p>
        </w:tc>
      </w:tr>
      <w:tr w14:paraId="66CAC4E0">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2F3383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6C89FD">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CFD34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E9B905">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56B67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CD9544">
            <w:pPr>
              <w:widowControl/>
              <w:jc w:val="center"/>
              <w:textAlignment w:val="center"/>
              <w:rPr>
                <w:rFonts w:ascii="宋体" w:hAnsi="宋体" w:cs="宋体"/>
                <w:color w:val="000000"/>
                <w:sz w:val="24"/>
              </w:rPr>
            </w:pPr>
          </w:p>
        </w:tc>
      </w:tr>
      <w:tr w14:paraId="39A4C7C8">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7E3641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A991DA">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7CA82F">
            <w:pPr>
              <w:spacing w:line="360" w:lineRule="exact"/>
              <w:jc w:val="center"/>
              <w:rPr>
                <w:rFonts w:eastAsia="仿宋_GB2312"/>
                <w:sz w:val="24"/>
              </w:rPr>
            </w:pPr>
            <w:r>
              <w:rPr>
                <w:rFonts w:hint="eastAsia" w:eastAsia="仿宋_GB2312" w:cs="仿宋_GB2312"/>
                <w:sz w:val="24"/>
              </w:rPr>
              <w:t>经济效益</w:t>
            </w:r>
          </w:p>
          <w:p w14:paraId="1C8B97AE">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33EB82">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DAA7BB">
            <w:pPr>
              <w:widowControl/>
              <w:jc w:val="center"/>
              <w:textAlignment w:val="center"/>
              <w:rPr>
                <w:rFonts w:ascii="宋体" w:hAnsi="宋体" w:cs="宋体"/>
                <w:color w:val="000000"/>
                <w:sz w:val="24"/>
              </w:rPr>
            </w:pPr>
            <w:r>
              <w:rPr>
                <w:rFonts w:hint="eastAsia"/>
                <w:sz w:val="24"/>
              </w:rPr>
              <w:t>促进九寨沟-神仙池-黑河大峡谷旅游发展线的发展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B80DFB">
            <w:pPr>
              <w:widowControl/>
              <w:jc w:val="center"/>
              <w:textAlignment w:val="center"/>
              <w:rPr>
                <w:rFonts w:ascii="宋体" w:hAnsi="宋体" w:cs="宋体"/>
                <w:color w:val="000000"/>
                <w:sz w:val="24"/>
              </w:rPr>
            </w:pPr>
            <w:r>
              <w:rPr>
                <w:rFonts w:hint="eastAsia" w:eastAsia="仿宋_GB2312"/>
                <w:sz w:val="24"/>
              </w:rPr>
              <w:t>有效带动沿线各村旅游发展</w:t>
            </w:r>
          </w:p>
        </w:tc>
      </w:tr>
      <w:tr w14:paraId="3B5D1754">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2F0D2F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819B05">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D09020">
            <w:pPr>
              <w:spacing w:line="360" w:lineRule="exact"/>
              <w:jc w:val="center"/>
              <w:rPr>
                <w:rFonts w:eastAsia="仿宋_GB2312"/>
                <w:sz w:val="24"/>
              </w:rPr>
            </w:pPr>
            <w:r>
              <w:rPr>
                <w:rFonts w:hint="eastAsia" w:eastAsia="仿宋_GB2312" w:cs="仿宋_GB2312"/>
                <w:sz w:val="24"/>
              </w:rPr>
              <w:t>社会效益</w:t>
            </w:r>
          </w:p>
          <w:p w14:paraId="09464B54">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5AE03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5A2B61">
            <w:pPr>
              <w:spacing w:line="360" w:lineRule="exact"/>
              <w:jc w:val="center"/>
              <w:rPr>
                <w:rFonts w:ascii="宋体" w:hAnsi="宋体" w:cs="宋体"/>
                <w:color w:val="000000"/>
                <w:sz w:val="24"/>
              </w:rPr>
            </w:pPr>
            <w:r>
              <w:rPr>
                <w:rFonts w:hint="eastAsia"/>
                <w:color w:val="7F7F7F"/>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F6C913">
            <w:pPr>
              <w:widowControl/>
              <w:jc w:val="center"/>
              <w:textAlignment w:val="center"/>
              <w:rPr>
                <w:rFonts w:ascii="宋体" w:hAnsi="宋体" w:cs="宋体"/>
                <w:color w:val="000000"/>
                <w:sz w:val="24"/>
              </w:rPr>
            </w:pPr>
            <w:r>
              <w:rPr>
                <w:rFonts w:hint="eastAsia" w:eastAsia="仿宋_GB2312"/>
                <w:sz w:val="24"/>
              </w:rPr>
              <w:t>有效保障</w:t>
            </w:r>
            <w:r>
              <w:rPr>
                <w:rFonts w:hint="eastAsia"/>
                <w:color w:val="7F7F7F"/>
              </w:rPr>
              <w:t>人民群众生命健康和维护和谐稳定</w:t>
            </w:r>
          </w:p>
        </w:tc>
      </w:tr>
      <w:tr w14:paraId="6C95E790">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7977EEE">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3AF4CD">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8FC8D9">
            <w:pPr>
              <w:spacing w:line="360" w:lineRule="exact"/>
              <w:jc w:val="center"/>
              <w:rPr>
                <w:rFonts w:eastAsia="仿宋_GB2312"/>
                <w:sz w:val="24"/>
              </w:rPr>
            </w:pPr>
            <w:r>
              <w:rPr>
                <w:rFonts w:hint="eastAsia" w:eastAsia="仿宋_GB2312" w:cs="仿宋_GB2312"/>
                <w:sz w:val="24"/>
              </w:rPr>
              <w:t>生态效益</w:t>
            </w:r>
          </w:p>
          <w:p w14:paraId="2365EA63">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43C231">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32BBB9">
            <w:pPr>
              <w:spacing w:line="360" w:lineRule="exact"/>
              <w:jc w:val="center"/>
              <w:rPr>
                <w:rFonts w:ascii="宋体" w:hAnsi="宋体" w:cs="宋体"/>
                <w:color w:val="000000"/>
                <w:sz w:val="24"/>
              </w:rPr>
            </w:pPr>
            <w:r>
              <w:rPr>
                <w:rFonts w:hint="eastAsia"/>
                <w:color w:val="7F7F7F"/>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4F04B0">
            <w:pPr>
              <w:widowControl/>
              <w:jc w:val="center"/>
              <w:textAlignment w:val="center"/>
              <w:rPr>
                <w:rFonts w:ascii="宋体" w:hAnsi="宋体" w:cs="宋体"/>
                <w:color w:val="000000"/>
                <w:sz w:val="24"/>
              </w:rPr>
            </w:pPr>
            <w:r>
              <w:rPr>
                <w:rFonts w:hint="eastAsia"/>
                <w:color w:val="7F7F7F"/>
              </w:rPr>
              <w:t>提高园区内预测、预报和控制森林防火的综合能力</w:t>
            </w:r>
          </w:p>
        </w:tc>
      </w:tr>
      <w:tr w14:paraId="09DDA849">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695E1C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891A13">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CF753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9899F1">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D910EA">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C288DE">
            <w:pPr>
              <w:widowControl/>
              <w:jc w:val="center"/>
              <w:textAlignment w:val="center"/>
              <w:rPr>
                <w:rFonts w:ascii="宋体" w:hAnsi="宋体" w:cs="宋体"/>
                <w:color w:val="000000"/>
                <w:sz w:val="24"/>
              </w:rPr>
            </w:pPr>
            <w:r>
              <w:rPr>
                <w:rFonts w:hint="eastAsia" w:ascii="宋体" w:hAnsi="宋体" w:cs="宋体"/>
                <w:color w:val="000000"/>
                <w:sz w:val="24"/>
              </w:rPr>
              <w:t>满意</w:t>
            </w:r>
          </w:p>
        </w:tc>
      </w:tr>
      <w:tr w14:paraId="7CFA8371">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7B883CA2">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(2019年度)</w:t>
            </w:r>
          </w:p>
        </w:tc>
      </w:tr>
      <w:tr w14:paraId="4DB01411">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467E7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B53407">
            <w:pPr>
              <w:widowControl/>
              <w:jc w:val="center"/>
              <w:textAlignment w:val="center"/>
              <w:rPr>
                <w:rFonts w:ascii="宋体" w:hAnsi="宋体" w:cs="宋体"/>
                <w:color w:val="000000"/>
                <w:sz w:val="24"/>
              </w:rPr>
            </w:pPr>
            <w:r>
              <w:rPr>
                <w:rFonts w:hint="eastAsia" w:eastAsia="仿宋_GB2312"/>
                <w:sz w:val="32"/>
                <w:szCs w:val="32"/>
              </w:rPr>
              <w:t>九寨沟县神仙池生态旅游区建设项目</w:t>
            </w:r>
          </w:p>
        </w:tc>
      </w:tr>
      <w:tr w14:paraId="3EBDD46E">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F67D1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6F3FCB">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150B3312">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58DCB8">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99116A">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05B439">
            <w:pPr>
              <w:widowControl/>
              <w:jc w:val="center"/>
              <w:textAlignment w:val="center"/>
              <w:rPr>
                <w:rFonts w:ascii="宋体" w:hAnsi="宋体" w:cs="宋体"/>
                <w:color w:val="000000"/>
                <w:sz w:val="24"/>
              </w:rPr>
            </w:pPr>
            <w:r>
              <w:rPr>
                <w:rFonts w:hint="eastAsia" w:ascii="宋体" w:hAnsi="宋体" w:cs="宋体"/>
                <w:color w:val="000000"/>
                <w:sz w:val="24"/>
              </w:rPr>
              <w:t>2000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275214">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F2E829">
            <w:pPr>
              <w:widowControl/>
              <w:jc w:val="center"/>
              <w:textAlignment w:val="center"/>
              <w:rPr>
                <w:rFonts w:ascii="宋体" w:hAnsi="宋体" w:cs="宋体"/>
                <w:color w:val="000000"/>
                <w:sz w:val="24"/>
              </w:rPr>
            </w:pPr>
            <w:r>
              <w:rPr>
                <w:rFonts w:hint="eastAsia" w:ascii="宋体" w:hAnsi="宋体" w:cs="宋体"/>
                <w:color w:val="000000"/>
                <w:sz w:val="24"/>
              </w:rPr>
              <w:t>1327.4</w:t>
            </w:r>
          </w:p>
        </w:tc>
      </w:tr>
      <w:tr w14:paraId="2F883969">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E25D775">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AF9E0D">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A9A7C8">
            <w:pPr>
              <w:widowControl/>
              <w:jc w:val="center"/>
              <w:textAlignment w:val="center"/>
              <w:rPr>
                <w:rFonts w:ascii="宋体" w:hAnsi="宋体" w:cs="宋体"/>
                <w:color w:val="000000"/>
                <w:sz w:val="24"/>
              </w:rPr>
            </w:pPr>
            <w:r>
              <w:rPr>
                <w:rFonts w:hint="eastAsia" w:ascii="宋体" w:hAnsi="宋体" w:cs="宋体"/>
                <w:color w:val="000000"/>
                <w:sz w:val="24"/>
              </w:rPr>
              <w:t>2000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4FD805">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4AB010">
            <w:pPr>
              <w:widowControl/>
              <w:jc w:val="center"/>
              <w:textAlignment w:val="center"/>
              <w:rPr>
                <w:rFonts w:ascii="宋体" w:hAnsi="宋体" w:cs="宋体"/>
                <w:color w:val="000000"/>
                <w:sz w:val="24"/>
              </w:rPr>
            </w:pPr>
            <w:r>
              <w:rPr>
                <w:rFonts w:hint="eastAsia" w:ascii="宋体" w:hAnsi="宋体" w:cs="宋体"/>
                <w:color w:val="000000"/>
                <w:sz w:val="24"/>
              </w:rPr>
              <w:t>1327.4</w:t>
            </w:r>
          </w:p>
        </w:tc>
      </w:tr>
      <w:tr w14:paraId="1EE04686">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2CB112C">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1AAACF">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ACC087">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E8BE6F">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5969F0">
            <w:pPr>
              <w:jc w:val="center"/>
              <w:rPr>
                <w:rFonts w:ascii="宋体" w:hAnsi="宋体" w:cs="宋体"/>
                <w:color w:val="000000"/>
                <w:sz w:val="24"/>
              </w:rPr>
            </w:pPr>
          </w:p>
        </w:tc>
      </w:tr>
      <w:tr w14:paraId="1FD7EF69">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3CB00D">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4BC64F">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472BBE">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13BA94F7">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B65E551">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278440">
            <w:pPr>
              <w:widowControl/>
              <w:jc w:val="center"/>
              <w:textAlignment w:val="center"/>
              <w:rPr>
                <w:rFonts w:ascii="宋体" w:hAnsi="宋体" w:cs="宋体"/>
                <w:color w:val="000000"/>
                <w:sz w:val="24"/>
              </w:rPr>
            </w:pPr>
            <w:r>
              <w:rPr>
                <w:rFonts w:ascii="宋体" w:hAnsi="宋体" w:cs="宋体"/>
                <w:kern w:val="0"/>
                <w:sz w:val="24"/>
              </w:rPr>
              <w:t>1.神仙池核心景区：厕所改扩建150平方米；生态停车场（神仙池保护站）800平方米；神仙池保护站至仙女桥人行栈道3公里；智慧旅游配套设施系统1套。神仙池景区创4A软环境建设。2.神仙池管理中心周边区域配套设施：观光车停靠站3处；木屋式售票点、商业点、吸烟区、花台式隔离带；3.神仙池游客服务中心改造3000平方米；祥云堡（噶玛涛）10千伏输电线路建设共计5公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822B07">
            <w:pPr>
              <w:widowControl/>
              <w:jc w:val="center"/>
              <w:textAlignment w:val="center"/>
              <w:rPr>
                <w:rFonts w:ascii="宋体" w:hAnsi="宋体" w:cs="宋体"/>
                <w:color w:val="000000"/>
                <w:sz w:val="24"/>
              </w:rPr>
            </w:pPr>
            <w:r>
              <w:rPr>
                <w:rFonts w:ascii="宋体" w:hAnsi="宋体" w:cs="宋体"/>
                <w:kern w:val="0"/>
                <w:sz w:val="24"/>
              </w:rPr>
              <w:t>1.神仙池核心景区：厕所改扩建150平方米；生态停车场（神仙池保护站）800平方米；神仙池保护站至仙女桥人行栈道3公里；2.神仙池管理中心周边区域配套设施：观光车停靠站3处；木屋式售票点、商业点、吸烟区、花台式隔离带；3.神仙池游客服务中心改造3000平方米；祥云堡（噶玛涛）10千伏输电线路建设共计5公里；</w:t>
            </w:r>
            <w:r>
              <w:rPr>
                <w:rFonts w:hint="eastAsia" w:ascii="宋体" w:hAnsi="宋体" w:cs="宋体"/>
                <w:kern w:val="0"/>
                <w:sz w:val="24"/>
              </w:rPr>
              <w:t>以上内容已完成70%。</w:t>
            </w:r>
          </w:p>
        </w:tc>
      </w:tr>
      <w:tr w14:paraId="30457425">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1F543E">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743813">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DBD2FF">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2369B1">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6511C2">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4AA948">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332217E0">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21FB19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7FF840">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C2C5A1">
            <w:pPr>
              <w:widowControl/>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5EA950">
            <w:pPr>
              <w:widowControl/>
              <w:jc w:val="center"/>
              <w:textAlignment w:val="center"/>
              <w:rPr>
                <w:rFonts w:ascii="宋体" w:hAnsi="宋体" w:cs="宋体"/>
                <w:color w:val="000000"/>
                <w:sz w:val="24"/>
              </w:rPr>
            </w:pPr>
            <w:r>
              <w:rPr>
                <w:rFonts w:ascii="宋体" w:hAnsi="宋体" w:cs="宋体"/>
                <w:kern w:val="0"/>
                <w:sz w:val="24"/>
              </w:rPr>
              <w:t>输电线路建设</w:t>
            </w:r>
            <w:r>
              <w:rPr>
                <w:rFonts w:hint="eastAsia" w:ascii="宋体" w:hAnsi="宋体" w:cs="宋体"/>
                <w:kern w:val="0"/>
                <w:sz w:val="24"/>
              </w:rPr>
              <w:t>；</w:t>
            </w:r>
            <w:r>
              <w:rPr>
                <w:rFonts w:ascii="宋体" w:hAnsi="宋体" w:cs="宋体"/>
                <w:kern w:val="0"/>
                <w:sz w:val="24"/>
              </w:rPr>
              <w:t>神仙池保护站至神仙池管理中心栈道修建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E551A2">
            <w:pPr>
              <w:jc w:val="center"/>
              <w:rPr>
                <w:rFonts w:ascii="宋体" w:hAnsi="宋体" w:cs="宋体"/>
                <w:color w:val="000000"/>
                <w:sz w:val="24"/>
              </w:rPr>
            </w:pPr>
            <w:r>
              <w:rPr>
                <w:rFonts w:ascii="宋体" w:hAnsi="宋体" w:cs="宋体"/>
                <w:kern w:val="0"/>
                <w:sz w:val="24"/>
              </w:rPr>
              <w:t>输电线路建设</w:t>
            </w:r>
            <w:r>
              <w:rPr>
                <w:rFonts w:hint="eastAsia" w:ascii="宋体" w:hAnsi="宋体" w:cs="宋体"/>
                <w:kern w:val="0"/>
                <w:sz w:val="24"/>
              </w:rPr>
              <w:t>6000米；</w:t>
            </w:r>
            <w:r>
              <w:rPr>
                <w:rFonts w:ascii="宋体" w:hAnsi="宋体" w:cs="宋体"/>
                <w:kern w:val="0"/>
                <w:sz w:val="24"/>
              </w:rPr>
              <w:t>神仙池保护站至神仙池管理中心栈道修建</w:t>
            </w:r>
            <w:r>
              <w:rPr>
                <w:rFonts w:hint="eastAsia" w:ascii="宋体" w:hAnsi="宋体" w:cs="宋体"/>
                <w:kern w:val="0"/>
                <w:sz w:val="24"/>
              </w:rPr>
              <w:t>1公里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244FCE">
            <w:pPr>
              <w:widowControl/>
              <w:jc w:val="center"/>
              <w:textAlignment w:val="center"/>
              <w:rPr>
                <w:rFonts w:ascii="宋体" w:hAnsi="宋体" w:cs="宋体"/>
                <w:color w:val="000000"/>
                <w:sz w:val="24"/>
              </w:rPr>
            </w:pPr>
            <w:r>
              <w:rPr>
                <w:rFonts w:hint="eastAsia" w:ascii="宋体" w:hAnsi="宋体" w:cs="宋体"/>
                <w:kern w:val="0"/>
                <w:sz w:val="24"/>
              </w:rPr>
              <w:t>完成</w:t>
            </w:r>
            <w:r>
              <w:rPr>
                <w:rFonts w:ascii="宋体" w:hAnsi="宋体" w:cs="宋体"/>
                <w:kern w:val="0"/>
                <w:sz w:val="24"/>
              </w:rPr>
              <w:t>输电线路建设</w:t>
            </w:r>
            <w:r>
              <w:rPr>
                <w:rFonts w:hint="eastAsia" w:ascii="宋体" w:hAnsi="宋体" w:cs="宋体"/>
                <w:kern w:val="0"/>
                <w:sz w:val="24"/>
              </w:rPr>
              <w:t>6000米；</w:t>
            </w:r>
            <w:r>
              <w:rPr>
                <w:rFonts w:ascii="宋体" w:hAnsi="宋体" w:cs="宋体"/>
                <w:kern w:val="0"/>
                <w:sz w:val="24"/>
              </w:rPr>
              <w:t>神仙池保护站至神仙池管理中心栈道修建1公里</w:t>
            </w:r>
          </w:p>
        </w:tc>
      </w:tr>
      <w:tr w14:paraId="7FA44982">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B76446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87CB14">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F331B7">
            <w:pPr>
              <w:widowControl/>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DC9909">
            <w:pPr>
              <w:spacing w:line="360" w:lineRule="exact"/>
              <w:jc w:val="center"/>
              <w:rPr>
                <w:rFonts w:ascii="宋体" w:hAnsi="宋体" w:cs="宋体"/>
                <w:color w:val="000000"/>
                <w:sz w:val="24"/>
              </w:rPr>
            </w:pPr>
            <w:r>
              <w:rPr>
                <w:rFonts w:ascii="宋体" w:hAnsi="宋体" w:cs="宋体"/>
                <w:kern w:val="0"/>
                <w:sz w:val="24"/>
              </w:rPr>
              <w:t>输电线路</w:t>
            </w:r>
            <w:r>
              <w:rPr>
                <w:rFonts w:hint="eastAsia" w:ascii="宋体" w:hAnsi="宋体" w:cs="宋体"/>
                <w:kern w:val="0"/>
                <w:sz w:val="24"/>
              </w:rPr>
              <w:t>及栈道修建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03674C">
            <w:pPr>
              <w:jc w:val="center"/>
              <w:rPr>
                <w:rFonts w:ascii="宋体" w:hAnsi="宋体" w:eastAsia="仿宋_GB2312" w:cs="宋体"/>
                <w:color w:val="000000"/>
                <w:sz w:val="24"/>
              </w:rPr>
            </w:pPr>
            <w:r>
              <w:rPr>
                <w:rFonts w:hint="eastAsia" w:eastAsia="仿宋_GB2312" w:cs="仿宋_GB2312"/>
                <w:sz w:val="24"/>
              </w:rPr>
              <w:t>2018.</w:t>
            </w:r>
            <w:r>
              <w:rPr>
                <w:rFonts w:hint="eastAsia" w:eastAsia="仿宋_GB2312"/>
                <w:sz w:val="24"/>
              </w:rPr>
              <w:t>2</w:t>
            </w:r>
            <w:r>
              <w:rPr>
                <w:rFonts w:hint="eastAsia" w:eastAsia="仿宋_GB2312" w:cs="仿宋_GB2312"/>
                <w:sz w:val="24"/>
              </w:rPr>
              <w:t>-</w:t>
            </w:r>
            <w:r>
              <w:rPr>
                <w:rFonts w:eastAsia="仿宋_GB2312"/>
                <w:sz w:val="24"/>
              </w:rPr>
              <w:t xml:space="preserve"> </w:t>
            </w:r>
            <w:r>
              <w:rPr>
                <w:rFonts w:hint="eastAsia" w:eastAsia="仿宋_GB2312"/>
                <w:sz w:val="24"/>
              </w:rPr>
              <w:t>2018.</w:t>
            </w:r>
            <w:r>
              <w:rPr>
                <w:rFonts w:eastAsia="仿宋_GB2312"/>
                <w:sz w:val="24"/>
              </w:rPr>
              <w:t xml:space="preserve"> </w:t>
            </w:r>
            <w:r>
              <w:rPr>
                <w:rFonts w:hint="eastAsia" w:eastAsia="仿宋_GB2312"/>
                <w:sz w:val="24"/>
              </w:rPr>
              <w:t>12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B22CAB">
            <w:pPr>
              <w:jc w:val="center"/>
              <w:rPr>
                <w:rFonts w:ascii="宋体" w:hAnsi="宋体" w:cs="宋体"/>
                <w:color w:val="000000"/>
                <w:sz w:val="24"/>
              </w:rPr>
            </w:pPr>
            <w:r>
              <w:rPr>
                <w:rFonts w:hint="eastAsia" w:ascii="宋体" w:hAnsi="宋体" w:cs="宋体"/>
                <w:color w:val="000000"/>
                <w:sz w:val="24"/>
              </w:rPr>
              <w:t>已按要求完成</w:t>
            </w:r>
          </w:p>
        </w:tc>
      </w:tr>
      <w:tr w14:paraId="7424C917">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5C359B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490F59">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83D5B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7B653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0DE88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24FF26">
            <w:pPr>
              <w:widowControl/>
              <w:jc w:val="center"/>
              <w:textAlignment w:val="center"/>
              <w:rPr>
                <w:rFonts w:ascii="宋体" w:hAnsi="宋体" w:cs="宋体"/>
                <w:color w:val="000000"/>
                <w:sz w:val="24"/>
              </w:rPr>
            </w:pPr>
          </w:p>
        </w:tc>
      </w:tr>
      <w:tr w14:paraId="33CFF1B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CE8645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AAF649">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BBCB4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88A5D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3745A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C45574">
            <w:pPr>
              <w:widowControl/>
              <w:jc w:val="center"/>
              <w:textAlignment w:val="center"/>
              <w:rPr>
                <w:rFonts w:ascii="宋体" w:hAnsi="宋体" w:cs="宋体"/>
                <w:color w:val="000000"/>
                <w:sz w:val="24"/>
              </w:rPr>
            </w:pPr>
          </w:p>
        </w:tc>
      </w:tr>
      <w:tr w14:paraId="308823C1">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961E8A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7D1928">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A7BED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C52F5C">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D16B2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5D7B66">
            <w:pPr>
              <w:widowControl/>
              <w:jc w:val="center"/>
              <w:textAlignment w:val="center"/>
              <w:rPr>
                <w:rFonts w:ascii="宋体" w:hAnsi="宋体" w:cs="宋体"/>
                <w:color w:val="000000"/>
                <w:sz w:val="24"/>
              </w:rPr>
            </w:pPr>
          </w:p>
        </w:tc>
      </w:tr>
      <w:tr w14:paraId="169D4FF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6D82766">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942FF3">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187812">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372532">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61D1C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B16046">
            <w:pPr>
              <w:widowControl/>
              <w:jc w:val="center"/>
              <w:textAlignment w:val="center"/>
              <w:rPr>
                <w:rFonts w:ascii="宋体" w:hAnsi="宋体" w:cs="宋体"/>
                <w:color w:val="000000"/>
                <w:sz w:val="24"/>
              </w:rPr>
            </w:pPr>
          </w:p>
        </w:tc>
      </w:tr>
      <w:tr w14:paraId="1F5B0A7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C44D8F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21636E">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844D0E">
            <w:pPr>
              <w:spacing w:line="360" w:lineRule="exact"/>
              <w:jc w:val="center"/>
              <w:rPr>
                <w:rFonts w:eastAsia="仿宋_GB2312"/>
                <w:sz w:val="24"/>
              </w:rPr>
            </w:pPr>
            <w:r>
              <w:rPr>
                <w:rFonts w:hint="eastAsia" w:eastAsia="仿宋_GB2312" w:cs="仿宋_GB2312"/>
                <w:sz w:val="24"/>
              </w:rPr>
              <w:t>经济效益</w:t>
            </w:r>
          </w:p>
          <w:p w14:paraId="281C8097">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0C7EF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66A8CD">
            <w:pPr>
              <w:widowControl/>
              <w:jc w:val="center"/>
              <w:textAlignment w:val="center"/>
              <w:rPr>
                <w:rFonts w:ascii="宋体" w:hAnsi="宋体" w:cs="宋体"/>
                <w:color w:val="000000"/>
                <w:sz w:val="24"/>
              </w:rPr>
            </w:pPr>
            <w:r>
              <w:rPr>
                <w:rFonts w:hint="eastAsia"/>
                <w:color w:val="7F7F7F"/>
              </w:rPr>
              <w:t>提高九寨沟县生态旅游竞争力、促进经济社会可持续发展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1A9874">
            <w:pPr>
              <w:widowControl/>
              <w:jc w:val="center"/>
              <w:textAlignment w:val="center"/>
              <w:rPr>
                <w:rFonts w:ascii="宋体" w:hAnsi="宋体" w:cs="宋体"/>
                <w:color w:val="000000"/>
                <w:sz w:val="24"/>
              </w:rPr>
            </w:pPr>
            <w:r>
              <w:rPr>
                <w:rFonts w:hint="eastAsia" w:eastAsia="仿宋_GB2312"/>
                <w:sz w:val="24"/>
              </w:rPr>
              <w:t>有效保障</w:t>
            </w:r>
            <w:r>
              <w:rPr>
                <w:rFonts w:hint="eastAsia"/>
                <w:color w:val="7F7F7F"/>
              </w:rPr>
              <w:t>生态建设与保护，维护生态安全</w:t>
            </w:r>
          </w:p>
        </w:tc>
      </w:tr>
      <w:tr w14:paraId="212E58D2">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F7A557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2EC26A">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EB3D08">
            <w:pPr>
              <w:spacing w:line="360" w:lineRule="exact"/>
              <w:jc w:val="center"/>
              <w:rPr>
                <w:rFonts w:eastAsia="仿宋_GB2312"/>
                <w:sz w:val="24"/>
              </w:rPr>
            </w:pPr>
            <w:r>
              <w:rPr>
                <w:rFonts w:hint="eastAsia" w:eastAsia="仿宋_GB2312" w:cs="仿宋_GB2312"/>
                <w:sz w:val="24"/>
              </w:rPr>
              <w:t>社会效益</w:t>
            </w:r>
          </w:p>
          <w:p w14:paraId="398E205C">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36CD2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679709">
            <w:pPr>
              <w:spacing w:line="360" w:lineRule="exact"/>
              <w:jc w:val="center"/>
              <w:rPr>
                <w:rFonts w:ascii="宋体" w:hAnsi="宋体" w:cs="宋体"/>
                <w:color w:val="000000"/>
                <w:sz w:val="24"/>
              </w:rPr>
            </w:pPr>
            <w:r>
              <w:rPr>
                <w:rFonts w:hint="eastAsia"/>
                <w:color w:val="7F7F7F"/>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E58D8E">
            <w:pPr>
              <w:widowControl/>
              <w:jc w:val="center"/>
              <w:textAlignment w:val="center"/>
              <w:rPr>
                <w:rFonts w:ascii="宋体" w:hAnsi="宋体" w:cs="宋体"/>
                <w:color w:val="000000"/>
                <w:sz w:val="24"/>
              </w:rPr>
            </w:pPr>
          </w:p>
        </w:tc>
      </w:tr>
      <w:tr w14:paraId="7CDA2F8A">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77126D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85731F">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F19F84">
            <w:pPr>
              <w:spacing w:line="360" w:lineRule="exact"/>
              <w:jc w:val="center"/>
              <w:rPr>
                <w:rFonts w:eastAsia="仿宋_GB2312"/>
                <w:sz w:val="24"/>
              </w:rPr>
            </w:pPr>
            <w:r>
              <w:rPr>
                <w:rFonts w:hint="eastAsia" w:eastAsia="仿宋_GB2312" w:cs="仿宋_GB2312"/>
                <w:sz w:val="24"/>
              </w:rPr>
              <w:t>生态效益</w:t>
            </w:r>
          </w:p>
          <w:p w14:paraId="6E005140">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E5619E">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984AA1">
            <w:pPr>
              <w:spacing w:line="360" w:lineRule="exact"/>
              <w:jc w:val="center"/>
              <w:rPr>
                <w:rFonts w:ascii="宋体" w:hAnsi="宋体" w:cs="宋体"/>
                <w:color w:val="000000"/>
                <w:sz w:val="24"/>
              </w:rPr>
            </w:pPr>
            <w:r>
              <w:rPr>
                <w:rFonts w:hint="eastAsia"/>
                <w:color w:val="7F7F7F"/>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377DF7">
            <w:pPr>
              <w:widowControl/>
              <w:jc w:val="center"/>
              <w:textAlignment w:val="center"/>
              <w:rPr>
                <w:rFonts w:ascii="宋体" w:hAnsi="宋体" w:cs="宋体"/>
                <w:color w:val="000000"/>
                <w:sz w:val="24"/>
              </w:rPr>
            </w:pPr>
          </w:p>
        </w:tc>
      </w:tr>
      <w:tr w14:paraId="4B120A81">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E77659">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E8AB25">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50A8A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8C82C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CAF2FB">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E854D9">
            <w:pPr>
              <w:widowControl/>
              <w:jc w:val="center"/>
              <w:textAlignment w:val="center"/>
              <w:rPr>
                <w:rFonts w:ascii="宋体" w:hAnsi="宋体" w:cs="宋体"/>
                <w:color w:val="000000"/>
                <w:sz w:val="24"/>
              </w:rPr>
            </w:pPr>
            <w:r>
              <w:rPr>
                <w:rFonts w:hint="eastAsia" w:ascii="宋体" w:hAnsi="宋体" w:cs="宋体"/>
                <w:color w:val="000000"/>
                <w:sz w:val="24"/>
              </w:rPr>
              <w:t>满意</w:t>
            </w:r>
          </w:p>
        </w:tc>
      </w:tr>
    </w:tbl>
    <w:p w14:paraId="2132C511">
      <w:pPr>
        <w:spacing w:line="580" w:lineRule="exact"/>
        <w:rPr>
          <w:rFonts w:ascii="仿宋_GB2312" w:hAnsi="仿宋_GB2312" w:eastAsia="仿宋_GB2312" w:cs="仿宋_GB2312"/>
          <w:sz w:val="32"/>
          <w:szCs w:val="32"/>
        </w:rPr>
      </w:pPr>
    </w:p>
    <w:p w14:paraId="472572D3">
      <w:pPr>
        <w:numPr>
          <w:ilvl w:val="0"/>
          <w:numId w:val="4"/>
        </w:numPr>
        <w:spacing w:line="44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03D2C1F0">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本部门按要求对2019年部门整体支出绩效评价情况开展自评，《九寨国家森林公园管理局2019年部门整体支出绩效评价报告》见附件。</w:t>
      </w:r>
    </w:p>
    <w:p w14:paraId="18C67ED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eastAsia="仿宋_GB2312"/>
          <w:sz w:val="32"/>
          <w:szCs w:val="32"/>
        </w:rPr>
        <w:t>九寨国家森林公园林区道路恢复重建</w:t>
      </w:r>
      <w:r>
        <w:rPr>
          <w:rFonts w:hint="eastAsia" w:ascii="仿宋_GB2312" w:hAnsi="仿宋_GB2312" w:eastAsia="仿宋_GB2312" w:cs="仿宋_GB2312"/>
          <w:sz w:val="32"/>
          <w:szCs w:val="32"/>
        </w:rPr>
        <w:t>项目、</w:t>
      </w:r>
      <w:r>
        <w:rPr>
          <w:rFonts w:hint="eastAsia" w:eastAsia="仿宋_GB2312"/>
          <w:sz w:val="32"/>
          <w:szCs w:val="32"/>
        </w:rPr>
        <w:t>九寨国家森林公园神仙池管理中心供排水系统恢复重建</w:t>
      </w:r>
      <w:r>
        <w:rPr>
          <w:rFonts w:hint="eastAsia" w:ascii="仿宋_GB2312" w:hAnsi="仿宋_GB2312" w:eastAsia="仿宋_GB2312" w:cs="仿宋_GB2312"/>
          <w:sz w:val="32"/>
          <w:szCs w:val="32"/>
        </w:rPr>
        <w:t>项目、</w:t>
      </w:r>
      <w:r>
        <w:rPr>
          <w:rFonts w:hint="eastAsia" w:eastAsia="仿宋_GB2312"/>
          <w:sz w:val="32"/>
          <w:szCs w:val="32"/>
        </w:rPr>
        <w:t>九寨沟县神仙池生态旅游区建设项目、</w:t>
      </w:r>
      <w:r>
        <w:rPr>
          <w:rFonts w:hint="eastAsia" w:ascii="仿宋_GB2312" w:hAnsi="仿宋_GB2312" w:eastAsia="仿宋_GB2312" w:cs="仿宋_GB2312"/>
          <w:sz w:val="32"/>
          <w:szCs w:val="32"/>
        </w:rPr>
        <w:t>九寨国家森林公园保护站业务用房及防火基础设施恢复重建项目开展了绩效评价，《项目2019年绩效评价报告》见附件。（非涉密部门均需公开部门整体支出评价报告，部门自行组织的绩效评价情况根据部门实际公开）</w:t>
      </w:r>
    </w:p>
    <w:p w14:paraId="67140804">
      <w:pPr>
        <w:spacing w:line="440" w:lineRule="exact"/>
        <w:jc w:val="center"/>
        <w:rPr>
          <w:rFonts w:ascii="方正小标宋简体" w:hAnsi="方正小标宋简体" w:eastAsia="方正小标宋简体" w:cs="方正小标宋简体"/>
          <w:sz w:val="44"/>
          <w:szCs w:val="44"/>
        </w:rPr>
      </w:pPr>
    </w:p>
    <w:p w14:paraId="0DDA4944">
      <w:pPr>
        <w:spacing w:line="440" w:lineRule="exact"/>
        <w:ind w:firstLine="800" w:firstLineChars="250"/>
        <w:outlineLvl w:val="1"/>
        <w:rPr>
          <w:rStyle w:val="25"/>
          <w:rFonts w:ascii="黑体" w:hAnsi="黑体" w:eastAsia="黑体"/>
        </w:rPr>
      </w:pPr>
      <w:bookmarkStart w:id="49" w:name="_Toc15377221"/>
      <w:bookmarkStart w:id="50" w:name="_Toc15396612"/>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49"/>
      <w:bookmarkEnd w:id="50"/>
    </w:p>
    <w:p w14:paraId="7E96D6F1">
      <w:pPr>
        <w:spacing w:line="440" w:lineRule="exact"/>
        <w:ind w:firstLine="643" w:firstLineChars="200"/>
        <w:outlineLvl w:val="2"/>
        <w:rPr>
          <w:rFonts w:ascii="仿宋" w:hAnsi="仿宋" w:eastAsia="仿宋"/>
          <w:color w:val="000000"/>
          <w:sz w:val="32"/>
          <w:szCs w:val="32"/>
        </w:rPr>
      </w:pPr>
      <w:bookmarkStart w:id="51" w:name="_Toc15377222"/>
      <w:r>
        <w:rPr>
          <w:rFonts w:hint="eastAsia" w:ascii="仿宋" w:hAnsi="仿宋" w:eastAsia="仿宋"/>
          <w:b/>
          <w:color w:val="000000"/>
          <w:sz w:val="32"/>
          <w:szCs w:val="32"/>
        </w:rPr>
        <w:t>（一）机关运行经费支出情况</w:t>
      </w:r>
      <w:bookmarkEnd w:id="51"/>
    </w:p>
    <w:p w14:paraId="7FC3B9AA">
      <w:pPr>
        <w:spacing w:line="44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9年，九寨国家森林公园机关运行经费支出0万元，比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w:t>
      </w:r>
      <w:r>
        <w:rPr>
          <w:rFonts w:hint="eastAsia" w:ascii="仿宋_GB2312" w:eastAsia="仿宋_GB2312"/>
          <w:color w:val="000000"/>
          <w:sz w:val="32"/>
          <w:szCs w:val="32"/>
        </w:rPr>
        <w:t>9年决算数持平）。</w:t>
      </w:r>
    </w:p>
    <w:p w14:paraId="6022DB61">
      <w:pPr>
        <w:spacing w:line="44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14:paraId="76A28599">
      <w:pPr>
        <w:autoSpaceDE w:val="0"/>
        <w:autoSpaceDN w:val="0"/>
        <w:adjustRightInd w:val="0"/>
        <w:spacing w:line="440" w:lineRule="exact"/>
        <w:ind w:firstLine="643" w:firstLineChars="200"/>
        <w:jc w:val="left"/>
        <w:outlineLvl w:val="2"/>
        <w:rPr>
          <w:rFonts w:ascii="仿宋" w:hAnsi="仿宋" w:eastAsia="仿宋"/>
          <w:b/>
          <w:color w:val="000000"/>
          <w:sz w:val="32"/>
          <w:szCs w:val="32"/>
        </w:rPr>
      </w:pPr>
      <w:bookmarkStart w:id="52" w:name="_Toc15377223"/>
      <w:r>
        <w:rPr>
          <w:rFonts w:hint="eastAsia" w:ascii="仿宋" w:hAnsi="仿宋" w:eastAsia="仿宋"/>
          <w:b/>
          <w:color w:val="000000"/>
          <w:sz w:val="32"/>
          <w:szCs w:val="32"/>
        </w:rPr>
        <w:t>（二）政府采购支出情况</w:t>
      </w:r>
      <w:bookmarkEnd w:id="52"/>
    </w:p>
    <w:p w14:paraId="6DCAA758">
      <w:pPr>
        <w:spacing w:line="44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3CF5E3E9">
      <w:pPr>
        <w:autoSpaceDE w:val="0"/>
        <w:autoSpaceDN w:val="0"/>
        <w:adjustRightInd w:val="0"/>
        <w:spacing w:line="44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14:paraId="25B415D4">
      <w:pPr>
        <w:autoSpaceDE w:val="0"/>
        <w:autoSpaceDN w:val="0"/>
        <w:adjustRightInd w:val="0"/>
        <w:spacing w:line="440" w:lineRule="exact"/>
        <w:ind w:firstLine="643" w:firstLineChars="200"/>
        <w:jc w:val="left"/>
        <w:outlineLvl w:val="2"/>
        <w:rPr>
          <w:rFonts w:ascii="仿宋" w:hAnsi="仿宋" w:eastAsia="仿宋"/>
          <w:b/>
          <w:color w:val="000000"/>
          <w:sz w:val="32"/>
          <w:szCs w:val="32"/>
        </w:rPr>
      </w:pPr>
      <w:bookmarkStart w:id="53" w:name="_Toc15377224"/>
      <w:r>
        <w:rPr>
          <w:rFonts w:hint="eastAsia" w:ascii="仿宋" w:hAnsi="仿宋" w:eastAsia="仿宋"/>
          <w:b/>
          <w:color w:val="000000"/>
          <w:sz w:val="32"/>
          <w:szCs w:val="32"/>
        </w:rPr>
        <w:t>（三）国有资产占有使用情况</w:t>
      </w:r>
      <w:bookmarkEnd w:id="53"/>
    </w:p>
    <w:p w14:paraId="38050E3E">
      <w:pPr>
        <w:autoSpaceDE w:val="0"/>
        <w:autoSpaceDN w:val="0"/>
        <w:adjustRightInd w:val="0"/>
        <w:spacing w:line="44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日，共有车辆3辆，其中：部级领导干部用车0辆、一般公务用车3辆、一般执法执勤用车0辆、特种专业技术用车0辆、其他用车0辆，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14:paraId="578BE666">
      <w:pPr>
        <w:autoSpaceDE w:val="0"/>
        <w:autoSpaceDN w:val="0"/>
        <w:adjustRightInd w:val="0"/>
        <w:spacing w:line="44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14:paraId="534D1323">
      <w:pPr>
        <w:spacing w:line="440" w:lineRule="exact"/>
        <w:ind w:firstLine="643" w:firstLineChars="200"/>
        <w:rPr>
          <w:rFonts w:ascii="仿宋_GB2312" w:eastAsia="仿宋_GB2312"/>
          <w:b/>
          <w:color w:val="000000"/>
          <w:sz w:val="32"/>
          <w:szCs w:val="32"/>
        </w:rPr>
      </w:pPr>
    </w:p>
    <w:p w14:paraId="7F63BC84">
      <w:pPr>
        <w:widowControl/>
        <w:spacing w:line="440" w:lineRule="exact"/>
        <w:jc w:val="left"/>
        <w:rPr>
          <w:rFonts w:ascii="仿宋_GB2312" w:eastAsia="仿宋_GB2312"/>
          <w:b/>
          <w:color w:val="000000"/>
          <w:sz w:val="32"/>
          <w:szCs w:val="32"/>
        </w:rPr>
      </w:pPr>
      <w:r>
        <w:rPr>
          <w:rFonts w:ascii="仿宋_GB2312" w:eastAsia="仿宋_GB2312"/>
          <w:b/>
          <w:color w:val="000000"/>
          <w:sz w:val="32"/>
          <w:szCs w:val="32"/>
        </w:rPr>
        <w:br w:type="page"/>
      </w:r>
    </w:p>
    <w:p w14:paraId="56F41324">
      <w:pPr>
        <w:numPr>
          <w:ilvl w:val="0"/>
          <w:numId w:val="6"/>
        </w:numPr>
        <w:spacing w:line="440" w:lineRule="exact"/>
        <w:ind w:firstLine="663" w:firstLineChars="150"/>
        <w:jc w:val="center"/>
        <w:outlineLvl w:val="0"/>
        <w:rPr>
          <w:rStyle w:val="24"/>
          <w:rFonts w:ascii="黑体" w:hAnsi="黑体" w:eastAsia="黑体"/>
          <w:b w:val="0"/>
        </w:rPr>
      </w:pPr>
      <w:bookmarkStart w:id="54" w:name="_Toc15377225"/>
      <w:bookmarkStart w:id="55" w:name="_Toc15396613"/>
      <w:r>
        <w:rPr>
          <w:rFonts w:hint="eastAsia" w:ascii="黑体" w:hAnsi="黑体" w:eastAsia="黑体"/>
          <w:b/>
          <w:color w:val="000000"/>
          <w:sz w:val="44"/>
          <w:szCs w:val="44"/>
        </w:rPr>
        <w:t>名</w:t>
      </w:r>
      <w:r>
        <w:rPr>
          <w:rStyle w:val="24"/>
          <w:rFonts w:hint="eastAsia" w:ascii="黑体" w:hAnsi="黑体" w:eastAsia="黑体"/>
          <w:b w:val="0"/>
        </w:rPr>
        <w:t>词解释</w:t>
      </w:r>
      <w:bookmarkEnd w:id="54"/>
      <w:bookmarkEnd w:id="55"/>
    </w:p>
    <w:p w14:paraId="2FE1314B">
      <w:pPr>
        <w:spacing w:line="440" w:lineRule="exact"/>
        <w:jc w:val="left"/>
        <w:rPr>
          <w:rFonts w:ascii="宋体"/>
          <w:b/>
          <w:color w:val="000000"/>
          <w:sz w:val="44"/>
          <w:szCs w:val="44"/>
        </w:rPr>
      </w:pPr>
    </w:p>
    <w:p w14:paraId="745C84D2">
      <w:pPr>
        <w:pStyle w:val="22"/>
        <w:spacing w:line="44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49F5DD5">
      <w:pPr>
        <w:pStyle w:val="22"/>
        <w:spacing w:line="44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439E1E33">
      <w:pPr>
        <w:pStyle w:val="22"/>
        <w:spacing w:line="44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30C9F9AD">
      <w:pPr>
        <w:pStyle w:val="22"/>
        <w:spacing w:line="44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3DFE6205">
      <w:pPr>
        <w:pStyle w:val="22"/>
        <w:spacing w:line="44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15B78645">
      <w:pPr>
        <w:pStyle w:val="22"/>
        <w:spacing w:line="44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64687EA">
      <w:pPr>
        <w:pStyle w:val="22"/>
        <w:spacing w:line="44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07E2D3CF">
      <w:pPr>
        <w:pStyle w:val="22"/>
        <w:spacing w:line="44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790455E3">
      <w:pPr>
        <w:spacing w:line="440"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Style w:val="14"/>
          <w:rFonts w:hint="eastAsia" w:ascii="仿宋" w:hAnsi="仿宋" w:eastAsia="仿宋"/>
          <w:b w:val="0"/>
          <w:color w:val="000000"/>
          <w:sz w:val="32"/>
          <w:szCs w:val="32"/>
        </w:rPr>
        <w:t>一般公共服务201组织事务32其他组织事务支出99</w:t>
      </w:r>
      <w:r>
        <w:rPr>
          <w:rFonts w:hint="eastAsia" w:ascii="仿宋_GB2312" w:eastAsia="仿宋_GB2312"/>
          <w:color w:val="000000"/>
          <w:sz w:val="32"/>
          <w:szCs w:val="32"/>
        </w:rPr>
        <w:t>：指反应除上述项目以外其他用于中国共产党组织部门的事务支出。</w:t>
      </w:r>
    </w:p>
    <w:p w14:paraId="70B6230B">
      <w:pPr>
        <w:spacing w:line="440" w:lineRule="exact"/>
        <w:ind w:firstLine="640" w:firstLineChars="200"/>
        <w:rPr>
          <w:rFonts w:ascii="仿宋_GB2312" w:eastAsia="仿宋_GB2312"/>
          <w:bCs/>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Style w:val="14"/>
          <w:rFonts w:hint="eastAsia" w:ascii="仿宋" w:hAnsi="仿宋" w:eastAsia="仿宋"/>
          <w:b w:val="0"/>
          <w:color w:val="000000"/>
          <w:sz w:val="32"/>
          <w:szCs w:val="32"/>
        </w:rPr>
        <w:t>208行政事业单位离退休05机关事业单位基本养老保险缴费</w:t>
      </w:r>
      <w:r>
        <w:rPr>
          <w:rStyle w:val="14"/>
          <w:rFonts w:hint="eastAsia" w:ascii="仿宋" w:hAnsi="仿宋" w:eastAsia="仿宋"/>
          <w:b w:val="0"/>
          <w:bCs/>
          <w:color w:val="000000"/>
          <w:sz w:val="32"/>
          <w:szCs w:val="32"/>
        </w:rPr>
        <w:t>支出</w:t>
      </w:r>
      <w:r>
        <w:rPr>
          <w:rFonts w:hint="eastAsia" w:ascii="仿宋_GB2312" w:eastAsia="仿宋_GB2312"/>
          <w:bCs/>
          <w:color w:val="000000"/>
          <w:sz w:val="32"/>
          <w:szCs w:val="32"/>
        </w:rPr>
        <w:t>：指反映机关事业单位实施养老保险制度由单位缴纳的基本养老保险费支出。</w:t>
      </w:r>
      <w:r>
        <w:rPr>
          <w:rStyle w:val="14"/>
          <w:rFonts w:hint="eastAsia" w:ascii="仿宋" w:hAnsi="仿宋" w:eastAsia="仿宋"/>
          <w:b w:val="0"/>
          <w:bCs/>
          <w:color w:val="000000"/>
          <w:sz w:val="32"/>
          <w:szCs w:val="32"/>
        </w:rPr>
        <w:t>208其他社会保障和就业支出99其他社会保障和就业支出01</w:t>
      </w:r>
      <w:r>
        <w:rPr>
          <w:rFonts w:hint="eastAsia" w:ascii="仿宋_GB2312" w:eastAsia="仿宋_GB2312"/>
          <w:bCs/>
          <w:color w:val="000000"/>
          <w:sz w:val="32"/>
          <w:szCs w:val="32"/>
        </w:rPr>
        <w:t>支出：指</w:t>
      </w:r>
      <w:r>
        <w:rPr>
          <w:rFonts w:hint="eastAsia" w:ascii="仿宋_GB2312" w:eastAsia="仿宋_GB2312"/>
          <w:color w:val="000000"/>
          <w:sz w:val="32"/>
          <w:szCs w:val="32"/>
        </w:rPr>
        <w:t>反映除上述项目以外其他用于</w:t>
      </w:r>
      <w:r>
        <w:rPr>
          <w:rFonts w:hint="eastAsia" w:ascii="仿宋_GB2312" w:eastAsia="仿宋_GB2312"/>
          <w:bCs/>
          <w:color w:val="000000"/>
          <w:sz w:val="32"/>
          <w:szCs w:val="32"/>
        </w:rPr>
        <w:t>社会保障和就业方面的支出</w:t>
      </w:r>
    </w:p>
    <w:p w14:paraId="2A54C977">
      <w:pPr>
        <w:spacing w:line="4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Style w:val="14"/>
          <w:rFonts w:hint="eastAsia" w:ascii="仿宋" w:hAnsi="仿宋" w:eastAsia="仿宋"/>
          <w:b w:val="0"/>
          <w:bCs/>
          <w:color w:val="000000"/>
          <w:sz w:val="32"/>
          <w:szCs w:val="32"/>
        </w:rPr>
        <w:t>医疗卫生与计划生育支出210行政事业单位医疗11事业单位医疗02</w:t>
      </w:r>
      <w:r>
        <w:rPr>
          <w:rFonts w:hint="eastAsia" w:ascii="仿宋" w:hAnsi="仿宋" w:eastAsia="仿宋"/>
          <w:b/>
          <w:sz w:val="32"/>
          <w:szCs w:val="32"/>
        </w:rPr>
        <w:t>：</w:t>
      </w:r>
      <w:r>
        <w:rPr>
          <w:rFonts w:hint="eastAsia" w:ascii="仿宋_GB2312" w:eastAsia="仿宋_GB2312"/>
          <w:color w:val="000000"/>
          <w:sz w:val="32"/>
          <w:szCs w:val="32"/>
        </w:rPr>
        <w:t>指反映财政部门集中安排的事业单位基本医疗保险缴费经费，未参加医疗保险的事业单位的公费医疗经费，按国家规定享受离休人员待遇人员的医疗经费。</w:t>
      </w:r>
    </w:p>
    <w:p w14:paraId="6C39BC32">
      <w:pPr>
        <w:spacing w:line="440" w:lineRule="exact"/>
        <w:ind w:firstLine="640" w:firstLineChars="200"/>
        <w:rPr>
          <w:rFonts w:ascii="仿宋" w:hAnsi="仿宋" w:eastAsia="仿宋"/>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 w:hAnsi="仿宋" w:eastAsia="仿宋"/>
          <w:b/>
          <w:bCs/>
          <w:color w:val="000000"/>
          <w:sz w:val="32"/>
          <w:szCs w:val="32"/>
        </w:rPr>
        <w:t>节能环保支出</w:t>
      </w:r>
      <w:r>
        <w:rPr>
          <w:rFonts w:hint="eastAsia" w:ascii="仿宋" w:hAnsi="仿宋" w:eastAsia="仿宋"/>
          <w:color w:val="000000"/>
          <w:sz w:val="32"/>
          <w:szCs w:val="32"/>
        </w:rPr>
        <w:t>211自然生态保护04生态保护01</w:t>
      </w:r>
      <w:r>
        <w:rPr>
          <w:rStyle w:val="14"/>
          <w:rFonts w:hint="eastAsia" w:ascii="仿宋" w:hAnsi="仿宋" w:eastAsia="仿宋"/>
          <w:color w:val="000000"/>
          <w:sz w:val="32"/>
          <w:szCs w:val="32"/>
        </w:rPr>
        <w:t>：</w:t>
      </w:r>
      <w:r>
        <w:rPr>
          <w:rFonts w:hint="eastAsia" w:ascii="仿宋_GB2312" w:eastAsia="仿宋_GB2312"/>
          <w:color w:val="000000"/>
          <w:sz w:val="32"/>
          <w:szCs w:val="32"/>
        </w:rPr>
        <w:t>指反映用于生态保护区、生态示范区、生态省（市、县）管理及建设、日常管护、宣教、试点示范等支出，生态修复支出，资源开发生态监管等支出。</w:t>
      </w:r>
      <w:r>
        <w:rPr>
          <w:rFonts w:hint="eastAsia" w:ascii="仿宋" w:hAnsi="仿宋" w:eastAsia="仿宋"/>
          <w:color w:val="000000"/>
          <w:sz w:val="32"/>
          <w:szCs w:val="32"/>
        </w:rPr>
        <w:t>211自然生态保护04其他自然生态保护99</w:t>
      </w:r>
    </w:p>
    <w:p w14:paraId="6E0F0E6D">
      <w:pPr>
        <w:spacing w:line="44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4"/>
          <w:rFonts w:hint="eastAsia" w:ascii="仿宋" w:hAnsi="仿宋" w:eastAsia="仿宋"/>
          <w:color w:val="000000"/>
          <w:sz w:val="32"/>
          <w:szCs w:val="32"/>
        </w:rPr>
        <w:t>农林水支出</w:t>
      </w:r>
      <w:r>
        <w:rPr>
          <w:rStyle w:val="14"/>
          <w:rFonts w:hint="eastAsia" w:ascii="仿宋" w:hAnsi="仿宋" w:eastAsia="仿宋"/>
          <w:b w:val="0"/>
          <w:bCs/>
          <w:color w:val="000000"/>
          <w:sz w:val="32"/>
          <w:szCs w:val="32"/>
        </w:rPr>
        <w:t>213林业和草原02事业机构04</w:t>
      </w:r>
      <w:r>
        <w:rPr>
          <w:rStyle w:val="14"/>
          <w:rFonts w:hint="eastAsia" w:ascii="仿宋" w:hAnsi="仿宋" w:eastAsia="仿宋"/>
          <w:color w:val="000000"/>
          <w:sz w:val="32"/>
          <w:szCs w:val="32"/>
        </w:rPr>
        <w:t>：</w:t>
      </w:r>
      <w:r>
        <w:rPr>
          <w:rFonts w:hint="eastAsia" w:ascii="仿宋_GB2312" w:eastAsia="仿宋_GB2312"/>
          <w:color w:val="000000"/>
          <w:sz w:val="32"/>
          <w:szCs w:val="32"/>
        </w:rPr>
        <w:t>指反映用于林业事业单位的基本支出。213</w:t>
      </w:r>
      <w:r>
        <w:rPr>
          <w:rStyle w:val="14"/>
          <w:rFonts w:hint="eastAsia" w:ascii="仿宋" w:hAnsi="仿宋" w:eastAsia="仿宋"/>
          <w:b w:val="0"/>
          <w:bCs/>
          <w:color w:val="000000"/>
          <w:sz w:val="32"/>
          <w:szCs w:val="32"/>
        </w:rPr>
        <w:t>林业和草原</w:t>
      </w:r>
      <w:r>
        <w:rPr>
          <w:rFonts w:hint="eastAsia" w:ascii="仿宋_GB2312" w:eastAsia="仿宋_GB2312"/>
          <w:color w:val="000000"/>
          <w:sz w:val="32"/>
          <w:szCs w:val="32"/>
        </w:rPr>
        <w:t>02其他林业和草原支出99其他林业和草原支出：指反映除上述项目以外其他用于林业和草原方面的支出。</w:t>
      </w:r>
    </w:p>
    <w:p w14:paraId="2CC39EC7">
      <w:pPr>
        <w:spacing w:line="440" w:lineRule="exact"/>
        <w:ind w:firstLine="640" w:firstLineChars="200"/>
        <w:rPr>
          <w:rFonts w:ascii="仿宋" w:hAnsi="仿宋" w:eastAsia="仿宋"/>
          <w:b/>
          <w:bCs/>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住房保障</w:t>
      </w:r>
      <w:r>
        <w:rPr>
          <w:rStyle w:val="14"/>
          <w:rFonts w:hint="eastAsia" w:ascii="仿宋" w:hAnsi="仿宋" w:eastAsia="仿宋"/>
          <w:b w:val="0"/>
          <w:bCs/>
          <w:color w:val="000000"/>
          <w:sz w:val="32"/>
          <w:szCs w:val="32"/>
        </w:rPr>
        <w:t>支出</w:t>
      </w:r>
      <w:r>
        <w:rPr>
          <w:rStyle w:val="14"/>
          <w:rFonts w:hint="eastAsia" w:ascii="仿宋" w:hAnsi="仿宋" w:eastAsia="仿宋"/>
          <w:color w:val="000000"/>
          <w:sz w:val="32"/>
          <w:szCs w:val="32"/>
        </w:rPr>
        <w:t>住房保障支出</w:t>
      </w:r>
      <w:r>
        <w:rPr>
          <w:rStyle w:val="14"/>
          <w:rFonts w:hint="eastAsia" w:ascii="仿宋" w:hAnsi="仿宋" w:eastAsia="仿宋"/>
          <w:b w:val="0"/>
          <w:bCs/>
          <w:color w:val="000000"/>
          <w:sz w:val="32"/>
          <w:szCs w:val="32"/>
        </w:rPr>
        <w:t>221住房改革支出02住房公积金01：</w:t>
      </w:r>
      <w:r>
        <w:rPr>
          <w:rFonts w:hint="eastAsia" w:ascii="仿宋_GB2312" w:eastAsia="仿宋_GB2312"/>
          <w:color w:val="000000"/>
          <w:sz w:val="32"/>
          <w:szCs w:val="32"/>
        </w:rPr>
        <w:t>指反映行政事业单位按人力资源和社会保障部、财政部规定的基本工资和津贴补贴以及规定比例为职工缴纳的住房公积金。</w:t>
      </w:r>
    </w:p>
    <w:p w14:paraId="08B5179E">
      <w:pPr>
        <w:spacing w:line="44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14:paraId="4E76147E">
      <w:pPr>
        <w:spacing w:line="4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EDE8331">
      <w:pPr>
        <w:spacing w:line="4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597DFC86">
      <w:pPr>
        <w:spacing w:line="4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41C19A29">
      <w:pPr>
        <w:pStyle w:val="22"/>
        <w:spacing w:line="44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41D846A">
      <w:pPr>
        <w:pStyle w:val="22"/>
        <w:spacing w:line="44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7FC81AA">
      <w:pPr>
        <w:pStyle w:val="22"/>
        <w:spacing w:line="440" w:lineRule="exact"/>
        <w:ind w:firstLine="640" w:firstLineChars="200"/>
        <w:rPr>
          <w:rFonts w:ascii="仿宋_GB2312" w:eastAsia="仿宋_GB2312" w:cs="黑体"/>
          <w:sz w:val="32"/>
          <w:szCs w:val="32"/>
        </w:rPr>
      </w:pPr>
    </w:p>
    <w:p w14:paraId="1222A3D8">
      <w:pPr>
        <w:spacing w:line="44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745326B1">
      <w:pPr>
        <w:numPr>
          <w:ilvl w:val="0"/>
          <w:numId w:val="6"/>
        </w:numPr>
        <w:spacing w:line="440" w:lineRule="exact"/>
        <w:ind w:firstLine="663" w:firstLineChars="150"/>
        <w:jc w:val="center"/>
        <w:outlineLvl w:val="0"/>
        <w:rPr>
          <w:rStyle w:val="24"/>
          <w:rFonts w:ascii="黑体" w:hAnsi="黑体" w:eastAsia="黑体"/>
          <w:b w:val="0"/>
        </w:rPr>
      </w:pPr>
      <w:bookmarkStart w:id="56" w:name="_Toc15377226"/>
      <w:r>
        <w:rPr>
          <w:rFonts w:ascii="宋体"/>
          <w:b/>
          <w:color w:val="000000"/>
          <w:sz w:val="44"/>
          <w:szCs w:val="44"/>
        </w:rPr>
        <w:br w:type="page"/>
      </w:r>
      <w:bookmarkStart w:id="57" w:name="_Toc15396614"/>
      <w:r>
        <w:rPr>
          <w:rStyle w:val="24"/>
          <w:rFonts w:hint="eastAsia" w:ascii="黑体" w:hAnsi="黑体" w:eastAsia="黑体"/>
          <w:b w:val="0"/>
        </w:rPr>
        <w:t>附件</w:t>
      </w:r>
      <w:bookmarkEnd w:id="57"/>
      <w:bookmarkStart w:id="58" w:name="_Toc15396615"/>
    </w:p>
    <w:p w14:paraId="69BDCE57">
      <w:pPr>
        <w:spacing w:line="440" w:lineRule="exact"/>
        <w:ind w:left="315" w:leftChars="150"/>
        <w:outlineLvl w:val="0"/>
        <w:rPr>
          <w:rStyle w:val="24"/>
          <w:rFonts w:ascii="仿宋" w:hAnsi="仿宋" w:eastAsia="仿宋"/>
          <w:b w:val="0"/>
          <w:bCs w:val="0"/>
          <w:sz w:val="32"/>
          <w:szCs w:val="32"/>
        </w:rPr>
      </w:pPr>
      <w:r>
        <w:rPr>
          <w:rStyle w:val="24"/>
          <w:rFonts w:hint="eastAsia" w:ascii="仿宋" w:hAnsi="仿宋" w:eastAsia="仿宋"/>
          <w:b w:val="0"/>
          <w:bCs w:val="0"/>
          <w:sz w:val="32"/>
          <w:szCs w:val="32"/>
        </w:rPr>
        <w:t>附件1</w:t>
      </w:r>
      <w:bookmarkEnd w:id="58"/>
    </w:p>
    <w:p w14:paraId="38E7F1FE">
      <w:pPr>
        <w:spacing w:line="440" w:lineRule="exact"/>
        <w:jc w:val="center"/>
        <w:outlineLvl w:val="0"/>
        <w:rPr>
          <w:rFonts w:ascii="黑体" w:hAnsi="黑体" w:eastAsia="黑体" w:cs="方正小标宋简体"/>
          <w:sz w:val="36"/>
          <w:szCs w:val="36"/>
        </w:rPr>
      </w:pPr>
      <w:bookmarkStart w:id="59" w:name="_Toc15396616"/>
      <w:r>
        <w:rPr>
          <w:rFonts w:hint="eastAsia" w:ascii="黑体" w:hAnsi="黑体" w:eastAsia="黑体" w:cs="方正小标宋简体"/>
          <w:sz w:val="36"/>
          <w:szCs w:val="36"/>
        </w:rPr>
        <w:t>九寨国家森林公园管理局</w:t>
      </w:r>
    </w:p>
    <w:p w14:paraId="3B4F78C4">
      <w:pPr>
        <w:spacing w:line="44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2019年部门整体支出绩效评价报告</w:t>
      </w:r>
      <w:bookmarkEnd w:id="59"/>
    </w:p>
    <w:p w14:paraId="74038897">
      <w:pPr>
        <w:spacing w:line="440" w:lineRule="exact"/>
        <w:ind w:firstLine="640" w:firstLineChars="200"/>
        <w:rPr>
          <w:rFonts w:ascii="黑体" w:hAnsi="黑体" w:eastAsia="黑体" w:cs="黑体"/>
          <w:sz w:val="32"/>
          <w:szCs w:val="32"/>
        </w:rPr>
      </w:pPr>
    </w:p>
    <w:p w14:paraId="51116EE3">
      <w:pPr>
        <w:numPr>
          <w:ilvl w:val="0"/>
          <w:numId w:val="7"/>
        </w:numPr>
        <w:spacing w:line="440" w:lineRule="exact"/>
        <w:ind w:firstLine="640" w:firstLineChars="200"/>
        <w:rPr>
          <w:rFonts w:ascii="黑体" w:hAnsi="黑体" w:eastAsia="黑体" w:cs="黑体"/>
          <w:sz w:val="32"/>
          <w:szCs w:val="32"/>
        </w:rPr>
      </w:pPr>
      <w:r>
        <w:rPr>
          <w:rFonts w:hint="eastAsia" w:ascii="黑体" w:hAnsi="黑体" w:eastAsia="黑体" w:cs="黑体"/>
          <w:sz w:val="32"/>
          <w:szCs w:val="32"/>
        </w:rPr>
        <w:t>部门（单位）概况</w:t>
      </w:r>
    </w:p>
    <w:p w14:paraId="07826F1B">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（一）部门（单位）基本情况</w:t>
      </w:r>
    </w:p>
    <w:p w14:paraId="625E760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根据《森林公园管理办法》和《四川省森林公园管理条例》的有关规定，在上级行政主管部门的指导下，结合森林公园的实际和经济发展的需要，制定相应的发展实施方案，并组织实施；统一管理森林公园内的各种资源；调查自然资源并建立档案；组织生态环境监测，应用法律和科学的手段保护园内的生态环境、自然资源及各种野生动植物；组织和协调有关部门开展公园的科学研究工作；负责进行宣教工作；组织科学实验、教学学习、科研考察及驯化、繁殖珍稀濒危野生动植物等工作；负责公园内各项基础设施建设项目顺利实施，协助监督部门对各项基础设施建设项目工程进行质量监督，认真履行上级行政主管部门下达的各项职责。同时受九寨沟县林业局委托执法授权。九寨国家森林公园管理局在林业行政主管部门指导下做好了动植物保护、封山育林、造林绿化、环境保护、护林防火和森林病虫害防治、林政管理等工作;在园区内开展林业法律法规宣传和执法检查;根据《行政处罚法》、《森林法》、《野生动植物保护法》、《森林法实施细则》、《森林防火条例》及《林业行政处罚程序规定》等法律法规的规定及时有效制止违法活动，维护林业行政管理秩序。</w:t>
      </w:r>
    </w:p>
    <w:p w14:paraId="0B08C32F">
      <w:pPr>
        <w:spacing w:line="440" w:lineRule="exact"/>
        <w:ind w:firstLine="640" w:firstLineChars="200"/>
        <w:rPr>
          <w:rFonts w:ascii="仿宋" w:hAnsi="仿宋" w:eastAsia="仿宋" w:cs="仿宋_GB2312"/>
          <w:sz w:val="32"/>
          <w:szCs w:val="32"/>
        </w:rPr>
      </w:pPr>
      <w:r>
        <w:rPr>
          <w:rFonts w:hint="eastAsia" w:ascii="仿宋_GB2312" w:hAnsi="仿宋_GB2312" w:eastAsia="仿宋_GB2312" w:cs="仿宋_GB2312"/>
          <w:bCs/>
          <w:sz w:val="32"/>
          <w:szCs w:val="32"/>
        </w:rPr>
        <w:t>（二）部门（单位）整体支出规模、使用方向和主要内容、涉及范围等2019年整体支出1791.19万元，其中基本支出430.64万元（其中人员经费388.46万元，日常公用经费42.18万元），主要用于职工工资福利支出和正常运转开支；项目支出1360.55万元，主要用于灾后重建项目和非灾后重建项目推进；当年结余1040.37万元，主要包括各项目工程款，2019年项目质保金等。</w:t>
      </w:r>
    </w:p>
    <w:p w14:paraId="5D288CFF">
      <w:pPr>
        <w:spacing w:line="440" w:lineRule="exact"/>
        <w:rPr>
          <w:rFonts w:ascii="黑体" w:hAnsi="黑体" w:eastAsia="黑体" w:cs="黑体"/>
          <w:sz w:val="32"/>
          <w:szCs w:val="32"/>
        </w:rPr>
      </w:pPr>
      <w:r>
        <w:rPr>
          <w:rFonts w:ascii="黑体" w:hAnsi="黑体" w:eastAsia="黑体" w:cs="黑体"/>
          <w:sz w:val="32"/>
          <w:szCs w:val="32"/>
        </w:rPr>
        <w:t>二、部门财政资金收支情况</w:t>
      </w:r>
    </w:p>
    <w:p w14:paraId="67028509">
      <w:pPr>
        <w:spacing w:line="44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（一）基本支出</w:t>
      </w:r>
    </w:p>
    <w:p w14:paraId="68297EBE">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2019年基本支出430.64万元（其中人员经费388.46万元，日常公用经费42.18万元），主要用于职工工资福利支出和正常运转开支。“三公经费”支出7.31万元，其中公务用车运行维护费7.31万元，主要用于5辆一般公务用车在日常开展工作。基本支出各项资金管理制度健全，资金严格按照预算管理相关制度进行管理，资金使用合规合法。</w:t>
      </w:r>
    </w:p>
    <w:p w14:paraId="3C4B0FC6">
      <w:pPr>
        <w:spacing w:line="44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（二）专项支出</w:t>
      </w:r>
    </w:p>
    <w:p w14:paraId="6B53CE5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1、专项资金安排落实、总投入等情况分析</w:t>
      </w:r>
    </w:p>
    <w:p w14:paraId="54F5049A">
      <w:pPr>
        <w:spacing w:line="4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2019年，我局共有工程建设项目10个，其中</w:t>
      </w:r>
      <w:r>
        <w:rPr>
          <w:rFonts w:hint="eastAsia" w:ascii="仿宋_GB2312" w:hAnsi="仿宋_GB2312" w:eastAsia="仿宋_GB2312" w:cs="仿宋_GB2312"/>
          <w:color w:val="000000"/>
          <w:kern w:val="0"/>
          <w:sz w:val="32"/>
          <w:szCs w:val="32"/>
        </w:rPr>
        <w:t>非灾后重建项目6个，灾后重建项目</w:t>
      </w:r>
      <w:r>
        <w:rPr>
          <w:rFonts w:hint="eastAsia" w:ascii="仿宋_GB2312" w:hAnsi="仿宋_GB2312" w:eastAsia="仿宋_GB2312" w:cs="仿宋_GB2312"/>
          <w:color w:val="000000"/>
          <w:sz w:val="32"/>
          <w:szCs w:val="32"/>
        </w:rPr>
        <w:t>4个。</w:t>
      </w:r>
    </w:p>
    <w:p w14:paraId="495B1345">
      <w:pPr>
        <w:spacing w:line="4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bCs/>
          <w:color w:val="000000"/>
          <w:kern w:val="0"/>
          <w:sz w:val="32"/>
          <w:szCs w:val="32"/>
        </w:rPr>
        <w:t>（1）非</w:t>
      </w:r>
      <w:r>
        <w:rPr>
          <w:rFonts w:hint="eastAsia" w:ascii="仿宋_GB2312" w:hAnsi="仿宋_GB2312" w:eastAsia="仿宋_GB2312" w:cs="仿宋_GB2312"/>
          <w:bCs/>
          <w:color w:val="000000"/>
          <w:sz w:val="32"/>
          <w:szCs w:val="32"/>
        </w:rPr>
        <w:t>灾后重建项目</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kern w:val="0"/>
          <w:sz w:val="32"/>
          <w:szCs w:val="32"/>
        </w:rPr>
        <w:t>所有非灾后重建项目估算总投资共计5020万元，实际到位资金3256.49万元，剩余部分为地方配套资金。其中已完成投资共计2824万元，为总投资的87%.</w:t>
      </w:r>
      <w:r>
        <w:rPr>
          <w:rFonts w:hint="eastAsia" w:ascii="仿宋_GB2312" w:hAnsi="仿宋_GB2312" w:eastAsia="仿宋_GB2312" w:cs="仿宋_GB2312"/>
          <w:color w:val="000000"/>
          <w:sz w:val="32"/>
          <w:szCs w:val="32"/>
        </w:rPr>
        <w:t>其中上四寨饮水工程和</w:t>
      </w:r>
      <w:r>
        <w:rPr>
          <w:rFonts w:hint="eastAsia" w:ascii="仿宋_GB2312" w:hAnsi="仿宋_GB2312" w:eastAsia="仿宋_GB2312" w:cs="仿宋_GB2312"/>
          <w:color w:val="000000"/>
          <w:kern w:val="0"/>
          <w:sz w:val="32"/>
          <w:szCs w:val="32"/>
        </w:rPr>
        <w:t>2016年九寨国家森林公园年国家生态重点功能区转移支付禁止开发区补助资金项目已完成竣工验收及财务决算；亚隆那日一体化观景平台项目、神仙池旅游区项目正在编制竣工资料以便开展审计工作；2017、2018九寨国家森林公园年国家生态重点功能区转移支付禁止开发区补助资金项目正在顺利进行中。</w:t>
      </w:r>
    </w:p>
    <w:p w14:paraId="38B4E5EA">
      <w:pPr>
        <w:widowControl/>
        <w:spacing w:line="4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（2）灾后重建项目</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kern w:val="0"/>
          <w:sz w:val="32"/>
          <w:szCs w:val="32"/>
        </w:rPr>
        <w:t>所有灾后重建项目资金为预拨资金，估算总投资为4065万元，实际到位资金4045万元。目前实际完成投资2615.66万元，占总投资的64%，</w:t>
      </w: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color w:val="000000"/>
          <w:kern w:val="0"/>
          <w:sz w:val="32"/>
          <w:szCs w:val="32"/>
        </w:rPr>
        <w:t>九寨国家森林公园神仙池管理中心供排水系统恢复重建项目已完成财务决算。其余3个项目都已完成了工程的60%。明年完工。</w:t>
      </w:r>
    </w:p>
    <w:p w14:paraId="6B5C788E">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2、专项资金管理情况分析</w:t>
      </w:r>
    </w:p>
    <w:p w14:paraId="3883FD41">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财政安排专项资金管理制度健全，包含预算资金管理办法、内部财务管理制度、会计核算制度等；资金拨付有完整的审批流程和手续，资金使用无截留、挤占、挪用、虚列支出等情况。</w:t>
      </w:r>
    </w:p>
    <w:p w14:paraId="1BB90EDD">
      <w:pPr>
        <w:numPr>
          <w:ilvl w:val="0"/>
          <w:numId w:val="7"/>
        </w:num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部门整体预算绩效管理情况（根据适用指标体系进行调整）</w:t>
      </w:r>
    </w:p>
    <w:p w14:paraId="79B85BD2">
      <w:pPr>
        <w:spacing w:line="440" w:lineRule="exact"/>
        <w:ind w:left="420" w:leftChars="200"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2019年，我局积极履职，强化管理，较好的完成了年度工作目标。通过加强预算收支管理，不断建立健全内部管理制度，梳理内部管理流程，部门整体支出管理水平得到提升。根据部门整体支出绩效评价指标体系，我单位2019年度评价得分为87分。部门整体支出绩效情况如下：</w:t>
      </w:r>
    </w:p>
    <w:p w14:paraId="7FE5F905">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 预算配置控制较好得15分。其中：财政供养人员控制率：在职28人/编制30人*100%=93.3%，得5分；“三公”经费预算数没变动，变动率等于0，得5分；重点支出安排率≥90%，得5分。</w:t>
      </w:r>
    </w:p>
    <w:p w14:paraId="4AAE2067">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 预算执行比较到位得13分。</w:t>
      </w:r>
    </w:p>
    <w:p w14:paraId="2785F1B1">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（1）预算调整率大于10%，得2分。</w:t>
      </w:r>
    </w:p>
    <w:p w14:paraId="6BAC0521">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（2）支付进度：专项资金下达及时，按照正常进度进行支付，得3分。</w:t>
      </w:r>
    </w:p>
    <w:p w14:paraId="34D250C9">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（3）结余资金：年初结余资金4038.83万元，年末结余资金2223.67万元，未超过上年结余，得2分。</w:t>
      </w:r>
    </w:p>
    <w:p w14:paraId="012B43FE">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（4）“三公经费”控制率：≤100%,得6分。</w:t>
      </w:r>
    </w:p>
    <w:p w14:paraId="2D2668FA">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 预算管理较理想，制度执行总体较为有效，但仍需进一步强化。得15分。</w:t>
      </w:r>
    </w:p>
    <w:p w14:paraId="246699D8">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（1）管理制度健全性：得3分，</w:t>
      </w:r>
    </w:p>
    <w:p w14:paraId="5A6C7806">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①已制定或具有预算资金管理办法，内部财务管理制度、会计核算制度等管理制度，1分；</w:t>
      </w:r>
    </w:p>
    <w:p w14:paraId="32B32549">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②相关管理制度合法、合规、完整，1分；</w:t>
      </w:r>
    </w:p>
    <w:p w14:paraId="1BE9DABE">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③相关管理制度得到有效执行，1分。</w:t>
      </w:r>
    </w:p>
    <w:p w14:paraId="1EDFA4D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（2）资金使用合规性：得3分，</w:t>
      </w:r>
    </w:p>
    <w:p w14:paraId="67D7F32F">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①支出符合国家财经法规和财务管理制度规定以及有关专项资金管理办法的规定；</w:t>
      </w:r>
    </w:p>
    <w:p w14:paraId="362D8D40">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②资金拨付有完整的审批程序和手续；</w:t>
      </w:r>
    </w:p>
    <w:p w14:paraId="7B921CE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③项目支出按规定经过评估论证；</w:t>
      </w:r>
    </w:p>
    <w:p w14:paraId="38F91A06">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④支出符合部门预算批复的用途；</w:t>
      </w:r>
    </w:p>
    <w:p w14:paraId="388BDD2C">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⑤资金使用无截留、挤占、挪用、虚列支出等情况。</w:t>
      </w:r>
    </w:p>
    <w:p w14:paraId="1B65ED03">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（3）预决算信息公开性和完整性：得3分，</w:t>
      </w:r>
    </w:p>
    <w:p w14:paraId="57C33337">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①按规定内容公开预决算信息，1分；</w:t>
      </w:r>
    </w:p>
    <w:p w14:paraId="31F31DA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②按规定时限公开预决算信息，0.5分；</w:t>
      </w:r>
    </w:p>
    <w:p w14:paraId="7F8B473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③基础数据信息和会计信息资料真实，0.5分；</w:t>
      </w:r>
    </w:p>
    <w:p w14:paraId="7D5359E9">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④基础数据信息和会计信息资料完整，0.5分；</w:t>
      </w:r>
    </w:p>
    <w:p w14:paraId="0C6EF57C">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⑤基础数据信息和汇集信息资料准确，0.5分。                                            </w:t>
      </w:r>
    </w:p>
    <w:p w14:paraId="714C2F86">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（4）政府采购执行率=（实际政府采购金额与政府采购预算金额 一致）*100%=100%，得3分。</w:t>
      </w:r>
    </w:p>
    <w:p w14:paraId="5A4CA702">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（5）公务卡刷卡率：公务卡刷卡率达50%以上，得3分。</w:t>
      </w:r>
    </w:p>
    <w:p w14:paraId="13F314D1">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4.资产管理：资产管理制度健全，符合规范，安全性好。利用率较高，得9分。</w:t>
      </w:r>
    </w:p>
    <w:p w14:paraId="705E1785">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（1）管理制度健全性：得3分，</w:t>
      </w:r>
    </w:p>
    <w:p w14:paraId="478C8FCA">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①已制定或具有资产管理制度，且相关资产管理制度合法、合规、完整，2分；</w:t>
      </w:r>
    </w:p>
    <w:p w14:paraId="47F3238A">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②相关资产管理制度得到有效执行，1分。</w:t>
      </w:r>
    </w:p>
    <w:p w14:paraId="70D0F165">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（2）资产管理安全性：得4分，</w:t>
      </w:r>
    </w:p>
    <w:p w14:paraId="48409BDB">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①资产保存完整；</w:t>
      </w:r>
    </w:p>
    <w:p w14:paraId="47B2CA93">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②资产配置合理；</w:t>
      </w:r>
    </w:p>
    <w:p w14:paraId="3885A153">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③资产处置规范； </w:t>
      </w:r>
    </w:p>
    <w:p w14:paraId="0FE35555">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④资产账务管理合规，帐实相符；</w:t>
      </w:r>
    </w:p>
    <w:p w14:paraId="31802656">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⑤不存在资产有偿使用及处置；</w:t>
      </w:r>
    </w:p>
    <w:p w14:paraId="04621995">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（3）固定产利用率：≥90%，得2分</w:t>
      </w:r>
    </w:p>
    <w:p w14:paraId="66A991E2">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5.职责履行，得20分。</w:t>
      </w:r>
    </w:p>
    <w:p w14:paraId="3E225EDC">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我局积极履职，强化管理，较好的完成了年度工作目标。通过加强预算收支管理，不断建立健全内部管理制度，梳理内部管理流程，部门整体支出管理水平得到提升，。</w:t>
      </w:r>
    </w:p>
    <w:p w14:paraId="53B8863D">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6.履职效益：得15分。各项工作有序开展，社会和谐稳定。</w:t>
      </w:r>
    </w:p>
    <w:p w14:paraId="2DCF3D7B">
      <w:pPr>
        <w:spacing w:line="4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四、评价结论及建议</w:t>
      </w:r>
    </w:p>
    <w:p w14:paraId="1E7CAC6C">
      <w:pPr>
        <w:spacing w:line="44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（一）缺乏专业人才</w:t>
      </w:r>
    </w:p>
    <w:p w14:paraId="7C9F8CC1">
      <w:pPr>
        <w:spacing w:line="4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今年，因灾后重建项目多，任务重，而我局没有项目管理的专业人才，仅靠单位非专业人员边摸索、边学习，难免多走弯路。</w:t>
      </w:r>
    </w:p>
    <w:p w14:paraId="40E1B64D">
      <w:pPr>
        <w:spacing w:line="440" w:lineRule="exac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（二）神仙池景区沿线的通讯问题</w:t>
      </w:r>
    </w:p>
    <w:p w14:paraId="7AA61337">
      <w:pPr>
        <w:spacing w:line="4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上四寨至神仙池景区沿线无信号，处于通讯盲区，这对树立九寨旅游形象和景区资源保护、护林防火工作都极为不利</w:t>
      </w:r>
      <w:r>
        <w:rPr>
          <w:rFonts w:hint="eastAsia" w:ascii="仿宋_GB2312" w:hAnsi="仿宋_GB2312" w:eastAsia="仿宋_GB2312" w:cs="仿宋_GB2312"/>
          <w:color w:val="000000"/>
          <w:sz w:val="32"/>
          <w:szCs w:val="32"/>
        </w:rPr>
        <w:t>。　　　　　　　</w:t>
      </w:r>
    </w:p>
    <w:p w14:paraId="1C1132D1">
      <w:pPr>
        <w:spacing w:line="4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（三）群众满意度的问题有待巩固和提升</w:t>
      </w:r>
    </w:p>
    <w:p w14:paraId="02F378FE">
      <w:pPr>
        <w:spacing w:line="4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通过一年的努力，脱贫攻坚工作的开展得到了大部分群众的认可，但仍有部分群众其中包括贫困户对部分干部、对落实的政策有意见、不理解，群众满意度有待巩固和提升。</w:t>
      </w:r>
    </w:p>
    <w:p w14:paraId="7AB83D6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受自然天气条件及前期设计规划的影响，2019年末结余资金量明显下降，项目资金支出进度顺畅。</w:t>
      </w:r>
    </w:p>
    <w:p w14:paraId="4E1E0CE5">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（四）改进措施和有关建议</w:t>
      </w:r>
    </w:p>
    <w:p w14:paraId="044B393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在今后的项目前期设计及规划更加合理，在保质保量完成项目的情况下加快资金支付进度，尽量减少年末结余资金，提高资金的使用效率。</w:t>
      </w:r>
    </w:p>
    <w:p w14:paraId="546BF29A">
      <w:pPr>
        <w:widowControl/>
        <w:spacing w:line="44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47C930AC">
      <w:pPr>
        <w:pStyle w:val="3"/>
        <w:spacing w:line="440" w:lineRule="exact"/>
        <w:rPr>
          <w:rStyle w:val="24"/>
          <w:rFonts w:ascii="仿宋" w:hAnsi="仿宋" w:eastAsia="仿宋"/>
          <w:b w:val="0"/>
          <w:bCs w:val="0"/>
          <w:sz w:val="32"/>
          <w:szCs w:val="32"/>
        </w:rPr>
      </w:pPr>
      <w:bookmarkStart w:id="60" w:name="_Toc15396617"/>
      <w:r>
        <w:rPr>
          <w:rStyle w:val="24"/>
          <w:rFonts w:hint="eastAsia" w:ascii="仿宋" w:hAnsi="仿宋" w:eastAsia="仿宋"/>
          <w:b w:val="0"/>
          <w:bCs w:val="0"/>
          <w:sz w:val="32"/>
          <w:szCs w:val="32"/>
        </w:rPr>
        <w:t>附件2</w:t>
      </w:r>
      <w:bookmarkEnd w:id="60"/>
    </w:p>
    <w:p w14:paraId="31A45385">
      <w:pPr>
        <w:spacing w:line="440" w:lineRule="exact"/>
        <w:jc w:val="center"/>
        <w:rPr>
          <w:rStyle w:val="24"/>
        </w:rPr>
      </w:pPr>
      <w:r>
        <w:rPr>
          <w:rFonts w:hint="eastAsia" w:ascii="黑体" w:hAnsi="黑体" w:eastAsia="黑体" w:cs="方正小标宋简体"/>
          <w:sz w:val="44"/>
          <w:szCs w:val="44"/>
        </w:rPr>
        <w:t>2019年</w:t>
      </w:r>
      <w:r>
        <w:rPr>
          <w:rStyle w:val="24"/>
          <w:rFonts w:hint="eastAsia"/>
        </w:rPr>
        <w:t>九寨沟县神仙池生态旅游区</w:t>
      </w:r>
    </w:p>
    <w:p w14:paraId="3DBB980E">
      <w:pPr>
        <w:spacing w:line="440" w:lineRule="exact"/>
        <w:jc w:val="center"/>
        <w:rPr>
          <w:rFonts w:ascii="黑体" w:hAnsi="黑体" w:eastAsia="黑体" w:cs="方正小标宋简体"/>
          <w:sz w:val="44"/>
          <w:szCs w:val="44"/>
        </w:rPr>
      </w:pPr>
      <w:r>
        <w:rPr>
          <w:rStyle w:val="24"/>
          <w:rFonts w:hint="eastAsia"/>
        </w:rPr>
        <w:t>建设项目</w:t>
      </w:r>
      <w:r>
        <w:rPr>
          <w:rFonts w:hint="eastAsia" w:ascii="黑体" w:hAnsi="黑体" w:eastAsia="黑体" w:cs="方正小标宋简体"/>
          <w:sz w:val="44"/>
          <w:szCs w:val="44"/>
        </w:rPr>
        <w:t>支出绩效评价报告</w:t>
      </w:r>
    </w:p>
    <w:p w14:paraId="535D2D1F">
      <w:pPr>
        <w:spacing w:line="440"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14:paraId="47600910">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36C2476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神仙池核心景区：厕所改扩建150平方米；生态停车场（神仙池保护站）800平方米；神仙池保护站至仙女桥人行栈道3公里；智慧旅游配套设施系统1套。神仙池景区创4A软环境建设。2.神仙池管理中心周边区域配套设施：观光车停靠站3处；木屋式售票点、商业点、吸烟区、花台式隔离带；3.神仙池游客服务中心改造3000平方米；祥云堡（噶玛涛）10千伏输电线路建设共计5公里；</w:t>
      </w:r>
    </w:p>
    <w:p w14:paraId="42A53D7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43A4FCB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本项目总投资概算为8000万元，资金来源为：“8.8”九寨沟地震灾后专项资金。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已到位2000万元。截止2019年12月支付项目工程进度款1142.11万元，前期费用195.57万元，该项目资金的申报及批复情况是符合资金管理办法等相关规定。</w:t>
      </w:r>
    </w:p>
    <w:p w14:paraId="15D9A58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08417BB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3C93570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279B0B7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完成输电线路建设6000米，完成神仙池保护站至神仙池管理中心栈道修建1公里，神仙池游客管理中心维修改造正在实施。有效保障生态建设与保护，维护生态安全、人民群众生命健康，综合评价结果优秀。</w:t>
      </w:r>
    </w:p>
    <w:p w14:paraId="7870F92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4E91765B">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66FED11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1CB5621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2524804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5C657A2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1DB73AC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5E71E72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2672EFF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401DD53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2AC131E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042E42F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2E1B634B">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4A99C91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48DCB06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5458B61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3093489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77EAFEE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69D5744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4C34B02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①经济效益：4个村通村公路维修工程的的建设完成有利于村民生产发展，对提高全村的经济收入提供了有利条件，得8分。</w:t>
      </w:r>
    </w:p>
    <w:p w14:paraId="2D9E1CE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②社会效益：该项目的建设，有利于稳定村民情绪，稳定全村的和谐稳定，得8分。</w:t>
      </w:r>
    </w:p>
    <w:p w14:paraId="2BB98CD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③环境效益：该项目挡土墙、路基的夯实、护栏的建设等，有利于防止建设地水土流失，对环境产生了积极的影响，得8分。</w:t>
      </w:r>
    </w:p>
    <w:p w14:paraId="0CABE22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④可持续影响：该项目的实施切实解决了4个村村民的出行安全的问题，对人带来了可持续影响，同时挡土墙等的建设对自然及资源带来可持续影响，得8分。</w:t>
      </w:r>
    </w:p>
    <w:p w14:paraId="2EE6B47A">
      <w:pPr>
        <w:spacing w:line="440" w:lineRule="exact"/>
        <w:ind w:firstLine="640" w:firstLineChars="200"/>
        <w:rPr>
          <w:rFonts w:ascii="仿宋_GB2312" w:hAnsi="仿宋_GB2312" w:eastAsia="仿宋_GB2312" w:cs="仿宋_GB2312"/>
          <w:color w:val="7F7F7F"/>
          <w:sz w:val="32"/>
          <w:szCs w:val="32"/>
        </w:rPr>
      </w:pPr>
      <w:r>
        <w:rPr>
          <w:rFonts w:hint="eastAsia" w:ascii="仿宋_GB2312" w:hAnsi="仿宋_GB2312" w:eastAsia="仿宋_GB2312" w:cs="仿宋_GB2312"/>
          <w:sz w:val="32"/>
          <w:szCs w:val="32"/>
        </w:rPr>
        <w:t>⑤服务对象满意度：该项目的建设完成，解决了群众出行安全得问题，群众满意度达100%，得8分。</w:t>
      </w:r>
    </w:p>
    <w:p w14:paraId="31F9F30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3D8B84B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1.主要经验及做法：项目的确立要以有效保障生态建设与保护，维护生态安全为宗旨，以切实提高森林防火控制能力，维护园区生态平衡为目标，项目的申报、实施过程公开透明。</w:t>
      </w:r>
    </w:p>
    <w:p w14:paraId="2BA4781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2AB2FB8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由于天气等自然条件的影响，项目在施工中，存在施工进度较为缓慢的情况，建议在以后的项目规划中，充分考虑天气等客观原因对项目施工的影响，合理规划施工期限。</w:t>
      </w:r>
    </w:p>
    <w:p w14:paraId="67A204D4">
      <w:pPr>
        <w:spacing w:line="440" w:lineRule="exact"/>
        <w:jc w:val="center"/>
        <w:rPr>
          <w:rFonts w:ascii="黑体" w:hAnsi="黑体" w:eastAsia="黑体" w:cs="方正小标宋简体"/>
          <w:sz w:val="44"/>
          <w:szCs w:val="44"/>
        </w:rPr>
      </w:pPr>
      <w:bookmarkStart w:id="61" w:name="_Toc15396618"/>
    </w:p>
    <w:p w14:paraId="36D3546D">
      <w:pPr>
        <w:spacing w:line="440" w:lineRule="exact"/>
        <w:jc w:val="center"/>
        <w:rPr>
          <w:rFonts w:ascii="黑体" w:hAnsi="黑体" w:eastAsia="黑体" w:cs="方正小标宋简体"/>
          <w:sz w:val="44"/>
          <w:szCs w:val="44"/>
        </w:rPr>
      </w:pPr>
    </w:p>
    <w:p w14:paraId="1DC695D9">
      <w:pPr>
        <w:spacing w:line="440" w:lineRule="exact"/>
        <w:jc w:val="center"/>
        <w:rPr>
          <w:rStyle w:val="24"/>
        </w:rPr>
      </w:pPr>
      <w:r>
        <w:rPr>
          <w:rFonts w:hint="eastAsia" w:ascii="黑体" w:hAnsi="黑体" w:eastAsia="黑体" w:cs="方正小标宋简体"/>
          <w:sz w:val="44"/>
          <w:szCs w:val="44"/>
        </w:rPr>
        <w:t>2018年</w:t>
      </w:r>
      <w:r>
        <w:rPr>
          <w:rStyle w:val="24"/>
          <w:rFonts w:hint="eastAsia"/>
        </w:rPr>
        <w:t>九寨国家森林公园林区道路恢复重</w:t>
      </w:r>
    </w:p>
    <w:p w14:paraId="34E9578F">
      <w:pPr>
        <w:spacing w:line="440" w:lineRule="exact"/>
        <w:jc w:val="center"/>
        <w:rPr>
          <w:rFonts w:ascii="黑体" w:hAnsi="黑体" w:eastAsia="黑体" w:cs="方正小标宋简体"/>
          <w:sz w:val="44"/>
          <w:szCs w:val="44"/>
        </w:rPr>
      </w:pPr>
      <w:r>
        <w:rPr>
          <w:rStyle w:val="24"/>
          <w:rFonts w:hint="eastAsia"/>
        </w:rPr>
        <w:t>建设项目</w:t>
      </w:r>
      <w:r>
        <w:rPr>
          <w:rFonts w:hint="eastAsia" w:ascii="黑体" w:hAnsi="黑体" w:eastAsia="黑体" w:cs="方正小标宋简体"/>
          <w:sz w:val="44"/>
          <w:szCs w:val="44"/>
        </w:rPr>
        <w:t>支出绩效评价报告</w:t>
      </w:r>
    </w:p>
    <w:p w14:paraId="48BA7156">
      <w:pPr>
        <w:spacing w:line="440"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w:t>
      </w:r>
      <w:r>
        <w:rPr>
          <w:rFonts w:hint="eastAsia" w:ascii="仿宋_GB2312" w:hAnsi="仿宋_GB2312" w:eastAsia="仿宋_GB2312" w:cs="仿宋_GB2312"/>
          <w:sz w:val="32"/>
          <w:szCs w:val="32"/>
        </w:rPr>
        <w:t>评价工作开展及项目情况</w:t>
      </w:r>
    </w:p>
    <w:p w14:paraId="1122CEA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1B8BB9BA">
      <w:pPr>
        <w:spacing w:line="440"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1.重建林区道路全长4175米；2.补修水泥混</w:t>
      </w:r>
      <w:r>
        <w:rPr>
          <w:rFonts w:hint="eastAsia" w:ascii="仿宋_GB2312" w:hAnsi="仿宋_GB2312" w:eastAsia="仿宋_GB2312" w:cs="仿宋_GB2312"/>
          <w:sz w:val="32"/>
          <w:szCs w:val="32"/>
          <w:lang w:val="en-US" w:eastAsia="zh-CN"/>
        </w:rPr>
        <w:t>凝</w:t>
      </w:r>
      <w:r>
        <w:rPr>
          <w:rFonts w:hint="eastAsia" w:ascii="仿宋_GB2312" w:hAnsi="仿宋_GB2312" w:eastAsia="仿宋_GB2312" w:cs="仿宋_GB2312"/>
          <w:sz w:val="32"/>
          <w:szCs w:val="32"/>
        </w:rPr>
        <w:t>土路面全长1890米；3.重建砾石路面护林防火通道3950米。</w:t>
      </w:r>
    </w:p>
    <w:p w14:paraId="441147E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7A825B2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本项目总投资概算为650万元，资金来源为：“8.8”九寨沟地震灾后专项资金。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已到位600万元。截止2019年12月支付项目工程进度款350.72万元，前期费用61.35万元，该项目资金的申报及批复情况是符合资金管理办法等相关规定。</w:t>
      </w:r>
    </w:p>
    <w:p w14:paraId="6911D87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6A58B1E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0BEB297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225D27F0">
      <w:pPr>
        <w:spacing w:line="44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10公里林区道路施工工程顺利进行为</w:t>
      </w:r>
      <w:r>
        <w:rPr>
          <w:rFonts w:hint="eastAsia" w:ascii="仿宋_GB2312" w:hAnsi="仿宋_GB2312" w:eastAsia="仿宋_GB2312" w:cs="仿宋_GB2312"/>
          <w:b/>
          <w:bCs/>
          <w:color w:val="7F7F7F"/>
          <w:sz w:val="32"/>
          <w:szCs w:val="32"/>
        </w:rPr>
        <w:t>提高九寨沟县生态旅游竞争力、促进经济社会可持续发展，保障人民群众生命健康和维护和谐稳定大局，提高项目区森林防火控制能力。</w:t>
      </w:r>
      <w:r>
        <w:rPr>
          <w:rFonts w:hint="eastAsia" w:ascii="仿宋_GB2312" w:hAnsi="仿宋_GB2312" w:eastAsia="仿宋_GB2312" w:cs="仿宋_GB2312"/>
          <w:sz w:val="32"/>
          <w:szCs w:val="32"/>
        </w:rPr>
        <w:t>综合评价结果优秀。</w:t>
      </w:r>
    </w:p>
    <w:p w14:paraId="1B7F499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7310894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1EEA1D9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3BF0182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71F8C2B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26967BC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3EEEB78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7F3DBF2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09485DF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6B63DFF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271DDE1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5DE9E71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45EF8B2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131A427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1B9B304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27FEC43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6FC72E4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403B435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51A4440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0A805AC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①经济效益：4个村通村公路维修工程的的建设完成有利于村民生产发展，对提高全村的经济收入提供了有利条件，得8分。</w:t>
      </w:r>
    </w:p>
    <w:p w14:paraId="265B8ED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②社会效益：该项目的建设，有利于稳定村民情绪，稳定全村的和谐稳定，得8分。</w:t>
      </w:r>
    </w:p>
    <w:p w14:paraId="574D5DA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③环境效益：该项目挡土墙、路基的夯实、护栏的建设等，有利于防止建设地水土流失，对环境产生了积极的影响，得8分。</w:t>
      </w:r>
    </w:p>
    <w:p w14:paraId="232BFCC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④可持续影响：该项目的实施切实解决了4个村村民的出行安全的问题，对人带来了可持续影响，同时挡土墙等的建设对自然及资源带来可持续影响，得8分。</w:t>
      </w:r>
    </w:p>
    <w:p w14:paraId="551919B0">
      <w:pPr>
        <w:spacing w:line="440" w:lineRule="exact"/>
        <w:ind w:firstLine="640" w:firstLineChars="200"/>
        <w:rPr>
          <w:rFonts w:ascii="仿宋_GB2312" w:hAnsi="仿宋_GB2312" w:eastAsia="仿宋_GB2312" w:cs="仿宋_GB2312"/>
          <w:color w:val="7F7F7F"/>
          <w:sz w:val="32"/>
          <w:szCs w:val="32"/>
        </w:rPr>
      </w:pPr>
      <w:r>
        <w:rPr>
          <w:rFonts w:hint="eastAsia" w:ascii="仿宋_GB2312" w:hAnsi="仿宋_GB2312" w:eastAsia="仿宋_GB2312" w:cs="仿宋_GB2312"/>
          <w:sz w:val="32"/>
          <w:szCs w:val="32"/>
        </w:rPr>
        <w:t>⑤服务对象满意度：该项目的建设完成，解决了群众出行安全得问题，群众满意度达100%，得8分。</w:t>
      </w:r>
    </w:p>
    <w:p w14:paraId="2D2AFCD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021FB838">
      <w:pPr>
        <w:wordWrap w:val="0"/>
        <w:spacing w:line="44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1.主要经验及做法：项目的确立要以有效保障生态建设与保护，维护生态安全为宗旨，以切实提高森林防火控制能力，维护园区生态平衡为目标，项目的申报、实施过程公开透明。                                              </w:t>
      </w:r>
    </w:p>
    <w:p w14:paraId="4BD46C6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5153ECE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由于天气等自然条件的影响，项目在施工中，存在施工进度较为缓慢的情况，建议在以后的项目规划中，充分考虑天气等客观原因对项目施工的影响，合理规划施工期限</w:t>
      </w:r>
    </w:p>
    <w:p w14:paraId="786B1950">
      <w:pPr>
        <w:spacing w:line="440" w:lineRule="exact"/>
        <w:ind w:firstLine="640" w:firstLineChars="200"/>
        <w:rPr>
          <w:rFonts w:ascii="仿宋_GB2312" w:hAnsi="仿宋_GB2312" w:eastAsia="仿宋_GB2312" w:cs="仿宋_GB2312"/>
          <w:sz w:val="32"/>
          <w:szCs w:val="32"/>
        </w:rPr>
      </w:pPr>
    </w:p>
    <w:p w14:paraId="449D7B39">
      <w:pPr>
        <w:spacing w:line="440" w:lineRule="exact"/>
        <w:jc w:val="center"/>
        <w:rPr>
          <w:rFonts w:ascii="黑体" w:hAnsi="黑体" w:eastAsia="黑体" w:cs="方正小标宋简体"/>
          <w:sz w:val="44"/>
          <w:szCs w:val="44"/>
        </w:rPr>
      </w:pPr>
    </w:p>
    <w:p w14:paraId="7CEB1BE8">
      <w:pPr>
        <w:spacing w:line="440" w:lineRule="exact"/>
        <w:jc w:val="center"/>
        <w:rPr>
          <w:rStyle w:val="24"/>
        </w:rPr>
      </w:pPr>
      <w:r>
        <w:rPr>
          <w:rFonts w:hint="eastAsia" w:ascii="黑体" w:hAnsi="黑体" w:eastAsia="黑体" w:cs="方正小标宋简体"/>
          <w:sz w:val="44"/>
          <w:szCs w:val="44"/>
        </w:rPr>
        <w:t>2018年神仙池管理中心供排水</w:t>
      </w:r>
      <w:r>
        <w:rPr>
          <w:rStyle w:val="24"/>
          <w:rFonts w:hint="eastAsia"/>
        </w:rPr>
        <w:t>建设项目</w:t>
      </w:r>
    </w:p>
    <w:p w14:paraId="129B3F43">
      <w:pPr>
        <w:spacing w:line="440" w:lineRule="exact"/>
        <w:jc w:val="center"/>
        <w:rPr>
          <w:rFonts w:ascii="黑体" w:hAnsi="黑体" w:eastAsia="黑体" w:cs="方正小标宋简体"/>
          <w:sz w:val="44"/>
          <w:szCs w:val="44"/>
        </w:rPr>
      </w:pPr>
      <w:r>
        <w:rPr>
          <w:rFonts w:hint="eastAsia" w:ascii="黑体" w:hAnsi="黑体" w:eastAsia="黑体" w:cs="方正小标宋简体"/>
          <w:sz w:val="44"/>
          <w:szCs w:val="44"/>
        </w:rPr>
        <w:t>支出绩效评价报告</w:t>
      </w:r>
    </w:p>
    <w:p w14:paraId="6EC29E3F">
      <w:pPr>
        <w:spacing w:line="440" w:lineRule="exact"/>
        <w:rPr>
          <w:rFonts w:ascii="仿宋" w:hAnsi="仿宋" w:eastAsia="仿宋" w:cs="仿宋_GB2312"/>
          <w:sz w:val="32"/>
          <w:szCs w:val="32"/>
        </w:rPr>
      </w:pPr>
    </w:p>
    <w:p w14:paraId="6D4DB1D3">
      <w:pPr>
        <w:spacing w:line="440"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w:t>
      </w:r>
      <w:r>
        <w:rPr>
          <w:rFonts w:hint="eastAsia" w:ascii="仿宋_GB2312" w:hAnsi="仿宋_GB2312" w:eastAsia="仿宋_GB2312" w:cs="仿宋_GB2312"/>
          <w:sz w:val="32"/>
          <w:szCs w:val="32"/>
        </w:rPr>
        <w:t>评价工作开展及项目情况</w:t>
      </w:r>
    </w:p>
    <w:p w14:paraId="0901DDA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2E9D09A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1.新建水源地饮用水管道2500米、消防管道200米及消防桩4套；2.改建小型污水处理站1座及配套附属设施，该改造一座员工厕所给排水及电气系统项目。</w:t>
      </w:r>
    </w:p>
    <w:p w14:paraId="3C5899C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2DBCE5D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本项目总投资概算为160万元，资金来源为：“8.8”九寨沟地震灾后专项资金。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已到位140万元。截止2018年12月支付项目工程进度款112.17万元，前期费用11.51万元，该项目资金的申报及批复情况是符合资金管理办法等相关规定。</w:t>
      </w:r>
    </w:p>
    <w:p w14:paraId="082FAB4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03C263E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2542535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32BB2ADB">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新建水源地饮用水管道2500米、消防管道200米及消防桩4套；改建小型污水处理站1座及配套附属设施，该改造一座员工厕所给排水及电气系统。项目有效保障生态建设与保护，维护生态安全、人民群众生命健康，综合评价结果优秀。</w:t>
      </w:r>
    </w:p>
    <w:p w14:paraId="1AA9463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7C414F6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733FB0C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269D1CE0">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6B6B2C5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2C3C60B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4CAD28D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1C79FB4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1E249DE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5EBEA30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6755ADC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74DC08A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2BEDBDE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1953C56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760DB3F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56EB185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03CB6C0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61FCBEA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64CC322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581F66D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①经济效益：4个村通村公路维修工程的的建设完成有利于村民生产发展，对提高全村的经济收入提供了有利条件，得8分。</w:t>
      </w:r>
    </w:p>
    <w:p w14:paraId="47F6A360">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②社会效益：该项目的建设，有利于稳定村民情绪，稳定全村的和谐稳定，得8分。</w:t>
      </w:r>
    </w:p>
    <w:p w14:paraId="0E74318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③环境效益：该项目挡土墙、路基的夯实、护栏的建设等，有利于防止建设地水土流失，对环境产生了积极的影响，得8分。</w:t>
      </w:r>
    </w:p>
    <w:p w14:paraId="12C79C7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④可持续影响：该项目的实施切实解决了4个村村民的出行安全的问题，对人带来了可持续影响，同时挡土墙等的建设对自然及资源带来可持续影响，得8分。</w:t>
      </w:r>
    </w:p>
    <w:p w14:paraId="0BB3DD9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⑤服务对象满意度：该项目的建设完成，解决了群众出行安全得问题，群众满意度达100%，得8分</w:t>
      </w:r>
    </w:p>
    <w:p w14:paraId="577EC7B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32E0800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1.主要经验及做法：项目的确立要以有效保障生态建设与保护，维护生态安全为宗旨，以切实提高森林防火控制能力，维护园区生态平衡为目标，项目的申报、实施过程公开透明。</w:t>
      </w:r>
    </w:p>
    <w:p w14:paraId="0116266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587E17F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由于天气等自然条件的影响，项目在施工中，存在施工进度较为缓慢的情况，建议在以后的项目规划中，充分考虑天气等客观原因对项目施工的影响，合理规划施工期限</w:t>
      </w:r>
    </w:p>
    <w:p w14:paraId="4B7516D0">
      <w:pPr>
        <w:spacing w:line="440" w:lineRule="exact"/>
        <w:ind w:firstLine="640" w:firstLineChars="200"/>
        <w:rPr>
          <w:rFonts w:ascii="仿宋_GB2312" w:hAnsi="仿宋_GB2312" w:eastAsia="仿宋_GB2312" w:cs="仿宋_GB2312"/>
          <w:sz w:val="32"/>
          <w:szCs w:val="32"/>
        </w:rPr>
      </w:pPr>
    </w:p>
    <w:p w14:paraId="2D114EF4">
      <w:pPr>
        <w:spacing w:before="156" w:beforeLines="50" w:line="440" w:lineRule="exact"/>
        <w:ind w:left="1978" w:leftChars="418" w:hanging="1100" w:hangingChars="250"/>
        <w:rPr>
          <w:rFonts w:ascii="黑体" w:hAnsi="黑体" w:eastAsia="黑体" w:cs="方正小标宋简体"/>
          <w:sz w:val="44"/>
          <w:szCs w:val="44"/>
        </w:rPr>
      </w:pPr>
      <w:r>
        <w:rPr>
          <w:rFonts w:hint="eastAsia" w:ascii="黑体" w:hAnsi="黑体" w:eastAsia="黑体" w:cs="方正小标宋简体"/>
          <w:sz w:val="44"/>
          <w:szCs w:val="44"/>
        </w:rPr>
        <w:t>2019年</w:t>
      </w:r>
      <w:r>
        <w:rPr>
          <w:rStyle w:val="24"/>
          <w:rFonts w:hint="eastAsia"/>
        </w:rPr>
        <w:t>保护站业务用房及防火基础设施建项目</w:t>
      </w:r>
      <w:r>
        <w:rPr>
          <w:rFonts w:hint="eastAsia" w:ascii="黑体" w:hAnsi="黑体" w:eastAsia="黑体" w:cs="方正小标宋简体"/>
          <w:sz w:val="44"/>
          <w:szCs w:val="44"/>
        </w:rPr>
        <w:t>支出绩效评价报告</w:t>
      </w:r>
    </w:p>
    <w:p w14:paraId="542695DB">
      <w:pPr>
        <w:spacing w:line="440"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w:t>
      </w:r>
      <w:r>
        <w:rPr>
          <w:rFonts w:hint="eastAsia" w:ascii="仿宋_GB2312" w:hAnsi="仿宋_GB2312" w:eastAsia="仿宋_GB2312" w:cs="仿宋_GB2312"/>
          <w:sz w:val="32"/>
          <w:szCs w:val="32"/>
        </w:rPr>
        <w:t>评价工作开展及项目情况</w:t>
      </w:r>
    </w:p>
    <w:p w14:paraId="37018A7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6522AF9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为甘海子景区、神仙池景区的保护站和业务用房及其配套的附属设施重建维修工程，其中维修加固业务用房及配套附属设施面积4264平方米，其中维修上寺寨保护站467平方米，维修上寺寨车库159平方米，维修神仙池保护站400平方米、维修神仙池景区业务用房3238平方米；重建甘海子保护站及物资储备库公一幢，总建筑面积2100平方米和其配套的室外附属，其中重建甘海子保护站1400平方米，重建物资储备库700平方米。</w:t>
      </w:r>
    </w:p>
    <w:p w14:paraId="1539F5C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7006674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本项目总投资概算为1035万元，资金来源为：“8.8”九寨沟地震灾后专项资金。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已到位1035万元。截止2019年12月支付项目工程进度款689.05万元，前期费用57.01万元，该项目资金的申报及批复情况是符合资金管理办法等相关规定。</w:t>
      </w:r>
    </w:p>
    <w:p w14:paraId="513BD7F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0BACEC5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7ED8659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4B4B01B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维修加固上寺寨保护站467平方米、上寺寨车库159平方米，重建甘海子保护站完成主体建设，重建储备库700平方米及购置设备。有效保障生态建设与保护，维护生态安全、人民群众生命健康，综合评价结果优秀。</w:t>
      </w:r>
    </w:p>
    <w:p w14:paraId="774A9EC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3597ED8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24909E4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1B243FB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2B23103B">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5F5DA8D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3402703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62DB331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5BA495C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344E662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1468A4C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48185BA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5361156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22CFCE8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696CE8A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2EE5509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48E89FC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3996451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387D1A7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0C96778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①经济效益：4个村通村公路维修工程的的建设完成有利于村民生产发展，对提高全村的经济收入提供了有利条件，得8分。</w:t>
      </w:r>
    </w:p>
    <w:p w14:paraId="0AFFACF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②社会效益：该项目的建设，有利于稳定村民情绪，稳定全村的和谐稳定，得8分。</w:t>
      </w:r>
    </w:p>
    <w:p w14:paraId="5C1AB43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③环境效益：该项目挡土墙、路基的夯实、护栏的建设等，有利于防止建设地水土流失，对环境产生了积极的影响，得8分。</w:t>
      </w:r>
    </w:p>
    <w:p w14:paraId="265CF38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④可持续影响：该项目的实施切实解决了4个村村民的出行安全的问题，对人带来了可持续影响，同时挡土墙等的建设对自然及资源带来可持续影响，得8分。</w:t>
      </w:r>
    </w:p>
    <w:p w14:paraId="4B85571F">
      <w:pPr>
        <w:spacing w:line="440" w:lineRule="exact"/>
        <w:ind w:firstLine="640" w:firstLineChars="200"/>
        <w:rPr>
          <w:rFonts w:ascii="仿宋_GB2312" w:hAnsi="仿宋_GB2312" w:eastAsia="仿宋_GB2312" w:cs="仿宋_GB2312"/>
          <w:color w:val="7F7F7F"/>
          <w:sz w:val="32"/>
          <w:szCs w:val="32"/>
        </w:rPr>
      </w:pPr>
      <w:r>
        <w:rPr>
          <w:rFonts w:hint="eastAsia" w:ascii="仿宋_GB2312" w:hAnsi="仿宋_GB2312" w:eastAsia="仿宋_GB2312" w:cs="仿宋_GB2312"/>
          <w:sz w:val="32"/>
          <w:szCs w:val="32"/>
        </w:rPr>
        <w:t>⑤服务对象满意度：该项目的建设完成，解决了群众出行安全得问题，群众满意度达100%，得8分。</w:t>
      </w:r>
    </w:p>
    <w:p w14:paraId="0DC1ED9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2CC1579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1.主要经验及做法：项目的确立要以有效保障生态建设与保护，维护生态安全为宗旨，以切实提高森林防火控制能力，维护园区生态平衡为目标，项目的申报、实施过程公开透明。</w:t>
      </w:r>
    </w:p>
    <w:p w14:paraId="62D2A71B">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7DAD523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由于天气等自然条件的影响，项目在施工中，存在施工进度较为缓慢的情况，建议在以后的项目规划中，充分考虑天气等客观原因对项目施工的影响，合理规划施工期限</w:t>
      </w:r>
    </w:p>
    <w:bookmarkEnd w:id="56"/>
    <w:bookmarkEnd w:id="61"/>
    <w:p w14:paraId="28EF345B">
      <w:pPr>
        <w:spacing w:line="440" w:lineRule="exact"/>
        <w:jc w:val="center"/>
        <w:outlineLvl w:val="0"/>
        <w:rPr>
          <w:rFonts w:ascii="仿宋" w:hAnsi="仿宋" w:eastAsia="仿宋"/>
          <w:b/>
          <w:color w:val="000000"/>
          <w:sz w:val="44"/>
          <w:szCs w:val="44"/>
        </w:rPr>
      </w:pPr>
    </w:p>
    <w:p w14:paraId="0CC57CB5">
      <w:pPr>
        <w:spacing w:line="440" w:lineRule="exact"/>
        <w:jc w:val="center"/>
        <w:outlineLvl w:val="0"/>
        <w:rPr>
          <w:rStyle w:val="24"/>
          <w:rFonts w:ascii="黑体" w:hAnsi="黑体" w:eastAsia="黑体"/>
          <w:b w:val="0"/>
        </w:rPr>
      </w:pPr>
      <w:bookmarkStart w:id="62" w:name="_Toc15396619"/>
      <w:r>
        <w:rPr>
          <w:rFonts w:hint="eastAsia" w:ascii="黑体" w:hAnsi="黑体" w:eastAsia="黑体"/>
          <w:color w:val="000000"/>
          <w:sz w:val="44"/>
          <w:szCs w:val="44"/>
        </w:rPr>
        <w:t>第</w:t>
      </w:r>
      <w:r>
        <w:rPr>
          <w:rStyle w:val="24"/>
          <w:rFonts w:hint="eastAsia" w:ascii="黑体" w:hAnsi="黑体" w:eastAsia="黑体"/>
          <w:b w:val="0"/>
        </w:rPr>
        <w:t>五部分 附表</w:t>
      </w:r>
    </w:p>
    <w:p w14:paraId="001DAC38">
      <w:pPr>
        <w:pStyle w:val="3"/>
        <w:spacing w:line="440" w:lineRule="exact"/>
        <w:rPr>
          <w:rFonts w:ascii="仿宋" w:hAnsi="仿宋" w:eastAsia="仿宋"/>
          <w:b w:val="0"/>
          <w:color w:val="000000"/>
        </w:rPr>
      </w:pPr>
    </w:p>
    <w:p w14:paraId="17F23520">
      <w:pPr>
        <w:pStyle w:val="3"/>
        <w:spacing w:line="440" w:lineRule="exact"/>
        <w:rPr>
          <w:rFonts w:ascii="仿宋" w:hAnsi="仿宋" w:eastAsia="仿宋"/>
          <w:b w:val="0"/>
          <w:color w:val="000000"/>
        </w:rPr>
      </w:pPr>
    </w:p>
    <w:p w14:paraId="6B48C813">
      <w:pPr>
        <w:pStyle w:val="3"/>
        <w:spacing w:line="440" w:lineRule="exact"/>
        <w:rPr>
          <w:rFonts w:ascii="仿宋" w:hAnsi="仿宋" w:eastAsia="仿宋"/>
          <w:color w:val="000000"/>
        </w:rPr>
      </w:pPr>
      <w:r>
        <w:rPr>
          <w:rFonts w:hint="eastAsia" w:ascii="仿宋" w:hAnsi="仿宋" w:eastAsia="仿宋"/>
          <w:b w:val="0"/>
          <w:color w:val="000000"/>
        </w:rPr>
        <w:t>一、收</w:t>
      </w:r>
      <w:r>
        <w:rPr>
          <w:rStyle w:val="25"/>
          <w:rFonts w:hint="eastAsia" w:ascii="仿宋" w:hAnsi="仿宋" w:eastAsia="仿宋"/>
          <w:b w:val="0"/>
          <w:bCs w:val="0"/>
        </w:rPr>
        <w:t>入支出决算总表</w:t>
      </w:r>
      <w:bookmarkEnd w:id="62"/>
    </w:p>
    <w:p w14:paraId="5C22B75B">
      <w:pPr>
        <w:pStyle w:val="3"/>
        <w:spacing w:line="440" w:lineRule="exact"/>
        <w:rPr>
          <w:rFonts w:ascii="仿宋" w:hAnsi="仿宋" w:eastAsia="仿宋"/>
          <w:color w:val="000000"/>
        </w:rPr>
      </w:pPr>
      <w:bookmarkStart w:id="63" w:name="_Toc15396620"/>
      <w:r>
        <w:rPr>
          <w:rFonts w:hint="eastAsia" w:ascii="仿宋" w:hAnsi="仿宋" w:eastAsia="仿宋"/>
          <w:b w:val="0"/>
          <w:color w:val="000000"/>
        </w:rPr>
        <w:t>二、收</w:t>
      </w:r>
      <w:r>
        <w:rPr>
          <w:rStyle w:val="25"/>
          <w:rFonts w:hint="eastAsia" w:ascii="仿宋" w:hAnsi="仿宋" w:eastAsia="仿宋"/>
          <w:b w:val="0"/>
          <w:bCs w:val="0"/>
        </w:rPr>
        <w:t>入总表</w:t>
      </w:r>
      <w:bookmarkEnd w:id="63"/>
    </w:p>
    <w:p w14:paraId="60F4A101">
      <w:pPr>
        <w:pStyle w:val="3"/>
        <w:spacing w:line="440" w:lineRule="exact"/>
        <w:rPr>
          <w:rFonts w:ascii="仿宋" w:hAnsi="仿宋" w:eastAsia="仿宋"/>
          <w:color w:val="000000"/>
        </w:rPr>
      </w:pPr>
      <w:bookmarkStart w:id="64"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4"/>
    </w:p>
    <w:p w14:paraId="230FD268">
      <w:pPr>
        <w:pStyle w:val="3"/>
        <w:spacing w:line="440" w:lineRule="exact"/>
        <w:rPr>
          <w:rFonts w:ascii="仿宋" w:hAnsi="仿宋" w:eastAsia="仿宋"/>
          <w:b w:val="0"/>
          <w:color w:val="000000"/>
        </w:rPr>
      </w:pPr>
      <w:bookmarkStart w:id="65"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5"/>
    </w:p>
    <w:p w14:paraId="66B20697">
      <w:pPr>
        <w:pStyle w:val="3"/>
        <w:spacing w:line="440" w:lineRule="exact"/>
        <w:rPr>
          <w:rFonts w:ascii="仿宋" w:hAnsi="仿宋" w:eastAsia="仿宋"/>
          <w:color w:val="000000"/>
        </w:rPr>
      </w:pPr>
      <w:bookmarkStart w:id="66"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6"/>
    </w:p>
    <w:p w14:paraId="16AA37F7">
      <w:pPr>
        <w:pStyle w:val="3"/>
        <w:spacing w:line="440" w:lineRule="exact"/>
        <w:rPr>
          <w:rFonts w:ascii="仿宋" w:hAnsi="仿宋" w:eastAsia="仿宋"/>
          <w:color w:val="000000"/>
        </w:rPr>
      </w:pPr>
      <w:bookmarkStart w:id="67"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7"/>
    </w:p>
    <w:p w14:paraId="06FCBBBE">
      <w:pPr>
        <w:pStyle w:val="3"/>
        <w:spacing w:line="440" w:lineRule="exact"/>
        <w:rPr>
          <w:rFonts w:ascii="仿宋" w:hAnsi="仿宋" w:eastAsia="仿宋"/>
          <w:color w:val="000000"/>
        </w:rPr>
      </w:pPr>
      <w:bookmarkStart w:id="68"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8"/>
    </w:p>
    <w:p w14:paraId="2B863806">
      <w:pPr>
        <w:pStyle w:val="3"/>
        <w:spacing w:line="440" w:lineRule="exact"/>
        <w:rPr>
          <w:rFonts w:ascii="仿宋" w:hAnsi="仿宋" w:eastAsia="仿宋"/>
          <w:color w:val="000000"/>
        </w:rPr>
      </w:pPr>
      <w:bookmarkStart w:id="69"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9"/>
    </w:p>
    <w:p w14:paraId="2D39C150">
      <w:pPr>
        <w:pStyle w:val="3"/>
        <w:spacing w:line="440" w:lineRule="exact"/>
        <w:rPr>
          <w:rFonts w:ascii="仿宋" w:hAnsi="仿宋" w:eastAsia="仿宋"/>
          <w:color w:val="000000"/>
        </w:rPr>
      </w:pPr>
      <w:bookmarkStart w:id="70"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70"/>
    </w:p>
    <w:p w14:paraId="4C9F3FFE">
      <w:pPr>
        <w:pStyle w:val="3"/>
        <w:spacing w:line="440" w:lineRule="exact"/>
        <w:rPr>
          <w:rFonts w:ascii="仿宋" w:hAnsi="仿宋" w:eastAsia="仿宋"/>
          <w:color w:val="000000"/>
        </w:rPr>
      </w:pPr>
      <w:bookmarkStart w:id="71"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1"/>
    </w:p>
    <w:p w14:paraId="0DAA89B2">
      <w:pPr>
        <w:pStyle w:val="3"/>
        <w:spacing w:line="440" w:lineRule="exact"/>
        <w:rPr>
          <w:rFonts w:ascii="仿宋" w:hAnsi="仿宋" w:eastAsia="仿宋"/>
          <w:color w:val="000000"/>
        </w:rPr>
      </w:pPr>
      <w:bookmarkStart w:id="72"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2"/>
    </w:p>
    <w:p w14:paraId="130D1357">
      <w:pPr>
        <w:pStyle w:val="3"/>
        <w:spacing w:line="440" w:lineRule="exact"/>
        <w:rPr>
          <w:rFonts w:ascii="仿宋" w:hAnsi="仿宋" w:eastAsia="仿宋"/>
          <w:color w:val="000000"/>
        </w:rPr>
      </w:pPr>
      <w:bookmarkStart w:id="73"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3"/>
    </w:p>
    <w:p w14:paraId="5C296731">
      <w:pPr>
        <w:pStyle w:val="3"/>
        <w:spacing w:line="440" w:lineRule="exact"/>
        <w:rPr>
          <w:rFonts w:ascii="仿宋" w:hAnsi="仿宋" w:eastAsia="仿宋"/>
          <w:color w:val="000000" w:themeColor="text1"/>
          <w14:textFill>
            <w14:solidFill>
              <w14:schemeClr w14:val="tx1"/>
            </w14:solidFill>
          </w14:textFill>
        </w:rPr>
      </w:pPr>
      <w:bookmarkStart w:id="74"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436F65F1">
        <w:pPr>
          <w:pStyle w:val="8"/>
          <w:jc w:val="center"/>
        </w:pPr>
        <w:r>
          <w:fldChar w:fldCharType="begin"/>
        </w:r>
        <w:r>
          <w:instrText xml:space="preserve">PAGE   \* MERGEFORMAT</w:instrText>
        </w:r>
        <w:r>
          <w:fldChar w:fldCharType="separate"/>
        </w:r>
        <w:r>
          <w:rPr>
            <w:lang w:val="zh-CN"/>
          </w:rPr>
          <w:t>6</w:t>
        </w:r>
        <w:r>
          <w:fldChar w:fldCharType="end"/>
        </w:r>
      </w:p>
    </w:sdtContent>
  </w:sdt>
  <w:p w14:paraId="2C8B62CC">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8FF23">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10A160"/>
    <w:multiLevelType w:val="singleLevel"/>
    <w:tmpl w:val="A210A160"/>
    <w:lvl w:ilvl="0" w:tentative="0">
      <w:start w:val="3"/>
      <w:numFmt w:val="decimal"/>
      <w:suff w:val="nothing"/>
      <w:lvlText w:val="%1、"/>
      <w:lvlJc w:val="left"/>
    </w:lvl>
  </w:abstractNum>
  <w:abstractNum w:abstractNumId="1">
    <w:nsid w:val="B422053A"/>
    <w:multiLevelType w:val="singleLevel"/>
    <w:tmpl w:val="B422053A"/>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5"/>
  </w:num>
  <w:num w:numId="2">
    <w:abstractNumId w:val="2"/>
  </w:num>
  <w:num w:numId="3">
    <w:abstractNumId w:val="6"/>
  </w:num>
  <w:num w:numId="4">
    <w:abstractNumId w:val="4"/>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6F0515"/>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E5ACF"/>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84534"/>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5D49C3"/>
    <w:rsid w:val="04571FD8"/>
    <w:rsid w:val="05E624E0"/>
    <w:rsid w:val="06F660C8"/>
    <w:rsid w:val="08540B53"/>
    <w:rsid w:val="09DE6B9C"/>
    <w:rsid w:val="10C055FF"/>
    <w:rsid w:val="116F03C5"/>
    <w:rsid w:val="14033F77"/>
    <w:rsid w:val="141B5F1C"/>
    <w:rsid w:val="1540610B"/>
    <w:rsid w:val="15725DE7"/>
    <w:rsid w:val="15DA4AAA"/>
    <w:rsid w:val="16201DA6"/>
    <w:rsid w:val="16BB723D"/>
    <w:rsid w:val="1CBD3DC5"/>
    <w:rsid w:val="1D8F5053"/>
    <w:rsid w:val="1E882606"/>
    <w:rsid w:val="1ED2024F"/>
    <w:rsid w:val="20272B80"/>
    <w:rsid w:val="240371BF"/>
    <w:rsid w:val="25CF20C6"/>
    <w:rsid w:val="26C74CE5"/>
    <w:rsid w:val="29FD04D3"/>
    <w:rsid w:val="2B5B58DC"/>
    <w:rsid w:val="2BCD4BFC"/>
    <w:rsid w:val="2EC56941"/>
    <w:rsid w:val="2FD40EF0"/>
    <w:rsid w:val="311C0817"/>
    <w:rsid w:val="319F7F4E"/>
    <w:rsid w:val="32FC5E65"/>
    <w:rsid w:val="33583C1D"/>
    <w:rsid w:val="35E70563"/>
    <w:rsid w:val="381E4C03"/>
    <w:rsid w:val="3A8338B8"/>
    <w:rsid w:val="3B591591"/>
    <w:rsid w:val="3BFF23D4"/>
    <w:rsid w:val="3D726099"/>
    <w:rsid w:val="3DD1117A"/>
    <w:rsid w:val="43697944"/>
    <w:rsid w:val="45FC7205"/>
    <w:rsid w:val="46164A10"/>
    <w:rsid w:val="46BD5DA4"/>
    <w:rsid w:val="482B1CF5"/>
    <w:rsid w:val="510B303A"/>
    <w:rsid w:val="51C93D34"/>
    <w:rsid w:val="58547572"/>
    <w:rsid w:val="58D05728"/>
    <w:rsid w:val="5F9009E4"/>
    <w:rsid w:val="601475FE"/>
    <w:rsid w:val="635A680F"/>
    <w:rsid w:val="66656F0E"/>
    <w:rsid w:val="6F9151EE"/>
    <w:rsid w:val="73AD22BC"/>
    <w:rsid w:val="73BA7CB8"/>
    <w:rsid w:val="773F2D9F"/>
    <w:rsid w:val="7BF109B4"/>
    <w:rsid w:val="7DFB5C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7508D-7640-4666-A14D-051C3DE318EF}">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7307</Words>
  <Characters>8060</Characters>
  <Lines>164</Lines>
  <Paragraphs>46</Paragraphs>
  <TotalTime>20</TotalTime>
  <ScaleCrop>false</ScaleCrop>
  <LinksUpToDate>false</LinksUpToDate>
  <CharactersWithSpaces>8168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有缘千里来相会</cp:lastModifiedBy>
  <cp:lastPrinted>2019-08-01T00:48:00Z</cp:lastPrinted>
  <dcterms:modified xsi:type="dcterms:W3CDTF">2026-04-21T01:47:42Z</dcterms:modified>
  <dc:title>四川省***</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9CC908C38CA54F23A76843A525C12D75_13</vt:lpwstr>
  </property>
  <property fmtid="{D5CDD505-2E9C-101B-9397-08002B2CF9AE}" pid="4" name="KSOTemplateDocerSaveRecord">
    <vt:lpwstr>eyJoZGlkIjoiMjU0NzVlMmRjOTg3ZmZkMDIzMWI1ZDEzZWE1YzVmOTciLCJ1c2VySWQiOiIyNTg1MDc3MDMifQ==</vt:lpwstr>
  </property>
</Properties>
</file>