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9F47E5">
      <w:pPr>
        <w:pageBreakBefore w:val="0"/>
        <w:kinsoku/>
        <w:overflowPunct/>
        <w:topLinePunct w:val="0"/>
        <w:bidi w:val="0"/>
        <w:spacing w:line="576" w:lineRule="exact"/>
        <w:jc w:val="center"/>
        <w:outlineLvl w:val="0"/>
        <w:rPr>
          <w:rFonts w:ascii="方正小标宋简体" w:hAnsi="宋体" w:eastAsia="方正小标宋简体"/>
          <w:color w:val="000000"/>
          <w:sz w:val="72"/>
          <w:szCs w:val="72"/>
        </w:rPr>
      </w:pPr>
      <w:bookmarkStart w:id="0" w:name="_Toc15306267"/>
    </w:p>
    <w:p w14:paraId="04AEAD1B">
      <w:pPr>
        <w:pageBreakBefore w:val="0"/>
        <w:kinsoku/>
        <w:overflowPunct/>
        <w:topLinePunct w:val="0"/>
        <w:bidi w:val="0"/>
        <w:spacing w:line="576" w:lineRule="exact"/>
        <w:jc w:val="center"/>
        <w:outlineLvl w:val="0"/>
        <w:rPr>
          <w:rFonts w:ascii="方正小标宋简体" w:hAnsi="宋体" w:eastAsia="方正小标宋简体"/>
          <w:color w:val="000000"/>
          <w:sz w:val="72"/>
          <w:szCs w:val="72"/>
        </w:rPr>
      </w:pPr>
    </w:p>
    <w:p w14:paraId="59908804">
      <w:pPr>
        <w:pageBreakBefore w:val="0"/>
        <w:kinsoku/>
        <w:overflowPunct/>
        <w:topLinePunct w:val="0"/>
        <w:bidi w:val="0"/>
        <w:spacing w:line="576" w:lineRule="exact"/>
        <w:jc w:val="center"/>
        <w:outlineLvl w:val="0"/>
        <w:rPr>
          <w:rFonts w:ascii="方正小标宋简体" w:hAnsi="宋体" w:eastAsia="方正小标宋简体"/>
          <w:color w:val="000000"/>
          <w:sz w:val="72"/>
          <w:szCs w:val="72"/>
        </w:rPr>
      </w:pPr>
    </w:p>
    <w:p w14:paraId="0DC1E04E">
      <w:pPr>
        <w:keepNext w:val="0"/>
        <w:keepLines w:val="0"/>
        <w:pageBreakBefore w:val="0"/>
        <w:widowControl w:val="0"/>
        <w:kinsoku/>
        <w:wordWrap/>
        <w:overflowPunct/>
        <w:topLinePunct w:val="0"/>
        <w:autoSpaceDE/>
        <w:autoSpaceDN/>
        <w:bidi w:val="0"/>
        <w:spacing w:line="900" w:lineRule="exact"/>
        <w:jc w:val="center"/>
        <w:textAlignment w:val="auto"/>
        <w:outlineLvl w:val="0"/>
        <w:rPr>
          <w:rFonts w:ascii="方正小标宋简体" w:hAnsi="宋体" w:eastAsia="方正小标宋简体"/>
          <w:color w:val="000000"/>
          <w:sz w:val="72"/>
          <w:szCs w:val="72"/>
        </w:rPr>
      </w:pPr>
    </w:p>
    <w:p w14:paraId="6C99C01D">
      <w:pPr>
        <w:keepNext w:val="0"/>
        <w:keepLines w:val="0"/>
        <w:pageBreakBefore w:val="0"/>
        <w:widowControl w:val="0"/>
        <w:kinsoku/>
        <w:wordWrap/>
        <w:overflowPunct/>
        <w:topLinePunct w:val="0"/>
        <w:autoSpaceDE/>
        <w:autoSpaceDN/>
        <w:bidi w:val="0"/>
        <w:adjustRightInd w:val="0"/>
        <w:snapToGrid w:val="0"/>
        <w:spacing w:line="900" w:lineRule="exact"/>
        <w:jc w:val="center"/>
        <w:textAlignment w:val="auto"/>
        <w:outlineLvl w:val="0"/>
        <w:rPr>
          <w:rFonts w:ascii="方正小标宋简体" w:hAnsi="宋体" w:eastAsia="方正小标宋简体"/>
          <w:color w:val="000000"/>
          <w:sz w:val="72"/>
          <w:szCs w:val="72"/>
        </w:rPr>
      </w:pPr>
      <w:bookmarkStart w:id="1" w:name="_Toc15377425"/>
      <w:bookmarkStart w:id="2" w:name="_Toc15377193"/>
      <w:bookmarkStart w:id="3" w:name="_Toc15396597"/>
      <w:bookmarkStart w:id="4" w:name="_Toc15396475"/>
      <w:bookmarkStart w:id="5" w:name="_Toc15378441"/>
      <w:bookmarkStart w:id="92" w:name="_GoBack"/>
      <w:r>
        <w:rPr>
          <w:rFonts w:ascii="黑体" w:hAnsi="黑体" w:eastAsia="黑体"/>
          <w:color w:val="000000"/>
          <w:sz w:val="72"/>
          <w:szCs w:val="72"/>
        </w:rPr>
        <w:t>20</w:t>
      </w:r>
      <w:r>
        <w:rPr>
          <w:rFonts w:hint="eastAsia" w:ascii="黑体" w:hAnsi="黑体" w:eastAsia="黑体"/>
          <w:color w:val="000000"/>
          <w:sz w:val="72"/>
          <w:szCs w:val="72"/>
          <w:lang w:val="en-US" w:eastAsia="zh-CN"/>
        </w:rPr>
        <w:t>20</w:t>
      </w:r>
      <w:r>
        <w:rPr>
          <w:rFonts w:hint="eastAsia" w:ascii="方正小标宋简体" w:hAnsi="宋体" w:eastAsia="方正小标宋简体"/>
          <w:color w:val="000000"/>
          <w:sz w:val="72"/>
          <w:szCs w:val="72"/>
        </w:rPr>
        <w:t>年度</w:t>
      </w:r>
      <w:bookmarkEnd w:id="1"/>
      <w:bookmarkEnd w:id="2"/>
      <w:bookmarkEnd w:id="3"/>
      <w:bookmarkEnd w:id="4"/>
      <w:bookmarkEnd w:id="5"/>
    </w:p>
    <w:p w14:paraId="2ABF6A1F">
      <w:pPr>
        <w:keepNext w:val="0"/>
        <w:keepLines w:val="0"/>
        <w:pageBreakBefore w:val="0"/>
        <w:widowControl w:val="0"/>
        <w:kinsoku/>
        <w:wordWrap/>
        <w:overflowPunct/>
        <w:topLinePunct w:val="0"/>
        <w:autoSpaceDE/>
        <w:autoSpaceDN/>
        <w:bidi w:val="0"/>
        <w:adjustRightInd w:val="0"/>
        <w:snapToGrid w:val="0"/>
        <w:spacing w:line="900" w:lineRule="exact"/>
        <w:jc w:val="center"/>
        <w:textAlignment w:val="auto"/>
        <w:outlineLvl w:val="0"/>
        <w:rPr>
          <w:rFonts w:ascii="方正小标宋简体" w:hAnsi="宋体" w:eastAsia="方正小标宋简体"/>
          <w:color w:val="000000"/>
          <w:sz w:val="72"/>
          <w:szCs w:val="72"/>
        </w:rPr>
      </w:pPr>
      <w:bookmarkStart w:id="6" w:name="_Toc15396476"/>
      <w:bookmarkStart w:id="7" w:name="_Toc15377426"/>
      <w:bookmarkStart w:id="8" w:name="_Toc15377194"/>
      <w:bookmarkStart w:id="9" w:name="_Toc15396598"/>
      <w:bookmarkStart w:id="10" w:name="_Toc15378442"/>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rPr>
        <w:t>九寨沟县九寨国家森林公园部门决算</w:t>
      </w:r>
      <w:bookmarkEnd w:id="6"/>
      <w:bookmarkEnd w:id="7"/>
      <w:bookmarkEnd w:id="8"/>
      <w:bookmarkEnd w:id="9"/>
      <w:bookmarkEnd w:id="10"/>
      <w:bookmarkEnd w:id="11"/>
    </w:p>
    <w:bookmarkEnd w:id="92"/>
    <w:p w14:paraId="6D36B3CE">
      <w:pPr>
        <w:pageBreakBefore w:val="0"/>
        <w:widowControl/>
        <w:kinsoku/>
        <w:overflowPunct/>
        <w:topLinePunct w:val="0"/>
        <w:bidi w:val="0"/>
        <w:spacing w:line="576" w:lineRule="exact"/>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14:paraId="138276BF">
      <w:pPr>
        <w:pageBreakBefore w:val="0"/>
        <w:widowControl/>
        <w:kinsoku/>
        <w:overflowPunct/>
        <w:topLinePunct w:val="0"/>
        <w:bidi w:val="0"/>
        <w:spacing w:line="576" w:lineRule="exact"/>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14:paraId="3BF89EC7">
      <w:pPr>
        <w:pStyle w:val="12"/>
        <w:pageBreakBefore w:val="0"/>
        <w:kinsoku/>
        <w:overflowPunct/>
        <w:topLinePunct w:val="0"/>
        <w:bidi w:val="0"/>
        <w:spacing w:line="576" w:lineRule="exact"/>
      </w:pPr>
      <w:r>
        <w:rPr>
          <w:rFonts w:hint="eastAsia"/>
        </w:rPr>
        <w:t>公开时间：20</w:t>
      </w:r>
      <w:r>
        <w:rPr>
          <w:rFonts w:hint="eastAsia"/>
          <w:lang w:val="en-US" w:eastAsia="zh-CN"/>
        </w:rPr>
        <w:t>21</w:t>
      </w:r>
      <w:r>
        <w:rPr>
          <w:rFonts w:hint="eastAsia"/>
        </w:rPr>
        <w:t>年</w:t>
      </w:r>
      <w:r>
        <w:rPr>
          <w:rFonts w:hint="eastAsia"/>
          <w:lang w:val="en-US" w:eastAsia="zh-CN"/>
        </w:rPr>
        <w:t>9</w:t>
      </w:r>
      <w:r>
        <w:rPr>
          <w:rFonts w:hint="eastAsia"/>
        </w:rPr>
        <w:t>月</w:t>
      </w:r>
      <w:r>
        <w:rPr>
          <w:rFonts w:hint="eastAsia"/>
          <w:lang w:val="en-US" w:eastAsia="zh-CN"/>
        </w:rPr>
        <w:t>6</w:t>
      </w:r>
      <w:r>
        <w:rPr>
          <w:rFonts w:hint="eastAsia"/>
        </w:rPr>
        <w:t>日</w:t>
      </w:r>
    </w:p>
    <w:p w14:paraId="22E45315">
      <w:pPr>
        <w:pageBreakBefore w:val="0"/>
        <w:kinsoku/>
        <w:overflowPunct/>
        <w:topLinePunct w:val="0"/>
        <w:bidi w:val="0"/>
        <w:spacing w:line="576" w:lineRule="exact"/>
      </w:pPr>
    </w:p>
    <w:p w14:paraId="71620E0E">
      <w:pPr>
        <w:pStyle w:val="12"/>
        <w:rPr>
          <w:rFonts w:hint="eastAsia" w:eastAsia="仿宋" w:hAnsiTheme="minorHAnsi" w:cstheme="minorBidi"/>
          <w:b w:val="0"/>
          <w:bCs w:val="0"/>
          <w:caps w:val="0"/>
          <w:sz w:val="21"/>
          <w:szCs w:val="22"/>
          <w:lang w:val="en-US" w:eastAsia="zh-CN"/>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rPr>
          <w:rFonts w:hint="eastAsia"/>
          <w:lang w:val="en-US" w:eastAsia="zh-CN"/>
        </w:rPr>
        <w:t>4</w:t>
      </w:r>
    </w:p>
    <w:p w14:paraId="37A7B194">
      <w:pPr>
        <w:pStyle w:val="13"/>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4</w:t>
      </w:r>
      <w:r>
        <w:fldChar w:fldCharType="end"/>
      </w:r>
    </w:p>
    <w:p w14:paraId="56109F49">
      <w:pPr>
        <w:pStyle w:val="8"/>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4</w:t>
      </w:r>
      <w:r>
        <w:fldChar w:fldCharType="end"/>
      </w:r>
    </w:p>
    <w:p w14:paraId="07503FB7">
      <w:pPr>
        <w:pStyle w:val="8"/>
        <w:rPr>
          <w:rFonts w:hAnsiTheme="minorHAnsi" w:eastAsiaTheme="minorEastAsia" w:cstheme="minorBidi"/>
          <w:i w:val="0"/>
          <w:iCs w:val="0"/>
          <w:sz w:val="21"/>
          <w:szCs w:val="22"/>
        </w:rPr>
      </w:pPr>
      <w:r>
        <w:rPr>
          <w:rFonts w:ascii="仿宋" w:hAnsi="仿宋" w:eastAsia="仿宋"/>
          <w:bCs/>
          <w:color w:val="000000"/>
        </w:rPr>
        <w:t>（二）2020年重点工作完成情况。</w:t>
      </w:r>
      <w:r>
        <w:tab/>
      </w:r>
      <w:r>
        <w:fldChar w:fldCharType="begin"/>
      </w:r>
      <w:r>
        <w:instrText xml:space="preserve"> PAGEREF _Toc79163854 \h </w:instrText>
      </w:r>
      <w:r>
        <w:fldChar w:fldCharType="separate"/>
      </w:r>
      <w:r>
        <w:t>4</w:t>
      </w:r>
      <w:r>
        <w:fldChar w:fldCharType="end"/>
      </w:r>
    </w:p>
    <w:p w14:paraId="17268B5A">
      <w:pPr>
        <w:pStyle w:val="13"/>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4</w:t>
      </w:r>
      <w:r>
        <w:fldChar w:fldCharType="end"/>
      </w:r>
    </w:p>
    <w:p w14:paraId="5E33019E">
      <w:pPr>
        <w:pStyle w:val="12"/>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fldChar w:fldCharType="begin"/>
      </w:r>
      <w:r>
        <w:instrText xml:space="preserve"> PAGEREF _Toc79163859 \h </w:instrText>
      </w:r>
      <w:r>
        <w:fldChar w:fldCharType="separate"/>
      </w:r>
      <w:r>
        <w:t>5</w:t>
      </w:r>
      <w:r>
        <w:fldChar w:fldCharType="end"/>
      </w:r>
    </w:p>
    <w:p w14:paraId="2CB5F2D5">
      <w:pPr>
        <w:pStyle w:val="13"/>
        <w:tabs>
          <w:tab w:val="left" w:pos="840"/>
        </w:tabs>
        <w:rPr>
          <w:rFonts w:hAnsiTheme="minorHAnsi" w:eastAsiaTheme="minorEastAsia" w:cstheme="minorBidi"/>
          <w:smallCaps w:val="0"/>
          <w:sz w:val="21"/>
          <w:szCs w:val="22"/>
        </w:rPr>
      </w:pPr>
      <w:r>
        <w:rPr>
          <w:rFonts w:ascii="黑体" w:hAnsi="黑体" w:eastAsia="黑体"/>
          <w:bCs/>
        </w:rPr>
        <w:t>一、</w:t>
      </w:r>
      <w:r>
        <w:rPr>
          <w:rFonts w:ascii="黑体" w:hAnsi="黑体" w:eastAsia="黑体"/>
          <w:color w:val="000000"/>
        </w:rPr>
        <w:t>收</w:t>
      </w:r>
      <w:r>
        <w:rPr>
          <w:rFonts w:ascii="黑体" w:hAnsi="黑体" w:eastAsia="黑体"/>
          <w:bCs/>
        </w:rPr>
        <w:t>入支出决算总体情况说明</w:t>
      </w:r>
      <w:r>
        <w:tab/>
      </w:r>
      <w:r>
        <w:fldChar w:fldCharType="begin"/>
      </w:r>
      <w:r>
        <w:instrText xml:space="preserve"> PAGEREF _Toc79163860 \h </w:instrText>
      </w:r>
      <w:r>
        <w:fldChar w:fldCharType="separate"/>
      </w:r>
      <w:r>
        <w:t>5</w:t>
      </w:r>
      <w:r>
        <w:fldChar w:fldCharType="end"/>
      </w:r>
    </w:p>
    <w:p w14:paraId="2280F60B">
      <w:pPr>
        <w:pStyle w:val="13"/>
        <w:tabs>
          <w:tab w:val="left" w:pos="840"/>
        </w:tabs>
        <w:rPr>
          <w:rFonts w:hAnsiTheme="minorHAnsi" w:eastAsiaTheme="minorEastAsia" w:cstheme="minorBidi"/>
          <w:smallCaps w:val="0"/>
          <w:sz w:val="21"/>
          <w:szCs w:val="22"/>
        </w:rPr>
      </w:pPr>
      <w:r>
        <w:rPr>
          <w:rFonts w:ascii="黑体" w:hAnsi="黑体" w:eastAsia="黑体"/>
          <w:bCs/>
        </w:rPr>
        <w:t>二、</w:t>
      </w:r>
      <w:r>
        <w:rPr>
          <w:rFonts w:ascii="黑体" w:hAnsi="黑体" w:eastAsia="黑体"/>
          <w:color w:val="000000"/>
        </w:rPr>
        <w:t>收</w:t>
      </w:r>
      <w:r>
        <w:rPr>
          <w:rFonts w:ascii="黑体" w:hAnsi="黑体" w:eastAsia="黑体"/>
          <w:bCs/>
        </w:rPr>
        <w:t>入决算情况说明</w:t>
      </w:r>
      <w:r>
        <w:tab/>
      </w:r>
      <w:r>
        <w:fldChar w:fldCharType="begin"/>
      </w:r>
      <w:r>
        <w:instrText xml:space="preserve"> PAGEREF _Toc79163861 \h </w:instrText>
      </w:r>
      <w:r>
        <w:fldChar w:fldCharType="separate"/>
      </w:r>
      <w:r>
        <w:t>5</w:t>
      </w:r>
      <w:r>
        <w:fldChar w:fldCharType="end"/>
      </w:r>
    </w:p>
    <w:p w14:paraId="04C2B70B">
      <w:pPr>
        <w:pStyle w:val="13"/>
        <w:tabs>
          <w:tab w:val="left" w:pos="840"/>
        </w:tabs>
        <w:rPr>
          <w:rFonts w:hAnsiTheme="minorHAnsi" w:eastAsiaTheme="minorEastAsia" w:cstheme="minorBidi"/>
          <w:smallCaps w:val="0"/>
          <w:sz w:val="21"/>
          <w:szCs w:val="22"/>
        </w:rPr>
      </w:pPr>
      <w:r>
        <w:rPr>
          <w:rFonts w:ascii="黑体" w:hAnsi="黑体" w:eastAsia="黑体"/>
          <w:bCs/>
        </w:rPr>
        <w:t>三、</w:t>
      </w:r>
      <w:r>
        <w:rPr>
          <w:rFonts w:ascii="黑体" w:hAnsi="黑体" w:eastAsia="黑体"/>
          <w:color w:val="000000"/>
        </w:rPr>
        <w:t>支</w:t>
      </w:r>
      <w:r>
        <w:rPr>
          <w:rFonts w:ascii="黑体" w:hAnsi="黑体" w:eastAsia="黑体"/>
          <w:bCs/>
        </w:rPr>
        <w:t>出决算情况说明</w:t>
      </w:r>
      <w:r>
        <w:tab/>
      </w:r>
      <w:r>
        <w:fldChar w:fldCharType="begin"/>
      </w:r>
      <w:r>
        <w:instrText xml:space="preserve"> PAGEREF _Toc79163862 \h </w:instrText>
      </w:r>
      <w:r>
        <w:fldChar w:fldCharType="separate"/>
      </w:r>
      <w:r>
        <w:t>5</w:t>
      </w:r>
      <w:r>
        <w:fldChar w:fldCharType="end"/>
      </w:r>
    </w:p>
    <w:p w14:paraId="51EEE4FD">
      <w:pPr>
        <w:pStyle w:val="13"/>
        <w:rPr>
          <w:rFonts w:hint="eastAsia" w:eastAsia="宋体" w:hAnsiTheme="minorHAnsi" w:cstheme="minorBidi"/>
          <w:smallCaps w:val="0"/>
          <w:sz w:val="21"/>
          <w:szCs w:val="22"/>
          <w:lang w:val="en-US"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5</w:t>
      </w:r>
    </w:p>
    <w:p w14:paraId="1289BED9">
      <w:pPr>
        <w:pStyle w:val="13"/>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6</w:t>
      </w:r>
      <w:r>
        <w:fldChar w:fldCharType="end"/>
      </w:r>
    </w:p>
    <w:p w14:paraId="2B69E8D5">
      <w:pPr>
        <w:pStyle w:val="8"/>
        <w:rPr>
          <w:rFonts w:hAnsiTheme="minorHAnsi" w:eastAsiaTheme="minorEastAsia" w:cstheme="minorBidi"/>
          <w:i w:val="0"/>
          <w:iCs w:val="0"/>
          <w:sz w:val="21"/>
          <w:szCs w:val="22"/>
        </w:rPr>
      </w:pPr>
      <w:r>
        <w:rPr>
          <w:rFonts w:ascii="仿宋" w:hAnsi="仿宋" w:eastAsia="仿宋"/>
          <w:b/>
          <w:color w:val="000000"/>
        </w:rPr>
        <w:t>（一）一般公共预算财政拨款支出决算总体情况</w:t>
      </w:r>
      <w:r>
        <w:tab/>
      </w:r>
      <w:r>
        <w:fldChar w:fldCharType="begin"/>
      </w:r>
      <w:r>
        <w:instrText xml:space="preserve"> PAGEREF _Toc79163865 \h </w:instrText>
      </w:r>
      <w:r>
        <w:fldChar w:fldCharType="separate"/>
      </w:r>
      <w:r>
        <w:t>6</w:t>
      </w:r>
      <w:r>
        <w:fldChar w:fldCharType="end"/>
      </w:r>
    </w:p>
    <w:p w14:paraId="4AF41F95">
      <w:pPr>
        <w:pStyle w:val="8"/>
        <w:rPr>
          <w:rFonts w:hint="eastAsia" w:eastAsia="宋体" w:hAnsiTheme="minorHAnsi" w:cstheme="minorBidi"/>
          <w:i w:val="0"/>
          <w:iCs w:val="0"/>
          <w:sz w:val="21"/>
          <w:szCs w:val="22"/>
          <w:lang w:val="en-US" w:eastAsia="zh-CN"/>
        </w:rPr>
      </w:pPr>
      <w:r>
        <w:rPr>
          <w:rFonts w:ascii="仿宋" w:hAnsi="仿宋" w:eastAsia="仿宋"/>
          <w:b/>
          <w:color w:val="000000"/>
        </w:rPr>
        <w:t>（二）一般公共预算财政拨款支出决算结构情况</w:t>
      </w:r>
      <w:r>
        <w:tab/>
      </w:r>
      <w:r>
        <w:rPr>
          <w:rFonts w:hint="eastAsia"/>
          <w:lang w:val="en-US" w:eastAsia="zh-CN"/>
        </w:rPr>
        <w:t>6</w:t>
      </w:r>
    </w:p>
    <w:p w14:paraId="656B6665">
      <w:pPr>
        <w:pStyle w:val="8"/>
        <w:rPr>
          <w:rFonts w:hint="eastAsia" w:eastAsia="宋体" w:hAnsiTheme="minorHAnsi" w:cstheme="minorBidi"/>
          <w:i w:val="0"/>
          <w:iCs w:val="0"/>
          <w:sz w:val="21"/>
          <w:szCs w:val="22"/>
          <w:lang w:val="en-US" w:eastAsia="zh-CN"/>
        </w:rPr>
      </w:pPr>
      <w:r>
        <w:rPr>
          <w:rFonts w:ascii="仿宋" w:hAnsi="仿宋" w:eastAsia="仿宋"/>
          <w:b/>
          <w:color w:val="000000"/>
        </w:rPr>
        <w:t>（三）一般公共预算财政拨款支出决算具体情况</w:t>
      </w:r>
      <w:r>
        <w:tab/>
      </w:r>
      <w:r>
        <w:rPr>
          <w:rFonts w:hint="eastAsia"/>
          <w:lang w:val="en-US" w:eastAsia="zh-CN"/>
        </w:rPr>
        <w:t>6</w:t>
      </w:r>
    </w:p>
    <w:p w14:paraId="6D5D073E">
      <w:pPr>
        <w:pStyle w:val="13"/>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8</w:t>
      </w:r>
      <w:r>
        <w:fldChar w:fldCharType="end"/>
      </w:r>
    </w:p>
    <w:p w14:paraId="021F47A2">
      <w:pPr>
        <w:pStyle w:val="13"/>
        <w:rPr>
          <w:rFonts w:hint="eastAsia" w:eastAsia="宋体" w:hAnsiTheme="minorHAnsi" w:cstheme="minorBidi"/>
          <w:smallCaps w:val="0"/>
          <w:sz w:val="21"/>
          <w:szCs w:val="22"/>
          <w:lang w:val="en-US" w:eastAsia="zh-CN"/>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8</w:t>
      </w:r>
    </w:p>
    <w:p w14:paraId="7CE9457D">
      <w:pPr>
        <w:pStyle w:val="8"/>
        <w:rPr>
          <w:rFonts w:hint="eastAsia" w:eastAsia="宋体" w:hAnsiTheme="minorHAnsi" w:cstheme="minorBidi"/>
          <w:i w:val="0"/>
          <w:iCs w:val="0"/>
          <w:sz w:val="21"/>
          <w:szCs w:val="22"/>
          <w:lang w:val="en-US" w:eastAsia="zh-CN"/>
        </w:rPr>
      </w:pPr>
      <w:r>
        <w:rPr>
          <w:rFonts w:ascii="仿宋" w:hAnsi="仿宋" w:eastAsia="仿宋"/>
          <w:b/>
          <w:color w:val="000000"/>
        </w:rPr>
        <w:t>（一）“三公”经费财政拨款支出决算总体情况说明</w:t>
      </w:r>
      <w:r>
        <w:tab/>
      </w:r>
      <w:r>
        <w:rPr>
          <w:rFonts w:hint="eastAsia"/>
          <w:lang w:val="en-US" w:eastAsia="zh-CN"/>
        </w:rPr>
        <w:t>8</w:t>
      </w:r>
    </w:p>
    <w:p w14:paraId="2B9C9B21">
      <w:pPr>
        <w:pStyle w:val="8"/>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fldChar w:fldCharType="begin"/>
      </w:r>
      <w:r>
        <w:instrText xml:space="preserve"> PAGEREF _Toc79163871 \h </w:instrText>
      </w:r>
      <w:r>
        <w:fldChar w:fldCharType="separate"/>
      </w:r>
      <w:r>
        <w:t>9</w:t>
      </w:r>
      <w:r>
        <w:fldChar w:fldCharType="end"/>
      </w:r>
    </w:p>
    <w:p w14:paraId="6DC9E645">
      <w:pPr>
        <w:pStyle w:val="13"/>
        <w:rPr>
          <w:rFonts w:hint="default" w:eastAsia="宋体" w:hAnsiTheme="minorHAnsi" w:cstheme="minorBidi"/>
          <w:smallCaps w:val="0"/>
          <w:sz w:val="21"/>
          <w:szCs w:val="22"/>
          <w:lang w:val="en-US" w:eastAsia="zh-CN"/>
        </w:rPr>
      </w:pPr>
      <w:r>
        <w:rPr>
          <w:rFonts w:ascii="黑体" w:eastAsia="黑体"/>
          <w:color w:val="000000"/>
        </w:rPr>
        <w:t>八、</w:t>
      </w:r>
      <w:r>
        <w:rPr>
          <w:rFonts w:ascii="黑体" w:hAnsi="黑体" w:eastAsia="黑体"/>
          <w:bCs/>
        </w:rPr>
        <w:t>政府性基金预算支出决算情况说明</w:t>
      </w:r>
      <w:r>
        <w:tab/>
      </w:r>
      <w:r>
        <w:rPr>
          <w:rFonts w:hint="eastAsia"/>
          <w:lang w:val="en-US" w:eastAsia="zh-CN"/>
        </w:rPr>
        <w:t>10</w:t>
      </w:r>
    </w:p>
    <w:p w14:paraId="0640280F">
      <w:pPr>
        <w:pStyle w:val="13"/>
        <w:rPr>
          <w:rFonts w:hint="default" w:eastAsia="宋体" w:hAnsiTheme="minorHAnsi" w:cstheme="minorBidi"/>
          <w:smallCaps w:val="0"/>
          <w:sz w:val="21"/>
          <w:szCs w:val="22"/>
          <w:lang w:val="en-US" w:eastAsia="zh-CN"/>
        </w:rPr>
      </w:pPr>
      <w:r>
        <w:rPr>
          <w:rFonts w:ascii="黑体" w:hAnsi="黑体" w:eastAsia="黑体"/>
          <w:bCs/>
        </w:rPr>
        <w:t>九、 国有资本经营预算支出决算情况说明</w:t>
      </w:r>
      <w:r>
        <w:tab/>
      </w:r>
      <w:r>
        <w:rPr>
          <w:rFonts w:hint="eastAsia"/>
          <w:lang w:val="en-US" w:eastAsia="zh-CN"/>
        </w:rPr>
        <w:t>10</w:t>
      </w:r>
    </w:p>
    <w:p w14:paraId="1D52B487">
      <w:pPr>
        <w:pStyle w:val="13"/>
        <w:rPr>
          <w:rFonts w:hint="default" w:eastAsia="宋体" w:hAnsiTheme="minorHAnsi" w:cstheme="minorBidi"/>
          <w:smallCaps w:val="0"/>
          <w:sz w:val="21"/>
          <w:szCs w:val="22"/>
          <w:lang w:val="en-US" w:eastAsia="zh-CN"/>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eastAsia"/>
          <w:lang w:val="en-US" w:eastAsia="zh-CN"/>
        </w:rPr>
        <w:t>21</w:t>
      </w:r>
    </w:p>
    <w:p w14:paraId="1B69676E">
      <w:pPr>
        <w:pStyle w:val="8"/>
        <w:rPr>
          <w:rFonts w:hint="default" w:eastAsia="宋体" w:hAnsiTheme="minorHAnsi" w:cstheme="minorBidi"/>
          <w:i w:val="0"/>
          <w:iCs w:val="0"/>
          <w:sz w:val="21"/>
          <w:szCs w:val="22"/>
          <w:lang w:val="en-US" w:eastAsia="zh-CN"/>
        </w:rPr>
      </w:pPr>
      <w:r>
        <w:rPr>
          <w:rFonts w:ascii="仿宋" w:hAnsi="仿宋" w:eastAsia="仿宋"/>
          <w:b/>
          <w:color w:val="000000"/>
        </w:rPr>
        <w:t>（一）机关运行经费支出情况</w:t>
      </w:r>
      <w:r>
        <w:tab/>
      </w:r>
      <w:r>
        <w:rPr>
          <w:rFonts w:hint="eastAsia"/>
          <w:lang w:val="en-US" w:eastAsia="zh-CN"/>
        </w:rPr>
        <w:t>21</w:t>
      </w:r>
    </w:p>
    <w:p w14:paraId="063EB69B">
      <w:pPr>
        <w:pStyle w:val="8"/>
        <w:rPr>
          <w:rFonts w:hint="default" w:eastAsia="宋体" w:hAnsiTheme="minorHAnsi" w:cstheme="minorBidi"/>
          <w:i w:val="0"/>
          <w:iCs w:val="0"/>
          <w:sz w:val="21"/>
          <w:szCs w:val="22"/>
          <w:lang w:val="en-US" w:eastAsia="zh-CN"/>
        </w:rPr>
      </w:pPr>
      <w:r>
        <w:rPr>
          <w:rFonts w:ascii="仿宋" w:hAnsi="仿宋" w:eastAsia="仿宋"/>
          <w:b/>
          <w:color w:val="000000"/>
        </w:rPr>
        <w:t>（二）政府采购支出情况</w:t>
      </w:r>
      <w:r>
        <w:tab/>
      </w:r>
      <w:r>
        <w:rPr>
          <w:rFonts w:hint="eastAsia"/>
          <w:lang w:val="en-US" w:eastAsia="zh-CN"/>
        </w:rPr>
        <w:t>21</w:t>
      </w:r>
    </w:p>
    <w:p w14:paraId="38225380">
      <w:pPr>
        <w:pStyle w:val="8"/>
        <w:rPr>
          <w:rFonts w:hint="default" w:eastAsia="宋体" w:hAnsiTheme="minorHAnsi" w:cstheme="minorBidi"/>
          <w:i w:val="0"/>
          <w:iCs w:val="0"/>
          <w:sz w:val="21"/>
          <w:szCs w:val="22"/>
          <w:lang w:val="en-US" w:eastAsia="zh-CN"/>
        </w:rPr>
      </w:pPr>
      <w:r>
        <w:rPr>
          <w:rFonts w:ascii="仿宋" w:hAnsi="仿宋" w:eastAsia="仿宋"/>
          <w:b/>
          <w:color w:val="000000"/>
        </w:rPr>
        <w:t>（三）国有资产占有使用情况</w:t>
      </w:r>
      <w:r>
        <w:tab/>
      </w:r>
      <w:r>
        <w:rPr>
          <w:rFonts w:hint="eastAsia"/>
          <w:lang w:val="en-US" w:eastAsia="zh-CN"/>
        </w:rPr>
        <w:t>22</w:t>
      </w:r>
    </w:p>
    <w:p w14:paraId="1193A69F">
      <w:pPr>
        <w:pStyle w:val="12"/>
        <w:rPr>
          <w:rFonts w:hint="default" w:eastAsia="仿宋" w:hAnsiTheme="minorHAnsi" w:cstheme="minorBidi"/>
          <w:b w:val="0"/>
          <w:bCs w:val="0"/>
          <w:caps w:val="0"/>
          <w:sz w:val="21"/>
          <w:szCs w:val="22"/>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23</w:t>
      </w:r>
    </w:p>
    <w:p w14:paraId="0C2A746F">
      <w:pPr>
        <w:pStyle w:val="12"/>
        <w:rPr>
          <w:rFonts w:hint="default" w:eastAsia="仿宋" w:hAnsi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26</w:t>
      </w:r>
    </w:p>
    <w:p w14:paraId="46CAF15F">
      <w:pPr>
        <w:pStyle w:val="12"/>
        <w:rPr>
          <w:rFonts w:hint="default" w:eastAsia="仿宋" w:hAnsiTheme="minorHAnsi" w:cstheme="minorBidi"/>
          <w:b w:val="0"/>
          <w:bCs w:val="0"/>
          <w:caps w:val="0"/>
          <w:sz w:val="21"/>
          <w:szCs w:val="22"/>
          <w:lang w:val="en-US" w:eastAsia="zh-CN"/>
        </w:rPr>
      </w:pPr>
      <w:r>
        <w:rPr>
          <w:rFonts w:ascii="黑体" w:hAnsi="黑体" w:eastAsia="黑体" w:cs="黑体"/>
        </w:rPr>
        <w:t>附件1</w:t>
      </w:r>
      <w:r>
        <w:tab/>
      </w:r>
      <w:r>
        <w:rPr>
          <w:rFonts w:hint="eastAsia"/>
          <w:lang w:val="en-US" w:eastAsia="zh-CN"/>
        </w:rPr>
        <w:t>26</w:t>
      </w:r>
    </w:p>
    <w:p w14:paraId="188981B8">
      <w:pPr>
        <w:pStyle w:val="12"/>
        <w:rPr>
          <w:rFonts w:hint="default" w:eastAsia="仿宋" w:hAnsiTheme="minorHAnsi" w:cstheme="minorBidi"/>
          <w:b w:val="0"/>
          <w:bCs w:val="0"/>
          <w:caps w:val="0"/>
          <w:sz w:val="21"/>
          <w:szCs w:val="22"/>
          <w:lang w:val="en-US" w:eastAsia="zh-CN"/>
        </w:rPr>
      </w:pPr>
      <w:r>
        <w:rPr>
          <w:rFonts w:hint="eastAsia" w:ascii="方正小标宋简体" w:hAnsi="黑体" w:eastAsia="方正小标宋简体" w:cs="黑体"/>
          <w:lang w:val="en-US" w:eastAsia="zh-CN"/>
        </w:rPr>
        <w:t>九寨国家森林公园管理局</w:t>
      </w:r>
      <w:r>
        <w:rPr>
          <w:rFonts w:ascii="方正小标宋简体" w:hAnsi="黑体" w:eastAsia="方正小标宋简体" w:cs="黑体"/>
        </w:rPr>
        <w:t>2020年部门整体支出绩效评价报告</w:t>
      </w:r>
      <w:r>
        <w:tab/>
      </w:r>
      <w:r>
        <w:rPr>
          <w:rFonts w:hint="eastAsia"/>
          <w:lang w:val="en-US" w:eastAsia="zh-CN"/>
        </w:rPr>
        <w:t>26</w:t>
      </w:r>
    </w:p>
    <w:p w14:paraId="7A10385F">
      <w:pPr>
        <w:pStyle w:val="12"/>
        <w:rPr>
          <w:rFonts w:hint="eastAsia"/>
          <w:lang w:val="en-US" w:eastAsia="zh-CN"/>
        </w:rPr>
      </w:pPr>
      <w:r>
        <w:rPr>
          <w:rFonts w:ascii="黑体" w:hAnsi="黑体" w:eastAsia="黑体" w:cs="黑体"/>
        </w:rPr>
        <w:t>附件2</w:t>
      </w:r>
      <w:r>
        <w:tab/>
      </w:r>
      <w:r>
        <w:rPr>
          <w:rFonts w:hint="eastAsia"/>
          <w:lang w:val="en-US" w:eastAsia="zh-CN"/>
        </w:rPr>
        <w:t>31</w:t>
      </w:r>
    </w:p>
    <w:p w14:paraId="5B07BE9E">
      <w:pPr>
        <w:pStyle w:val="13"/>
        <w:ind w:left="0" w:leftChars="0" w:firstLine="0" w:firstLineChars="0"/>
        <w:rPr>
          <w:rFonts w:hint="eastAsia" w:ascii="仿宋" w:hAnsi="仿宋" w:eastAsia="仿宋"/>
          <w:lang w:val="en-US" w:eastAsia="zh-CN"/>
        </w:rPr>
      </w:pPr>
      <w:r>
        <w:rPr>
          <w:rFonts w:hint="eastAsia" w:ascii="仿宋" w:hAnsi="仿宋" w:eastAsia="仿宋"/>
          <w:lang w:val="en-US" w:eastAsia="zh-CN"/>
        </w:rPr>
        <w:t>九寨沟县神仙池生态旅游区建设</w:t>
      </w:r>
      <w:r>
        <w:rPr>
          <w:rFonts w:ascii="仿宋" w:hAnsi="仿宋" w:eastAsia="仿宋"/>
        </w:rPr>
        <w:t>项目2020年绩效评价报告</w:t>
      </w:r>
      <w:r>
        <w:rPr>
          <w:rFonts w:hint="eastAsia" w:ascii="仿宋" w:hAnsi="仿宋" w:eastAsia="仿宋"/>
          <w:lang w:val="en-US" w:eastAsia="zh-CN"/>
        </w:rPr>
        <w:t>..</w:t>
      </w:r>
      <w:r>
        <w:rPr>
          <w:rFonts w:ascii="仿宋" w:hAnsi="仿宋" w:eastAsia="仿宋"/>
        </w:rPr>
        <w:tab/>
      </w:r>
      <w:r>
        <w:rPr>
          <w:rFonts w:hint="eastAsia" w:ascii="仿宋" w:hAnsi="仿宋" w:eastAsia="仿宋"/>
          <w:lang w:val="en-US" w:eastAsia="zh-CN"/>
        </w:rPr>
        <w:t>31</w:t>
      </w:r>
    </w:p>
    <w:p w14:paraId="144150CE">
      <w:pPr>
        <w:pStyle w:val="13"/>
        <w:ind w:left="0" w:leftChars="0" w:firstLine="0" w:firstLineChars="0"/>
        <w:rPr>
          <w:rFonts w:hint="eastAsia" w:ascii="仿宋" w:hAnsi="仿宋" w:eastAsia="仿宋"/>
          <w:lang w:val="en-US" w:eastAsia="zh-CN"/>
        </w:rPr>
      </w:pPr>
      <w:r>
        <w:rPr>
          <w:rFonts w:hint="eastAsia" w:ascii="仿宋" w:hAnsi="仿宋" w:eastAsia="仿宋"/>
          <w:lang w:val="en-US" w:eastAsia="zh-CN"/>
        </w:rPr>
        <w:t>九寨国家森林公园林区道路恢复重建设项目2020年绩效评价报告....................35</w:t>
      </w:r>
    </w:p>
    <w:p w14:paraId="121A8D1B">
      <w:pPr>
        <w:pStyle w:val="13"/>
        <w:ind w:left="0" w:leftChars="0" w:firstLine="0" w:firstLineChars="0"/>
        <w:rPr>
          <w:rFonts w:hint="eastAsia" w:ascii="仿宋" w:hAnsi="仿宋" w:eastAsia="仿宋"/>
          <w:lang w:val="en-US" w:eastAsia="zh-CN"/>
        </w:rPr>
      </w:pPr>
      <w:r>
        <w:rPr>
          <w:rFonts w:hint="eastAsia" w:ascii="仿宋" w:hAnsi="仿宋" w:eastAsia="仿宋"/>
          <w:lang w:val="en-US" w:eastAsia="zh-CN"/>
        </w:rPr>
        <w:t>九寨沟县神仙池管理中心供排水建设项目支出2020年绩效评价报告..................39</w:t>
      </w:r>
    </w:p>
    <w:p w14:paraId="45005787">
      <w:pPr>
        <w:pStyle w:val="13"/>
        <w:ind w:left="0" w:leftChars="0" w:firstLine="0" w:firstLineChars="0"/>
        <w:rPr>
          <w:rFonts w:hint="default" w:ascii="仿宋" w:hAnsi="仿宋" w:eastAsia="仿宋"/>
          <w:lang w:val="en-US" w:eastAsia="zh-CN"/>
        </w:rPr>
      </w:pPr>
      <w:r>
        <w:rPr>
          <w:rFonts w:hint="eastAsia" w:ascii="仿宋" w:hAnsi="仿宋" w:eastAsia="仿宋"/>
          <w:lang w:val="en-US" w:eastAsia="zh-CN"/>
        </w:rPr>
        <w:t>九寨沟县保护站业务用房及防火基础设施建设项目支出2020年绩效评价报告..........43</w:t>
      </w:r>
    </w:p>
    <w:p w14:paraId="20320524">
      <w:pPr>
        <w:pStyle w:val="12"/>
        <w:rPr>
          <w:rFonts w:hint="default" w:eastAsia="仿宋" w:hAnsi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47</w:t>
      </w:r>
    </w:p>
    <w:p w14:paraId="4A48C558">
      <w:pPr>
        <w:pStyle w:val="13"/>
        <w:rPr>
          <w:rFonts w:hint="default" w:eastAsia="宋体" w:hAnsi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47</w:t>
      </w:r>
    </w:p>
    <w:p w14:paraId="1E3976BF">
      <w:pPr>
        <w:pStyle w:val="13"/>
        <w:rPr>
          <w:rFonts w:hint="default" w:eastAsia="宋体" w:hAnsi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47</w:t>
      </w:r>
    </w:p>
    <w:p w14:paraId="38CE31B9">
      <w:pPr>
        <w:pStyle w:val="13"/>
        <w:rPr>
          <w:rFonts w:hint="default" w:eastAsia="宋体" w:hAnsi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47</w:t>
      </w:r>
    </w:p>
    <w:p w14:paraId="665DDAAE">
      <w:pPr>
        <w:pStyle w:val="13"/>
        <w:rPr>
          <w:rFonts w:hint="default" w:eastAsia="宋体" w:hAnsi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47</w:t>
      </w:r>
    </w:p>
    <w:p w14:paraId="26B0BCE7">
      <w:pPr>
        <w:pStyle w:val="13"/>
        <w:rPr>
          <w:rFonts w:hint="default" w:eastAsia="宋体" w:hAnsi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47</w:t>
      </w:r>
    </w:p>
    <w:p w14:paraId="17052DA8">
      <w:pPr>
        <w:pStyle w:val="13"/>
        <w:rPr>
          <w:rFonts w:hint="default" w:eastAsia="宋体" w:hAnsi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47</w:t>
      </w:r>
    </w:p>
    <w:p w14:paraId="24CEDD1F">
      <w:pPr>
        <w:pStyle w:val="13"/>
        <w:rPr>
          <w:rFonts w:hint="default" w:eastAsia="宋体" w:hAnsi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47</w:t>
      </w:r>
    </w:p>
    <w:p w14:paraId="020D50C1">
      <w:pPr>
        <w:pStyle w:val="13"/>
        <w:rPr>
          <w:rFonts w:hint="default" w:eastAsia="宋体" w:hAnsi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47</w:t>
      </w:r>
    </w:p>
    <w:p w14:paraId="38FC8DDD">
      <w:pPr>
        <w:pStyle w:val="13"/>
        <w:rPr>
          <w:rFonts w:hint="default" w:eastAsia="宋体" w:hAnsi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47</w:t>
      </w:r>
    </w:p>
    <w:p w14:paraId="744D8DC1">
      <w:pPr>
        <w:pStyle w:val="13"/>
        <w:rPr>
          <w:rFonts w:hint="default" w:eastAsia="宋体" w:hAnsiTheme="minorHAnsi" w:cstheme="minorBidi"/>
          <w:smallCaps w:val="0"/>
          <w:sz w:val="21"/>
          <w:szCs w:val="22"/>
          <w:lang w:val="en-US" w:eastAsia="zh-CN"/>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lang w:val="en-US" w:eastAsia="zh-CN"/>
        </w:rPr>
        <w:t>47</w:t>
      </w:r>
    </w:p>
    <w:p w14:paraId="1DB4F070">
      <w:pPr>
        <w:pStyle w:val="13"/>
        <w:rPr>
          <w:rFonts w:hint="default" w:eastAsia="宋体" w:hAnsiTheme="minorHAnsi" w:cstheme="minorBidi"/>
          <w:smallCaps w:val="0"/>
          <w:sz w:val="21"/>
          <w:szCs w:val="22"/>
          <w:lang w:val="en-US" w:eastAsia="zh-CN"/>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47</w:t>
      </w:r>
    </w:p>
    <w:p w14:paraId="356EF05A">
      <w:pPr>
        <w:pStyle w:val="13"/>
        <w:rPr>
          <w:rFonts w:hint="default" w:eastAsia="宋体" w:hAnsiTheme="minorHAnsi" w:cstheme="minorBidi"/>
          <w:smallCaps w:val="0"/>
          <w:sz w:val="21"/>
          <w:szCs w:val="22"/>
          <w:lang w:val="en-US" w:eastAsia="zh-CN"/>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rPr>
          <w:rFonts w:hint="eastAsia"/>
          <w:lang w:val="en-US" w:eastAsia="zh-CN"/>
        </w:rPr>
        <w:t>47</w:t>
      </w:r>
    </w:p>
    <w:p w14:paraId="5E1402CD">
      <w:pPr>
        <w:pStyle w:val="13"/>
        <w:rPr>
          <w:rFonts w:hint="default" w:eastAsia="宋体" w:hAnsiTheme="minorHAnsi" w:cstheme="minorBidi"/>
          <w:smallCaps w:val="0"/>
          <w:sz w:val="21"/>
          <w:szCs w:val="22"/>
          <w:lang w:val="en-US" w:eastAsia="zh-CN"/>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rPr>
          <w:rFonts w:hint="eastAsia"/>
          <w:lang w:val="en-US" w:eastAsia="zh-CN"/>
        </w:rPr>
        <w:t>47</w:t>
      </w:r>
    </w:p>
    <w:p w14:paraId="2FF762C3">
      <w:pPr>
        <w:pStyle w:val="13"/>
        <w:rPr>
          <w:rFonts w:hint="default" w:eastAsia="宋体" w:hAnsiTheme="minorHAnsi" w:cstheme="minorBidi"/>
          <w:smallCaps w:val="0"/>
          <w:sz w:val="21"/>
          <w:szCs w:val="22"/>
          <w:lang w:val="en-US" w:eastAsia="zh-CN"/>
        </w:rPr>
      </w:pPr>
      <w:r>
        <w:rPr>
          <w:rFonts w:ascii="仿宋" w:hAnsi="仿宋" w:eastAsia="仿宋"/>
        </w:rPr>
        <w:t>十四、国有资本经营预算财政拨款支出决算表</w:t>
      </w:r>
      <w:r>
        <w:tab/>
      </w:r>
      <w:r>
        <w:rPr>
          <w:rFonts w:hint="eastAsia"/>
          <w:lang w:val="en-US" w:eastAsia="zh-CN"/>
        </w:rPr>
        <w:t>47</w:t>
      </w:r>
    </w:p>
    <w:p w14:paraId="2D2E08A3">
      <w:pPr>
        <w:pageBreakBefore w:val="0"/>
        <w:widowControl/>
        <w:kinsoku/>
        <w:overflowPunct/>
        <w:topLinePunct w:val="0"/>
        <w:bidi w:val="0"/>
        <w:spacing w:line="576" w:lineRule="exact"/>
        <w:jc w:val="left"/>
        <w:rPr>
          <w:rFonts w:ascii="仿宋" w:hAnsi="仿宋" w:eastAsia="仿宋"/>
          <w:color w:val="000000"/>
          <w:sz w:val="24"/>
        </w:rPr>
      </w:pPr>
      <w:r>
        <w:rPr>
          <w:rFonts w:asciiTheme="minorHAnsi" w:eastAsiaTheme="minorHAnsi"/>
          <w:b/>
          <w:bCs/>
          <w:caps/>
          <w:sz w:val="20"/>
          <w:szCs w:val="20"/>
        </w:rPr>
        <w:fldChar w:fldCharType="end"/>
      </w:r>
      <w:r>
        <w:rPr>
          <w:rFonts w:ascii="仿宋" w:hAnsi="仿宋" w:eastAsia="仿宋"/>
          <w:color w:val="000000"/>
          <w:sz w:val="24"/>
        </w:rPr>
        <w:fldChar w:fldCharType="end"/>
      </w:r>
    </w:p>
    <w:p w14:paraId="5D1963E2">
      <w:pPr>
        <w:pageBreakBefore w:val="0"/>
        <w:widowControl/>
        <w:kinsoku/>
        <w:overflowPunct/>
        <w:topLinePunct w:val="0"/>
        <w:bidi w:val="0"/>
        <w:spacing w:line="576" w:lineRule="exact"/>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14:paraId="634055B0">
      <w:pPr>
        <w:pStyle w:val="4"/>
        <w:pageBreakBefore w:val="0"/>
        <w:kinsoku/>
        <w:overflowPunct/>
        <w:topLinePunct w:val="0"/>
        <w:bidi w:val="0"/>
        <w:spacing w:line="576" w:lineRule="exact"/>
        <w:jc w:val="center"/>
        <w:rPr>
          <w:rStyle w:val="26"/>
          <w:rFonts w:ascii="黑体" w:hAnsi="黑体" w:eastAsia="黑体"/>
          <w:b/>
          <w:bCs w:val="0"/>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14:paraId="726375D7">
      <w:pPr>
        <w:pStyle w:val="5"/>
        <w:pageBreakBefore w:val="0"/>
        <w:kinsoku/>
        <w:overflowPunct/>
        <w:topLinePunct w:val="0"/>
        <w:bidi w:val="0"/>
        <w:spacing w:line="576" w:lineRule="exact"/>
        <w:rPr>
          <w:rStyle w:val="27"/>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14:paraId="70E35295">
      <w:pPr>
        <w:pageBreakBefore w:val="0"/>
        <w:kinsoku/>
        <w:overflowPunct/>
        <w:topLinePunct w:val="0"/>
        <w:bidi w:val="0"/>
        <w:spacing w:line="576" w:lineRule="exact"/>
        <w:ind w:firstLine="640" w:firstLineChars="200"/>
        <w:rPr>
          <w:rFonts w:ascii="仿宋" w:hAnsi="仿宋" w:eastAsia="仿宋_GB2312"/>
          <w:bCs/>
          <w:sz w:val="32"/>
          <w:szCs w:val="32"/>
        </w:rPr>
      </w:pPr>
      <w:bookmarkStart w:id="16" w:name="_Toc15378445"/>
      <w:bookmarkStart w:id="17" w:name="_Toc15377198"/>
      <w:r>
        <w:rPr>
          <w:rFonts w:hint="eastAsia" w:ascii="仿宋" w:hAnsi="仿宋" w:eastAsia="仿宋"/>
          <w:bCs/>
          <w:color w:val="000000"/>
          <w:sz w:val="32"/>
          <w:szCs w:val="32"/>
        </w:rPr>
        <w:t>（一）主要职能</w:t>
      </w:r>
    </w:p>
    <w:p w14:paraId="71AC69AB">
      <w:pPr>
        <w:pageBreakBefore w:val="0"/>
        <w:kinsoku/>
        <w:overflowPunct/>
        <w:topLinePunct w:val="0"/>
        <w:bidi w:val="0"/>
        <w:spacing w:line="576" w:lineRule="exact"/>
        <w:ind w:firstLine="640" w:firstLineChars="200"/>
        <w:rPr>
          <w:rFonts w:hint="eastAsia" w:ascii="仿宋" w:hAnsi="仿宋" w:eastAsia="仿宋_GB2312" w:cs="宋体"/>
          <w:kern w:val="0"/>
          <w:sz w:val="32"/>
          <w:szCs w:val="32"/>
          <w:lang w:val="en-US" w:eastAsia="zh-CN"/>
        </w:rPr>
      </w:pPr>
      <w:r>
        <w:rPr>
          <w:rFonts w:hint="eastAsia" w:ascii="仿宋" w:hAnsi="仿宋" w:eastAsia="仿宋_GB2312" w:cs="宋体"/>
          <w:kern w:val="0"/>
          <w:sz w:val="32"/>
          <w:szCs w:val="32"/>
          <w:lang w:val="en-US" w:eastAsia="zh-CN"/>
        </w:rPr>
        <w:t>负责林业草原生态旅游资源开发利用，筹办各种生态旅游节会，组织实施林业草原生态环境保护与维护。为森林公园管理等相关事务性工作提供技术支持和服务保障，做好花卉、特色经济林、森林林下经济、森林康养和生态旅游产业发展。为林业和草原生态旅游提供产品开发、客源市场、招商引资和经营管理等方面的信息、技术咨询和人才培训服务。负责林业和草原生态旅游的社会宣传和网络建设服务。</w:t>
      </w:r>
    </w:p>
    <w:p w14:paraId="1161C5A9">
      <w:pPr>
        <w:pageBreakBefore w:val="0"/>
        <w:kinsoku/>
        <w:overflowPunct/>
        <w:topLinePunct w:val="0"/>
        <w:bidi w:val="0"/>
        <w:spacing w:line="576" w:lineRule="exact"/>
        <w:ind w:firstLine="640" w:firstLineChars="200"/>
        <w:rPr>
          <w:rFonts w:ascii="仿宋_GB2312" w:eastAsia="仿宋_GB2312"/>
          <w:sz w:val="32"/>
          <w:szCs w:val="32"/>
          <w:shd w:val="clear" w:color="auto" w:fill="FFFFFF"/>
        </w:rPr>
      </w:pPr>
      <w:r>
        <w:rPr>
          <w:rFonts w:hint="eastAsia" w:ascii="仿宋" w:hAnsi="仿宋" w:eastAsia="仿宋_GB2312"/>
          <w:bCs/>
          <w:sz w:val="32"/>
          <w:szCs w:val="32"/>
        </w:rPr>
        <w:t>（二）</w:t>
      </w:r>
      <w:r>
        <w:rPr>
          <w:rFonts w:hint="eastAsia" w:ascii="仿宋_GB2312" w:eastAsia="仿宋_GB2312"/>
          <w:sz w:val="32"/>
          <w:szCs w:val="32"/>
          <w:shd w:val="clear" w:color="auto" w:fill="FFFFFF"/>
        </w:rPr>
        <w:t>20</w:t>
      </w:r>
      <w:r>
        <w:rPr>
          <w:rFonts w:hint="eastAsia" w:ascii="仿宋_GB2312" w:eastAsia="仿宋_GB2312"/>
          <w:sz w:val="32"/>
          <w:szCs w:val="32"/>
          <w:shd w:val="clear" w:color="auto" w:fill="FFFFFF"/>
          <w:lang w:val="en-US" w:eastAsia="zh-CN"/>
        </w:rPr>
        <w:t>20</w:t>
      </w:r>
      <w:r>
        <w:rPr>
          <w:rFonts w:hint="eastAsia" w:ascii="仿宋_GB2312" w:eastAsia="仿宋_GB2312"/>
          <w:sz w:val="32"/>
          <w:szCs w:val="32"/>
          <w:shd w:val="clear" w:color="auto" w:fill="FFFFFF"/>
        </w:rPr>
        <w:t>年重点工作</w:t>
      </w:r>
    </w:p>
    <w:p w14:paraId="6886FAC4">
      <w:pPr>
        <w:pageBreakBefore w:val="0"/>
        <w:kinsoku/>
        <w:overflowPunct/>
        <w:topLinePunct w:val="0"/>
        <w:bidi w:val="0"/>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进一步加强职工的理论学习和业务培训，切实提高工作人员的理论水平和业务水平。</w:t>
      </w:r>
    </w:p>
    <w:p w14:paraId="3303E2CB">
      <w:pPr>
        <w:pageBreakBefore w:val="0"/>
        <w:kinsoku/>
        <w:overflowPunct/>
        <w:topLinePunct w:val="0"/>
        <w:bidi w:val="0"/>
        <w:spacing w:line="576" w:lineRule="exact"/>
        <w:ind w:firstLine="640" w:firstLineChars="200"/>
        <w:rPr>
          <w:rFonts w:hint="eastAsia" w:ascii="仿宋_GB2312" w:eastAsia="仿宋_GB2312"/>
          <w:sz w:val="32"/>
          <w:szCs w:val="32"/>
        </w:rPr>
      </w:pP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加强对项目的管理，高质量按时完成所有建设项目。</w:t>
      </w:r>
    </w:p>
    <w:p w14:paraId="07E25625">
      <w:pPr>
        <w:pageBreakBefore w:val="0"/>
        <w:kinsoku/>
        <w:overflowPunct/>
        <w:topLinePunct w:val="0"/>
        <w:bidi w:val="0"/>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进一步加强森林防火宣传，提高全民防火意识；杜绝森林火灾的发生。加强森林资源和风景资源的保护管理工作，严禁乱砍滥伐、乱捕滥猎、挖沙取石、进入林区挖药。</w:t>
      </w:r>
    </w:p>
    <w:p w14:paraId="54A587A8">
      <w:pPr>
        <w:pageBreakBefore w:val="0"/>
        <w:kinsoku/>
        <w:overflowPunct/>
        <w:topLinePunct w:val="0"/>
        <w:bidi w:val="0"/>
        <w:spacing w:line="576" w:lineRule="exact"/>
        <w:ind w:firstLine="630"/>
        <w:rPr>
          <w:rFonts w:hint="eastAsia" w:ascii="仿宋_GB2312" w:hAnsi="仿宋" w:eastAsia="仿宋_GB2312"/>
          <w:sz w:val="32"/>
          <w:szCs w:val="32"/>
        </w:rPr>
      </w:pP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继续加大对贫困村的帮扶力度，加强对政策的宣传和解释工作</w:t>
      </w:r>
      <w:r>
        <w:rPr>
          <w:rFonts w:hint="eastAsia" w:ascii="仿宋_GB2312" w:hAnsi="仿宋" w:eastAsia="仿宋_GB2312"/>
          <w:sz w:val="32"/>
          <w:szCs w:val="32"/>
        </w:rPr>
        <w:t>，提升群众整体满意</w:t>
      </w:r>
      <w:r>
        <w:rPr>
          <w:rFonts w:hint="eastAsia" w:ascii="仿宋_GB2312" w:eastAsia="仿宋_GB2312"/>
          <w:sz w:val="32"/>
          <w:szCs w:val="32"/>
        </w:rPr>
        <w:t>度</w:t>
      </w:r>
      <w:r>
        <w:rPr>
          <w:rFonts w:hint="eastAsia" w:ascii="仿宋_GB2312" w:hAnsi="仿宋" w:eastAsia="仿宋_GB2312"/>
          <w:sz w:val="32"/>
          <w:szCs w:val="32"/>
        </w:rPr>
        <w:t>。</w:t>
      </w:r>
    </w:p>
    <w:p w14:paraId="7FBD4565">
      <w:pPr>
        <w:pageBreakBefore w:val="0"/>
        <w:kinsoku/>
        <w:overflowPunct/>
        <w:topLinePunct w:val="0"/>
        <w:bidi w:val="0"/>
        <w:spacing w:line="576" w:lineRule="exact"/>
        <w:ind w:firstLine="627" w:firstLineChars="196"/>
        <w:rPr>
          <w:rFonts w:hint="eastAsia" w:ascii="仿宋_GB2312" w:eastAsia="仿宋_GB2312"/>
          <w:color w:val="000000"/>
          <w:sz w:val="32"/>
          <w:szCs w:val="32"/>
          <w:shd w:val="clear" w:color="auto" w:fill="FFFFFF"/>
        </w:rPr>
      </w:pP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做好脱贫攻坚考核迎检工作，顺利完成脱贫任务。</w:t>
      </w:r>
    </w:p>
    <w:bookmarkEnd w:id="16"/>
    <w:bookmarkEnd w:id="17"/>
    <w:p w14:paraId="294F4D32">
      <w:pPr>
        <w:pStyle w:val="5"/>
        <w:pageBreakBefore w:val="0"/>
        <w:kinsoku/>
        <w:overflowPunct/>
        <w:topLinePunct w:val="0"/>
        <w:bidi w:val="0"/>
        <w:spacing w:line="576" w:lineRule="exact"/>
        <w:rPr>
          <w:rStyle w:val="27"/>
          <w:b w:val="0"/>
          <w:bCs w:val="0"/>
        </w:rPr>
      </w:pPr>
      <w:bookmarkStart w:id="18" w:name="_Toc15377200"/>
      <w:bookmarkStart w:id="19" w:name="_Toc15396601"/>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18"/>
      <w:bookmarkEnd w:id="19"/>
    </w:p>
    <w:p w14:paraId="593F739D">
      <w:pPr>
        <w:pageBreakBefore w:val="0"/>
        <w:kinsoku/>
        <w:overflowPunct/>
        <w:topLinePunct w:val="0"/>
        <w:bidi w:val="0"/>
        <w:spacing w:line="576" w:lineRule="exact"/>
        <w:ind w:firstLine="640" w:firstLineChars="200"/>
        <w:rPr>
          <w:rFonts w:ascii="仿宋_GB2312" w:eastAsia="仿宋_GB2312"/>
          <w:b/>
          <w:sz w:val="32"/>
          <w:szCs w:val="32"/>
        </w:rPr>
      </w:pPr>
      <w:r>
        <w:rPr>
          <w:rFonts w:hint="eastAsia" w:ascii="仿宋_GB2312" w:eastAsia="仿宋_GB2312"/>
          <w:sz w:val="32"/>
          <w:szCs w:val="32"/>
          <w:lang w:eastAsia="zh-CN"/>
        </w:rPr>
        <w:t>2020年</w:t>
      </w:r>
      <w:r>
        <w:rPr>
          <w:rFonts w:hint="eastAsia" w:ascii="仿宋_GB2312" w:eastAsia="仿宋_GB2312"/>
          <w:sz w:val="32"/>
          <w:szCs w:val="32"/>
        </w:rPr>
        <w:t>单位机构数为 1个，事业机构1个；财政供养人员编制为</w:t>
      </w:r>
      <w:r>
        <w:rPr>
          <w:rFonts w:hint="eastAsia" w:ascii="仿宋_GB2312" w:eastAsia="仿宋_GB2312"/>
          <w:sz w:val="32"/>
          <w:szCs w:val="32"/>
          <w:lang w:val="en-US" w:eastAsia="zh-CN"/>
        </w:rPr>
        <w:t>28</w:t>
      </w:r>
      <w:r>
        <w:rPr>
          <w:rFonts w:hint="eastAsia" w:ascii="仿宋_GB2312" w:eastAsia="仿宋_GB2312"/>
          <w:sz w:val="32"/>
          <w:szCs w:val="32"/>
        </w:rPr>
        <w:t>名，事业编制</w:t>
      </w:r>
      <w:r>
        <w:rPr>
          <w:rFonts w:hint="eastAsia" w:ascii="仿宋_GB2312" w:eastAsia="仿宋_GB2312"/>
          <w:sz w:val="32"/>
          <w:szCs w:val="32"/>
          <w:lang w:val="en-US" w:eastAsia="zh-CN"/>
        </w:rPr>
        <w:t>28</w:t>
      </w:r>
      <w:r>
        <w:rPr>
          <w:rFonts w:hint="eastAsia" w:ascii="仿宋_GB2312" w:eastAsia="仿宋_GB2312"/>
          <w:sz w:val="32"/>
          <w:szCs w:val="32"/>
        </w:rPr>
        <w:t>名；</w:t>
      </w:r>
      <w:r>
        <w:rPr>
          <w:rFonts w:hint="eastAsia" w:ascii="仿宋_GB2312" w:eastAsia="仿宋_GB2312" w:cs="仿宋_GB2312"/>
          <w:bCs/>
          <w:kern w:val="0"/>
          <w:sz w:val="32"/>
          <w:szCs w:val="32"/>
          <w:lang w:val="zh-CN"/>
        </w:rPr>
        <w:t>2020年实际财政供养人员</w:t>
      </w:r>
      <w:r>
        <w:rPr>
          <w:rFonts w:hint="eastAsia" w:ascii="仿宋_GB2312" w:eastAsia="仿宋_GB2312" w:cs="仿宋_GB2312"/>
          <w:bCs/>
          <w:kern w:val="0"/>
          <w:sz w:val="32"/>
          <w:szCs w:val="32"/>
          <w:lang w:val="en-US" w:eastAsia="zh-CN"/>
        </w:rPr>
        <w:t>28</w:t>
      </w:r>
      <w:r>
        <w:rPr>
          <w:rFonts w:hint="eastAsia" w:ascii="仿宋_GB2312" w:eastAsia="仿宋_GB2312" w:cs="仿宋_GB2312"/>
          <w:bCs/>
          <w:kern w:val="0"/>
          <w:sz w:val="32"/>
          <w:szCs w:val="32"/>
          <w:lang w:val="zh-CN"/>
        </w:rPr>
        <w:t>人，较上年增加</w:t>
      </w:r>
      <w:r>
        <w:rPr>
          <w:rFonts w:hint="eastAsia" w:ascii="仿宋_GB2312" w:eastAsia="仿宋_GB2312" w:cs="仿宋_GB2312"/>
          <w:bCs/>
          <w:kern w:val="0"/>
          <w:sz w:val="32"/>
          <w:szCs w:val="32"/>
        </w:rPr>
        <w:t>0</w:t>
      </w:r>
      <w:r>
        <w:rPr>
          <w:rFonts w:hint="eastAsia" w:ascii="仿宋_GB2312" w:eastAsia="仿宋_GB2312" w:cs="仿宋_GB2312"/>
          <w:bCs/>
          <w:kern w:val="0"/>
          <w:sz w:val="32"/>
          <w:szCs w:val="32"/>
          <w:lang w:val="zh-CN"/>
        </w:rPr>
        <w:t>人，其中：事业28人。</w:t>
      </w:r>
    </w:p>
    <w:p w14:paraId="1B59F346">
      <w:pPr>
        <w:pStyle w:val="4"/>
        <w:pageBreakBefore w:val="0"/>
        <w:kinsoku/>
        <w:overflowPunct/>
        <w:topLinePunct w:val="0"/>
        <w:bidi w:val="0"/>
        <w:spacing w:line="576" w:lineRule="exact"/>
        <w:ind w:right="440"/>
        <w:jc w:val="right"/>
      </w:pPr>
      <w:bookmarkStart w:id="20" w:name="_Toc15396602"/>
      <w:bookmarkStart w:id="21"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lang w:eastAsia="zh-CN"/>
        </w:rPr>
        <w:t>2020年</w:t>
      </w:r>
      <w:r>
        <w:rPr>
          <w:rStyle w:val="26"/>
          <w:rFonts w:hint="eastAsia" w:ascii="黑体" w:hAnsi="黑体" w:eastAsia="黑体"/>
          <w:b w:val="0"/>
          <w:bCs w:val="0"/>
        </w:rPr>
        <w:t>度部门决算情况说明</w:t>
      </w:r>
      <w:bookmarkEnd w:id="20"/>
      <w:bookmarkEnd w:id="21"/>
    </w:p>
    <w:p w14:paraId="03067A36">
      <w:pPr>
        <w:pStyle w:val="25"/>
        <w:pageBreakBefore w:val="0"/>
        <w:numPr>
          <w:ilvl w:val="0"/>
          <w:numId w:val="1"/>
        </w:numPr>
        <w:kinsoku/>
        <w:overflowPunct/>
        <w:topLinePunct w:val="0"/>
        <w:bidi w:val="0"/>
        <w:spacing w:line="576" w:lineRule="exact"/>
        <w:ind w:firstLineChars="0"/>
        <w:outlineLvl w:val="1"/>
        <w:rPr>
          <w:rStyle w:val="27"/>
          <w:rFonts w:ascii="黑体" w:hAnsi="黑体" w:eastAsia="黑体"/>
          <w:b w:val="0"/>
        </w:rPr>
      </w:pPr>
      <w:bookmarkStart w:id="22" w:name="_Toc15396603"/>
      <w:bookmarkStart w:id="23" w:name="_Toc15377205"/>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2"/>
      <w:bookmarkEnd w:id="23"/>
    </w:p>
    <w:p w14:paraId="03CE4DAF">
      <w:pPr>
        <w:pageBreakBefore w:val="0"/>
        <w:kinsoku/>
        <w:overflowPunct/>
        <w:topLinePunct w:val="0"/>
        <w:bidi w:val="0"/>
        <w:spacing w:line="576"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2020年</w:t>
      </w:r>
      <w:r>
        <w:rPr>
          <w:rFonts w:hint="eastAsia" w:ascii="仿宋" w:hAnsi="仿宋" w:eastAsia="仿宋"/>
          <w:color w:val="000000"/>
          <w:sz w:val="32"/>
          <w:szCs w:val="32"/>
        </w:rPr>
        <w:t>度收、支总计</w:t>
      </w:r>
      <w:r>
        <w:rPr>
          <w:rFonts w:hint="eastAsia" w:ascii="仿宋" w:hAnsi="仿宋" w:eastAsia="仿宋"/>
          <w:color w:val="000000"/>
          <w:sz w:val="32"/>
          <w:szCs w:val="32"/>
          <w:lang w:val="en-US" w:eastAsia="zh-CN"/>
        </w:rPr>
        <w:t>3298.18</w:t>
      </w:r>
      <w:r>
        <w:rPr>
          <w:rFonts w:hint="eastAsia" w:ascii="仿宋" w:hAnsi="仿宋" w:eastAsia="仿宋"/>
          <w:color w:val="000000"/>
          <w:sz w:val="32"/>
          <w:szCs w:val="32"/>
        </w:rPr>
        <w:t>万元。与201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年相比，收、支总计各</w:t>
      </w:r>
      <w:r>
        <w:rPr>
          <w:rFonts w:hint="eastAsia" w:ascii="仿宋" w:hAnsi="仿宋" w:eastAsia="仿宋"/>
          <w:color w:val="000000"/>
          <w:sz w:val="32"/>
          <w:szCs w:val="32"/>
          <w:lang w:val="en-US" w:eastAsia="zh-CN"/>
        </w:rPr>
        <w:t>增加466.61</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上升14</w:t>
      </w:r>
      <w:r>
        <w:rPr>
          <w:rFonts w:ascii="仿宋" w:hAnsi="仿宋" w:eastAsia="仿宋"/>
          <w:color w:val="000000"/>
          <w:sz w:val="32"/>
          <w:szCs w:val="32"/>
        </w:rPr>
        <w:t>%</w:t>
      </w:r>
      <w:r>
        <w:rPr>
          <w:rFonts w:hint="eastAsia" w:ascii="仿宋" w:hAnsi="仿宋" w:eastAsia="仿宋"/>
          <w:color w:val="000000"/>
          <w:sz w:val="32"/>
          <w:szCs w:val="32"/>
        </w:rPr>
        <w:t>。主要变动原因是灾后恢复重建项目陆续</w:t>
      </w:r>
      <w:r>
        <w:rPr>
          <w:rFonts w:hint="eastAsia" w:ascii="仿宋" w:hAnsi="仿宋" w:eastAsia="仿宋"/>
          <w:color w:val="000000"/>
          <w:sz w:val="32"/>
          <w:szCs w:val="32"/>
          <w:lang w:val="en-US" w:eastAsia="zh-CN"/>
        </w:rPr>
        <w:t>完工</w:t>
      </w:r>
      <w:r>
        <w:rPr>
          <w:rFonts w:hint="eastAsia" w:ascii="仿宋" w:hAnsi="仿宋" w:eastAsia="仿宋"/>
          <w:color w:val="000000"/>
          <w:sz w:val="32"/>
          <w:szCs w:val="32"/>
        </w:rPr>
        <w:t>。</w:t>
      </w:r>
    </w:p>
    <w:p w14:paraId="2A5F0209">
      <w:pPr>
        <w:pStyle w:val="25"/>
        <w:pageBreakBefore w:val="0"/>
        <w:numPr>
          <w:ilvl w:val="0"/>
          <w:numId w:val="1"/>
        </w:numPr>
        <w:kinsoku/>
        <w:overflowPunct/>
        <w:topLinePunct w:val="0"/>
        <w:bidi w:val="0"/>
        <w:spacing w:line="576" w:lineRule="exact"/>
        <w:ind w:firstLineChars="0"/>
        <w:outlineLvl w:val="1"/>
        <w:rPr>
          <w:rStyle w:val="27"/>
          <w:rFonts w:ascii="黑体" w:hAnsi="黑体" w:eastAsia="黑体"/>
          <w:b w:val="0"/>
        </w:rPr>
      </w:pPr>
      <w:bookmarkStart w:id="24" w:name="_Toc15396604"/>
      <w:bookmarkStart w:id="25" w:name="_Toc15377206"/>
      <w:r>
        <w:rPr>
          <w:rFonts w:hint="eastAsia" w:ascii="黑体" w:hAnsi="黑体" w:eastAsia="黑体"/>
          <w:color w:val="000000"/>
          <w:sz w:val="32"/>
          <w:szCs w:val="32"/>
        </w:rPr>
        <w:t>收</w:t>
      </w:r>
      <w:r>
        <w:rPr>
          <w:rStyle w:val="27"/>
          <w:rFonts w:hint="eastAsia" w:ascii="黑体" w:hAnsi="黑体" w:eastAsia="黑体"/>
          <w:b w:val="0"/>
        </w:rPr>
        <w:t>入决算情况说明</w:t>
      </w:r>
      <w:bookmarkEnd w:id="24"/>
      <w:bookmarkEnd w:id="25"/>
    </w:p>
    <w:p w14:paraId="4A46585E">
      <w:pPr>
        <w:pageBreakBefore w:val="0"/>
        <w:kinsoku/>
        <w:overflowPunct/>
        <w:topLinePunct w:val="0"/>
        <w:bidi w:val="0"/>
        <w:spacing w:line="576" w:lineRule="exact"/>
        <w:ind w:firstLine="640" w:firstLineChars="200"/>
        <w:outlineLvl w:val="1"/>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eastAsia="zh-CN"/>
        </w:rPr>
        <w:t>2020年</w:t>
      </w:r>
      <w:r>
        <w:rPr>
          <w:rFonts w:hint="eastAsia" w:ascii="仿宋" w:hAnsi="仿宋" w:eastAsia="仿宋"/>
          <w:color w:val="000000"/>
          <w:sz w:val="32"/>
          <w:szCs w:val="32"/>
        </w:rPr>
        <w:t>本年收入合计</w:t>
      </w:r>
      <w:r>
        <w:rPr>
          <w:rFonts w:hint="eastAsia" w:ascii="仿宋" w:hAnsi="仿宋" w:eastAsia="仿宋"/>
          <w:color w:val="000000"/>
          <w:sz w:val="32"/>
          <w:szCs w:val="32"/>
          <w:lang w:val="en-US" w:eastAsia="zh-CN"/>
        </w:rPr>
        <w:t>598.76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598.76</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14:paraId="51DC4F3E">
      <w:pPr>
        <w:pageBreakBefore w:val="0"/>
        <w:kinsoku/>
        <w:overflowPunct/>
        <w:topLinePunct w:val="0"/>
        <w:bidi w:val="0"/>
        <w:spacing w:line="576" w:lineRule="exact"/>
        <w:ind w:firstLine="640" w:firstLineChars="200"/>
        <w:rPr>
          <w:rFonts w:ascii="仿宋_GB2312" w:eastAsia="仿宋_GB2312"/>
          <w:color w:val="FF0000"/>
          <w:sz w:val="32"/>
          <w:szCs w:val="32"/>
        </w:rPr>
      </w:pPr>
    </w:p>
    <w:p w14:paraId="6786A2DA">
      <w:pPr>
        <w:pStyle w:val="25"/>
        <w:pageBreakBefore w:val="0"/>
        <w:numPr>
          <w:ilvl w:val="0"/>
          <w:numId w:val="1"/>
        </w:numPr>
        <w:kinsoku/>
        <w:overflowPunct/>
        <w:topLinePunct w:val="0"/>
        <w:bidi w:val="0"/>
        <w:spacing w:line="576" w:lineRule="exact"/>
        <w:ind w:firstLineChars="0"/>
        <w:outlineLvl w:val="1"/>
        <w:rPr>
          <w:rStyle w:val="27"/>
          <w:rFonts w:ascii="黑体" w:hAnsi="黑体" w:eastAsia="黑体"/>
          <w:b w:val="0"/>
        </w:rPr>
      </w:pPr>
      <w:bookmarkStart w:id="26" w:name="_Toc15377207"/>
      <w:bookmarkStart w:id="27" w:name="_Toc15396605"/>
      <w:r>
        <w:rPr>
          <w:rFonts w:hint="eastAsia" w:ascii="黑体" w:hAnsi="黑体" w:eastAsia="黑体"/>
          <w:color w:val="000000"/>
          <w:sz w:val="32"/>
          <w:szCs w:val="32"/>
        </w:rPr>
        <w:t>支</w:t>
      </w:r>
      <w:r>
        <w:rPr>
          <w:rStyle w:val="27"/>
          <w:rFonts w:hint="eastAsia" w:ascii="黑体" w:hAnsi="黑体" w:eastAsia="黑体"/>
          <w:b w:val="0"/>
        </w:rPr>
        <w:t>出决算情况说明</w:t>
      </w:r>
      <w:bookmarkEnd w:id="26"/>
      <w:bookmarkEnd w:id="27"/>
    </w:p>
    <w:p w14:paraId="767E5AC5">
      <w:pPr>
        <w:pageBreakBefore w:val="0"/>
        <w:kinsoku/>
        <w:overflowPunct/>
        <w:topLinePunct w:val="0"/>
        <w:bidi w:val="0"/>
        <w:spacing w:line="576" w:lineRule="exact"/>
        <w:ind w:firstLine="640"/>
        <w:rPr>
          <w:rFonts w:ascii="仿宋" w:hAnsi="仿宋" w:eastAsia="仿宋"/>
          <w:color w:val="000000"/>
          <w:sz w:val="32"/>
          <w:szCs w:val="32"/>
          <w:shd w:val="pct10" w:color="auto" w:fill="FFFFFF"/>
        </w:rPr>
      </w:pPr>
      <w:r>
        <w:rPr>
          <w:rFonts w:hint="eastAsia" w:ascii="仿宋" w:hAnsi="仿宋" w:eastAsia="仿宋"/>
          <w:color w:val="000000"/>
          <w:sz w:val="32"/>
          <w:szCs w:val="32"/>
          <w:lang w:eastAsia="zh-CN"/>
        </w:rPr>
        <w:t>2020年</w:t>
      </w:r>
      <w:r>
        <w:rPr>
          <w:rFonts w:hint="eastAsia" w:ascii="仿宋" w:hAnsi="仿宋" w:eastAsia="仿宋"/>
          <w:color w:val="000000"/>
          <w:sz w:val="32"/>
          <w:szCs w:val="32"/>
        </w:rPr>
        <w:t>本年支出合计</w:t>
      </w:r>
      <w:r>
        <w:rPr>
          <w:rFonts w:hint="eastAsia" w:ascii="仿宋" w:hAnsi="仿宋" w:eastAsia="仿宋"/>
          <w:color w:val="000000"/>
          <w:sz w:val="32"/>
          <w:szCs w:val="32"/>
          <w:lang w:val="en-US" w:eastAsia="zh-CN"/>
        </w:rPr>
        <w:t>2870.51</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442.96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15</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2427.55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85</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14:paraId="7BCC95EC">
      <w:pPr>
        <w:pageBreakBefore w:val="0"/>
        <w:kinsoku/>
        <w:overflowPunct/>
        <w:topLinePunct w:val="0"/>
        <w:bidi w:val="0"/>
        <w:spacing w:line="576" w:lineRule="exact"/>
        <w:ind w:firstLine="640" w:firstLineChars="200"/>
        <w:rPr>
          <w:rFonts w:ascii="仿宋_GB2312" w:eastAsia="仿宋_GB2312"/>
          <w:color w:val="FF0000"/>
          <w:sz w:val="32"/>
          <w:szCs w:val="32"/>
        </w:rPr>
      </w:pPr>
    </w:p>
    <w:p w14:paraId="51838BF4">
      <w:pPr>
        <w:pageBreakBefore w:val="0"/>
        <w:kinsoku/>
        <w:overflowPunct/>
        <w:topLinePunct w:val="0"/>
        <w:bidi w:val="0"/>
        <w:spacing w:line="576" w:lineRule="exact"/>
        <w:ind w:firstLine="640" w:firstLineChars="200"/>
        <w:outlineLvl w:val="1"/>
        <w:rPr>
          <w:rStyle w:val="27"/>
          <w:rFonts w:ascii="黑体" w:hAnsi="黑体" w:eastAsia="黑体"/>
          <w:b w:val="0"/>
        </w:rPr>
      </w:pPr>
      <w:bookmarkStart w:id="28" w:name="_Toc15396606"/>
      <w:bookmarkStart w:id="29" w:name="_Toc15377208"/>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28"/>
      <w:bookmarkEnd w:id="29"/>
    </w:p>
    <w:p w14:paraId="26AAF4B7">
      <w:pPr>
        <w:pageBreakBefore w:val="0"/>
        <w:kinsoku/>
        <w:overflowPunct/>
        <w:topLinePunct w:val="0"/>
        <w:bidi w:val="0"/>
        <w:spacing w:line="576"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2020年</w:t>
      </w:r>
      <w:r>
        <w:rPr>
          <w:rFonts w:hint="eastAsia" w:ascii="仿宋" w:hAnsi="仿宋" w:eastAsia="仿宋"/>
          <w:color w:val="000000"/>
          <w:sz w:val="32"/>
          <w:szCs w:val="32"/>
        </w:rPr>
        <w:t>度收、支总计</w:t>
      </w:r>
      <w:r>
        <w:rPr>
          <w:rFonts w:hint="eastAsia" w:ascii="仿宋" w:hAnsi="仿宋" w:eastAsia="仿宋"/>
          <w:color w:val="000000"/>
          <w:sz w:val="32"/>
          <w:szCs w:val="32"/>
          <w:lang w:val="en-US" w:eastAsia="zh-CN"/>
        </w:rPr>
        <w:t>3298.18</w:t>
      </w:r>
      <w:r>
        <w:rPr>
          <w:rFonts w:hint="eastAsia" w:ascii="仿宋" w:hAnsi="仿宋" w:eastAsia="仿宋"/>
          <w:color w:val="000000"/>
          <w:sz w:val="32"/>
          <w:szCs w:val="32"/>
        </w:rPr>
        <w:t>万元。与201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年相比，收、支总计各</w:t>
      </w:r>
      <w:r>
        <w:rPr>
          <w:rFonts w:hint="eastAsia" w:ascii="仿宋" w:hAnsi="仿宋" w:eastAsia="仿宋"/>
          <w:color w:val="000000"/>
          <w:sz w:val="32"/>
          <w:szCs w:val="32"/>
          <w:lang w:val="en-US" w:eastAsia="zh-CN"/>
        </w:rPr>
        <w:t>增加466.61</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上升14</w:t>
      </w:r>
      <w:r>
        <w:rPr>
          <w:rFonts w:ascii="仿宋" w:hAnsi="仿宋" w:eastAsia="仿宋"/>
          <w:color w:val="000000"/>
          <w:sz w:val="32"/>
          <w:szCs w:val="32"/>
        </w:rPr>
        <w:t>%</w:t>
      </w:r>
      <w:r>
        <w:rPr>
          <w:rFonts w:hint="eastAsia" w:ascii="仿宋" w:hAnsi="仿宋" w:eastAsia="仿宋"/>
          <w:color w:val="000000"/>
          <w:sz w:val="32"/>
          <w:szCs w:val="32"/>
        </w:rPr>
        <w:t>。主要变动原因是灾后恢复重建项目陆续</w:t>
      </w:r>
      <w:r>
        <w:rPr>
          <w:rFonts w:hint="eastAsia" w:ascii="仿宋" w:hAnsi="仿宋" w:eastAsia="仿宋"/>
          <w:color w:val="000000"/>
          <w:sz w:val="32"/>
          <w:szCs w:val="32"/>
          <w:lang w:val="en-US" w:eastAsia="zh-CN"/>
        </w:rPr>
        <w:t>完工</w:t>
      </w:r>
      <w:r>
        <w:rPr>
          <w:rFonts w:hint="eastAsia" w:ascii="仿宋" w:hAnsi="仿宋" w:eastAsia="仿宋"/>
          <w:color w:val="000000"/>
          <w:sz w:val="32"/>
          <w:szCs w:val="32"/>
        </w:rPr>
        <w:t>。</w:t>
      </w:r>
    </w:p>
    <w:p w14:paraId="21AC65F1">
      <w:pPr>
        <w:pageBreakBefore w:val="0"/>
        <w:kinsoku/>
        <w:overflowPunct/>
        <w:topLinePunct w:val="0"/>
        <w:bidi w:val="0"/>
        <w:spacing w:line="576" w:lineRule="exact"/>
        <w:ind w:firstLine="64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（除国有资本经营预算外，数据来源于财决</w:t>
      </w:r>
      <w:r>
        <w:rPr>
          <w:rFonts w:ascii="仿宋" w:hAnsi="仿宋" w:eastAsia="仿宋"/>
          <w:b/>
          <w:color w:val="000000" w:themeColor="text1"/>
          <w:sz w:val="32"/>
          <w:szCs w:val="32"/>
          <w14:textFill>
            <w14:solidFill>
              <w14:schemeClr w14:val="tx1"/>
            </w14:solidFill>
          </w14:textFill>
        </w:rPr>
        <w:t>Z01</w:t>
      </w:r>
      <w:r>
        <w:rPr>
          <w:rFonts w:hint="eastAsia" w:ascii="仿宋" w:hAnsi="仿宋" w:eastAsia="仿宋"/>
          <w:b/>
          <w:color w:val="000000" w:themeColor="text1"/>
          <w:sz w:val="32"/>
          <w:szCs w:val="32"/>
          <w14:textFill>
            <w14:solidFill>
              <w14:schemeClr w14:val="tx1"/>
            </w14:solidFill>
          </w14:textFill>
        </w:rPr>
        <w:t>表，口径为“总计”数+国有资本经营预算。）</w:t>
      </w:r>
    </w:p>
    <w:p w14:paraId="1853ECE3">
      <w:pPr>
        <w:pageBreakBefore w:val="0"/>
        <w:kinsoku/>
        <w:overflowPunct/>
        <w:topLinePunct w:val="0"/>
        <w:bidi w:val="0"/>
        <w:spacing w:line="576" w:lineRule="exact"/>
        <w:ind w:firstLine="640"/>
        <w:rPr>
          <w:rFonts w:ascii="仿宋" w:hAnsi="仿宋" w:eastAsia="仿宋"/>
          <w:b/>
          <w:color w:val="00B050"/>
          <w:sz w:val="32"/>
          <w:szCs w:val="32"/>
        </w:rPr>
      </w:pPr>
    </w:p>
    <w:p w14:paraId="0BC4A25E">
      <w:pPr>
        <w:pageBreakBefore w:val="0"/>
        <w:kinsoku/>
        <w:overflowPunct/>
        <w:topLinePunct w:val="0"/>
        <w:bidi w:val="0"/>
        <w:spacing w:line="576" w:lineRule="exact"/>
        <w:ind w:firstLine="640" w:firstLineChars="200"/>
        <w:outlineLvl w:val="1"/>
        <w:rPr>
          <w:rStyle w:val="27"/>
          <w:rFonts w:ascii="黑体" w:hAnsi="黑体" w:eastAsia="黑体"/>
          <w:b w:val="0"/>
        </w:rPr>
      </w:pPr>
      <w:bookmarkStart w:id="30" w:name="_Toc15377209"/>
      <w:bookmarkStart w:id="31"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0"/>
      <w:bookmarkEnd w:id="31"/>
    </w:p>
    <w:p w14:paraId="48FC0A40">
      <w:pPr>
        <w:pageBreakBefore w:val="0"/>
        <w:kinsoku/>
        <w:overflowPunct/>
        <w:topLinePunct w:val="0"/>
        <w:bidi w:val="0"/>
        <w:spacing w:line="576" w:lineRule="exact"/>
        <w:ind w:firstLine="643" w:firstLineChars="200"/>
        <w:outlineLvl w:val="2"/>
        <w:rPr>
          <w:rFonts w:ascii="仿宋" w:hAnsi="仿宋" w:eastAsia="仿宋"/>
          <w:b/>
          <w:color w:val="000000"/>
          <w:sz w:val="32"/>
          <w:szCs w:val="32"/>
        </w:rPr>
      </w:pPr>
      <w:bookmarkStart w:id="32" w:name="_Toc15377210"/>
      <w:r>
        <w:rPr>
          <w:rFonts w:hint="eastAsia" w:ascii="仿宋" w:hAnsi="仿宋" w:eastAsia="仿宋"/>
          <w:b/>
          <w:color w:val="000000"/>
          <w:sz w:val="32"/>
          <w:szCs w:val="32"/>
        </w:rPr>
        <w:t>（一）一般公共预算财政拨款支出决算总体情况</w:t>
      </w:r>
      <w:bookmarkEnd w:id="32"/>
    </w:p>
    <w:p w14:paraId="17A3F208">
      <w:pPr>
        <w:pageBreakBefore w:val="0"/>
        <w:kinsoku/>
        <w:overflowPunct/>
        <w:topLinePunct w:val="0"/>
        <w:bidi w:val="0"/>
        <w:spacing w:line="576"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2020年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val="en-US" w:eastAsia="zh-CN"/>
        </w:rPr>
        <w:t>2870.51</w:t>
      </w:r>
      <w:r>
        <w:rPr>
          <w:rFonts w:hint="eastAsia" w:ascii="仿宋" w:hAnsi="仿宋" w:eastAsia="仿宋"/>
          <w:color w:val="000000"/>
          <w:sz w:val="32"/>
          <w:szCs w:val="32"/>
        </w:rPr>
        <w:t>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1079.32</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上升38</w:t>
      </w:r>
      <w:r>
        <w:rPr>
          <w:rFonts w:ascii="仿宋" w:hAnsi="仿宋" w:eastAsia="仿宋"/>
          <w:color w:val="000000"/>
          <w:sz w:val="32"/>
          <w:szCs w:val="32"/>
        </w:rPr>
        <w:t>%</w:t>
      </w:r>
      <w:r>
        <w:rPr>
          <w:rFonts w:hint="eastAsia" w:ascii="仿宋" w:hAnsi="仿宋" w:eastAsia="仿宋"/>
          <w:color w:val="000000"/>
          <w:sz w:val="32"/>
          <w:szCs w:val="32"/>
        </w:rPr>
        <w:t>。主要变动原因是灾后恢复重建项目陆续</w:t>
      </w:r>
      <w:r>
        <w:rPr>
          <w:rFonts w:hint="eastAsia" w:ascii="仿宋" w:hAnsi="仿宋" w:eastAsia="仿宋"/>
          <w:color w:val="000000"/>
          <w:sz w:val="32"/>
          <w:szCs w:val="32"/>
          <w:lang w:val="en-US" w:eastAsia="zh-CN"/>
        </w:rPr>
        <w:t>完工</w:t>
      </w:r>
      <w:r>
        <w:rPr>
          <w:rFonts w:hint="eastAsia" w:ascii="仿宋" w:hAnsi="仿宋" w:eastAsia="仿宋"/>
          <w:color w:val="000000"/>
          <w:sz w:val="32"/>
          <w:szCs w:val="32"/>
        </w:rPr>
        <w:t>.</w:t>
      </w:r>
    </w:p>
    <w:p w14:paraId="43D89D66">
      <w:pPr>
        <w:pageBreakBefore w:val="0"/>
        <w:kinsoku/>
        <w:overflowPunct/>
        <w:topLinePunct w:val="0"/>
        <w:bidi w:val="0"/>
        <w:spacing w:line="576" w:lineRule="exact"/>
        <w:ind w:firstLine="643" w:firstLineChars="200"/>
        <w:outlineLvl w:val="2"/>
        <w:rPr>
          <w:rFonts w:ascii="仿宋" w:hAnsi="仿宋" w:eastAsia="仿宋"/>
          <w:b/>
          <w:color w:val="000000"/>
          <w:sz w:val="32"/>
          <w:szCs w:val="32"/>
        </w:rPr>
      </w:pPr>
      <w:bookmarkStart w:id="33" w:name="_Toc15377211"/>
      <w:r>
        <w:rPr>
          <w:rFonts w:hint="eastAsia" w:ascii="仿宋" w:hAnsi="仿宋" w:eastAsia="仿宋"/>
          <w:b/>
          <w:color w:val="000000"/>
          <w:sz w:val="32"/>
          <w:szCs w:val="32"/>
        </w:rPr>
        <w:t>（二）一般公共预算财政拨款支出决算结构情况</w:t>
      </w:r>
      <w:bookmarkEnd w:id="33"/>
    </w:p>
    <w:p w14:paraId="0774F9E5">
      <w:pPr>
        <w:pageBreakBefore w:val="0"/>
        <w:kinsoku/>
        <w:overflowPunct/>
        <w:topLinePunct w:val="0"/>
        <w:bidi w:val="0"/>
        <w:spacing w:line="576" w:lineRule="exact"/>
        <w:ind w:firstLine="64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eastAsia="zh-CN"/>
        </w:rPr>
        <w:t>2020年</w:t>
      </w:r>
      <w:r>
        <w:rPr>
          <w:rFonts w:hint="eastAsia" w:ascii="仿宋" w:hAnsi="仿宋" w:eastAsia="仿宋"/>
          <w:color w:val="000000"/>
          <w:sz w:val="32"/>
          <w:szCs w:val="32"/>
        </w:rPr>
        <w:t>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lang w:val="en-US" w:eastAsia="zh-CN"/>
        </w:rPr>
        <w:t>2870.51</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一般公共服务（2</w:t>
      </w:r>
      <w:r>
        <w:rPr>
          <w:rFonts w:ascii="仿宋" w:hAnsi="仿宋" w:eastAsia="仿宋"/>
          <w:b/>
          <w:color w:val="000000" w:themeColor="text1"/>
          <w:sz w:val="32"/>
          <w:szCs w:val="32"/>
          <w14:textFill>
            <w14:solidFill>
              <w14:schemeClr w14:val="tx1"/>
            </w14:solidFill>
          </w14:textFill>
        </w:rPr>
        <w:t>01</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教育支出（2</w:t>
      </w:r>
      <w:r>
        <w:rPr>
          <w:rFonts w:ascii="仿宋" w:hAnsi="仿宋" w:eastAsia="仿宋"/>
          <w:b/>
          <w:color w:val="000000" w:themeColor="text1"/>
          <w:sz w:val="32"/>
          <w:szCs w:val="32"/>
          <w14:textFill>
            <w14:solidFill>
              <w14:schemeClr w14:val="tx1"/>
            </w14:solidFill>
          </w14:textFill>
        </w:rPr>
        <w:t>025</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文化旅游体育与传媒（2</w:t>
      </w:r>
      <w:r>
        <w:rPr>
          <w:rFonts w:ascii="仿宋" w:hAnsi="仿宋" w:eastAsia="仿宋"/>
          <w:b/>
          <w:bCs/>
          <w:color w:val="000000" w:themeColor="text1"/>
          <w:sz w:val="32"/>
          <w:szCs w:val="32"/>
          <w14:textFill>
            <w14:solidFill>
              <w14:schemeClr w14:val="tx1"/>
            </w14:solidFill>
          </w14:textFill>
        </w:rPr>
        <w:t>07</w:t>
      </w:r>
      <w:r>
        <w:rPr>
          <w:rFonts w:hint="eastAsia" w:ascii="仿宋" w:hAnsi="仿宋" w:eastAsia="仿宋"/>
          <w:b/>
          <w:bCs/>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24.15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社会保障和就业（2</w:t>
      </w:r>
      <w:r>
        <w:rPr>
          <w:rFonts w:ascii="仿宋" w:hAnsi="仿宋" w:eastAsia="仿宋"/>
          <w:b/>
          <w:color w:val="000000" w:themeColor="text1"/>
          <w:sz w:val="32"/>
          <w:szCs w:val="32"/>
          <w14:textFill>
            <w14:solidFill>
              <w14:schemeClr w14:val="tx1"/>
            </w14:solidFill>
          </w14:textFill>
        </w:rPr>
        <w:t>08</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33.60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w:t>
      </w:r>
      <w:r>
        <w:rPr>
          <w:rFonts w:ascii="仿宋" w:hAnsi="仿宋" w:eastAsia="仿宋"/>
          <w:b/>
          <w:bCs/>
          <w:color w:val="000000" w:themeColor="text1"/>
          <w:sz w:val="32"/>
          <w:szCs w:val="32"/>
          <w14:textFill>
            <w14:solidFill>
              <w14:schemeClr w14:val="tx1"/>
            </w14:solidFill>
          </w14:textFill>
        </w:rPr>
        <w:t>210</w:t>
      </w:r>
      <w:r>
        <w:rPr>
          <w:rFonts w:hint="eastAsia" w:ascii="仿宋" w:hAnsi="仿宋" w:eastAsia="仿宋"/>
          <w:b/>
          <w:bCs/>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23.98</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节能环保(</w:t>
      </w:r>
      <w:r>
        <w:rPr>
          <w:rFonts w:ascii="仿宋" w:hAnsi="仿宋" w:eastAsia="仿宋"/>
          <w:b/>
          <w:bCs/>
          <w:color w:val="000000" w:themeColor="text1"/>
          <w:sz w:val="32"/>
          <w:szCs w:val="32"/>
          <w14:textFill>
            <w14:solidFill>
              <w14:schemeClr w14:val="tx1"/>
            </w14:solidFill>
          </w14:textFill>
        </w:rPr>
        <w:t>211</w:t>
      </w:r>
      <w:r>
        <w:rPr>
          <w:rFonts w:hint="eastAsia" w:ascii="仿宋" w:hAnsi="仿宋" w:eastAsia="仿宋"/>
          <w:b/>
          <w:bCs/>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275.23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10</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w:t>
      </w:r>
      <w:r>
        <w:rPr>
          <w:rFonts w:ascii="仿宋" w:hAnsi="仿宋" w:eastAsia="仿宋"/>
          <w:b/>
          <w:bCs/>
          <w:color w:val="000000" w:themeColor="text1"/>
          <w:sz w:val="32"/>
          <w:szCs w:val="32"/>
          <w14:textFill>
            <w14:solidFill>
              <w14:schemeClr w14:val="tx1"/>
            </w14:solidFill>
          </w14:textFill>
        </w:rPr>
        <w:t>221</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36.17</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农林水(</w:t>
      </w:r>
      <w:r>
        <w:rPr>
          <w:rFonts w:ascii="仿宋" w:hAnsi="仿宋" w:eastAsia="仿宋"/>
          <w:b/>
          <w:bCs/>
          <w:color w:val="000000" w:themeColor="text1"/>
          <w:sz w:val="32"/>
          <w:szCs w:val="32"/>
          <w14:textFill>
            <w14:solidFill>
              <w14:schemeClr w14:val="tx1"/>
            </w14:solidFill>
          </w14:textFill>
        </w:rPr>
        <w:t>213</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2137.3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74</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商业服务业等(</w:t>
      </w:r>
      <w:r>
        <w:rPr>
          <w:rFonts w:ascii="仿宋" w:hAnsi="仿宋" w:eastAsia="仿宋"/>
          <w:b/>
          <w:bCs/>
          <w:color w:val="000000" w:themeColor="text1"/>
          <w:sz w:val="32"/>
          <w:szCs w:val="32"/>
          <w14:textFill>
            <w14:solidFill>
              <w14:schemeClr w14:val="tx1"/>
            </w14:solidFill>
          </w14:textFill>
        </w:rPr>
        <w:t>216</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其他支出（229）</w:t>
      </w:r>
      <w:r>
        <w:rPr>
          <w:rFonts w:hint="eastAsia" w:ascii="仿宋" w:hAnsi="仿宋" w:eastAsia="仿宋"/>
          <w:color w:val="000000" w:themeColor="text1"/>
          <w:sz w:val="32"/>
          <w:szCs w:val="32"/>
          <w:lang w:val="en-US" w:eastAsia="zh-CN"/>
          <w14:textFill>
            <w14:solidFill>
              <w14:schemeClr w14:val="tx1"/>
            </w14:solidFill>
          </w14:textFill>
        </w:rPr>
        <w:t>340.07万元，占12%；</w:t>
      </w:r>
      <w:r>
        <w:rPr>
          <w:rFonts w:hint="eastAsia" w:ascii="仿宋" w:hAnsi="仿宋" w:eastAsia="仿宋"/>
          <w:b/>
          <w:color w:val="000000" w:themeColor="text1"/>
          <w:sz w:val="32"/>
          <w:szCs w:val="32"/>
          <w14:textFill>
            <w14:solidFill>
              <w14:schemeClr w14:val="tx1"/>
            </w14:solidFill>
          </w14:textFill>
        </w:rPr>
        <w:t>（罗列全部功能分类科目，至类级。）</w:t>
      </w:r>
    </w:p>
    <w:p w14:paraId="605EDA5D">
      <w:pPr>
        <w:pageBreakBefore w:val="0"/>
        <w:kinsoku/>
        <w:overflowPunct/>
        <w:topLinePunct w:val="0"/>
        <w:bidi w:val="0"/>
        <w:spacing w:line="576" w:lineRule="exact"/>
        <w:ind w:firstLine="643" w:firstLineChars="200"/>
        <w:outlineLvl w:val="2"/>
        <w:rPr>
          <w:rFonts w:ascii="仿宋" w:hAnsi="仿宋" w:eastAsia="仿宋"/>
          <w:b/>
          <w:color w:val="000000"/>
          <w:sz w:val="32"/>
          <w:szCs w:val="32"/>
        </w:rPr>
      </w:pPr>
      <w:bookmarkStart w:id="34" w:name="_Toc15377212"/>
      <w:r>
        <w:rPr>
          <w:rFonts w:hint="eastAsia" w:ascii="仿宋" w:hAnsi="仿宋" w:eastAsia="仿宋"/>
          <w:b/>
          <w:color w:val="000000"/>
          <w:sz w:val="32"/>
          <w:szCs w:val="32"/>
        </w:rPr>
        <w:t>（三）一般公共预算财政拨款支出决算具体情况</w:t>
      </w:r>
      <w:bookmarkEnd w:id="34"/>
    </w:p>
    <w:p w14:paraId="71C461B9">
      <w:pPr>
        <w:pageBreakBefore w:val="0"/>
        <w:kinsoku/>
        <w:overflowPunct/>
        <w:topLinePunct w:val="0"/>
        <w:bidi w:val="0"/>
        <w:spacing w:line="576" w:lineRule="exact"/>
        <w:ind w:firstLine="640" w:firstLineChars="200"/>
        <w:outlineLvl w:val="2"/>
        <w:rPr>
          <w:rStyle w:val="16"/>
          <w:rFonts w:ascii="仿宋" w:hAnsi="仿宋" w:eastAsia="仿宋"/>
          <w:b w:val="0"/>
          <w:bCs/>
          <w:color w:val="000000"/>
          <w:sz w:val="32"/>
          <w:szCs w:val="32"/>
        </w:rPr>
      </w:pPr>
      <w:bookmarkStart w:id="35" w:name="_Toc15377213"/>
      <w:bookmarkStart w:id="36" w:name="_Toc15377444"/>
      <w:bookmarkStart w:id="37" w:name="_Toc15378460"/>
      <w:r>
        <w:rPr>
          <w:rFonts w:hint="eastAsia" w:ascii="仿宋" w:hAnsi="仿宋" w:eastAsia="仿宋"/>
          <w:bCs/>
          <w:color w:val="000000" w:themeColor="text1"/>
          <w:sz w:val="32"/>
          <w:szCs w:val="32"/>
          <w:lang w:eastAsia="zh-CN"/>
          <w14:textFill>
            <w14:solidFill>
              <w14:schemeClr w14:val="tx1"/>
            </w14:solidFill>
          </w14:textFill>
        </w:rPr>
        <w:t>2020年</w:t>
      </w:r>
      <w:r>
        <w:rPr>
          <w:rFonts w:hint="eastAsia" w:ascii="仿宋" w:hAnsi="仿宋" w:eastAsia="仿宋"/>
          <w:bCs/>
          <w:color w:val="000000" w:themeColor="text1"/>
          <w:sz w:val="32"/>
          <w:szCs w:val="32"/>
          <w14:textFill>
            <w14:solidFill>
              <w14:schemeClr w14:val="tx1"/>
            </w14:solidFill>
          </w14:textFill>
        </w:rPr>
        <w:t>般公共预算支出决算数为</w:t>
      </w:r>
      <w:r>
        <w:rPr>
          <w:rFonts w:hint="eastAsia" w:ascii="仿宋" w:hAnsi="仿宋" w:eastAsia="仿宋"/>
          <w:bCs/>
          <w:color w:val="000000" w:themeColor="text1"/>
          <w:sz w:val="32"/>
          <w:szCs w:val="32"/>
          <w:lang w:val="en-US" w:eastAsia="zh-CN"/>
          <w14:textFill>
            <w14:solidFill>
              <w14:schemeClr w14:val="tx1"/>
            </w14:solidFill>
          </w14:textFill>
        </w:rPr>
        <w:t>2870.51</w:t>
      </w:r>
      <w:r>
        <w:rPr>
          <w:rFonts w:hint="eastAsia" w:ascii="仿宋" w:hAnsi="仿宋" w:eastAsia="仿宋"/>
          <w:bCs/>
          <w:color w:val="000000" w:themeColor="text1"/>
          <w:sz w:val="32"/>
          <w:szCs w:val="32"/>
          <w14:textFill>
            <w14:solidFill>
              <w14:schemeClr w14:val="tx1"/>
            </w14:solidFill>
          </w14:textFill>
        </w:rPr>
        <w:t>万元，</w:t>
      </w:r>
      <w:r>
        <w:rPr>
          <w:rStyle w:val="16"/>
          <w:rFonts w:hint="eastAsia" w:ascii="仿宋" w:hAnsi="仿宋" w:eastAsia="仿宋"/>
          <w:b w:val="0"/>
          <w:bCs/>
          <w:color w:val="000000" w:themeColor="text1"/>
          <w:sz w:val="32"/>
          <w:szCs w:val="32"/>
          <w14:textFill>
            <w14:solidFill>
              <w14:schemeClr w14:val="tx1"/>
            </w14:solidFill>
          </w14:textFill>
        </w:rPr>
        <w:t>完成</w:t>
      </w:r>
      <w:r>
        <w:rPr>
          <w:rStyle w:val="16"/>
          <w:rFonts w:hint="eastAsia" w:ascii="仿宋" w:hAnsi="仿宋" w:eastAsia="仿宋"/>
          <w:b w:val="0"/>
          <w:bCs/>
          <w:color w:val="000000"/>
          <w:sz w:val="32"/>
          <w:szCs w:val="32"/>
        </w:rPr>
        <w:t>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。其中：</w:t>
      </w:r>
      <w:bookmarkEnd w:id="35"/>
      <w:bookmarkEnd w:id="36"/>
      <w:bookmarkEnd w:id="37"/>
    </w:p>
    <w:p w14:paraId="5A4E5E41">
      <w:pPr>
        <w:pageBreakBefore w:val="0"/>
        <w:kinsoku/>
        <w:overflowPunct/>
        <w:topLinePunct w:val="0"/>
        <w:bidi w:val="0"/>
        <w:spacing w:line="576" w:lineRule="exact"/>
        <w:ind w:firstLine="643" w:firstLineChars="200"/>
        <w:rPr>
          <w:rStyle w:val="16"/>
          <w:rFonts w:ascii="仿宋" w:hAnsi="仿宋" w:eastAsia="仿宋"/>
          <w:b w:val="0"/>
          <w:bCs/>
          <w:color w:val="000000"/>
          <w:sz w:val="32"/>
          <w:szCs w:val="32"/>
        </w:rPr>
      </w:pPr>
      <w:r>
        <w:rPr>
          <w:rStyle w:val="16"/>
          <w:rFonts w:hint="eastAsia" w:ascii="仿宋" w:hAnsi="仿宋" w:eastAsia="仿宋"/>
          <w:bCs/>
          <w:color w:val="000000"/>
          <w:sz w:val="32"/>
          <w:szCs w:val="32"/>
          <w:lang w:val="en-US" w:eastAsia="zh-CN"/>
        </w:rPr>
        <w:t>1</w:t>
      </w:r>
      <w:r>
        <w:rPr>
          <w:rStyle w:val="16"/>
          <w:rFonts w:hint="eastAsia" w:ascii="仿宋" w:hAnsi="仿宋" w:eastAsia="仿宋"/>
          <w:bCs/>
          <w:color w:val="000000"/>
          <w:sz w:val="32"/>
          <w:szCs w:val="32"/>
        </w:rPr>
        <w:t>.文化旅游体育与传媒支出207文化和旅游01 其他文化和旅游支出99</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24.15</w:t>
      </w:r>
      <w:r>
        <w:rPr>
          <w:rStyle w:val="16"/>
          <w:rFonts w:hint="eastAsia" w:ascii="仿宋" w:hAnsi="仿宋" w:eastAsia="仿宋"/>
          <w:b w:val="0"/>
          <w:bCs/>
          <w:color w:val="000000"/>
          <w:sz w:val="32"/>
          <w:szCs w:val="32"/>
        </w:rPr>
        <w:t>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14:paraId="77525BAC">
      <w:pPr>
        <w:pageBreakBefore w:val="0"/>
        <w:kinsoku/>
        <w:overflowPunct/>
        <w:topLinePunct w:val="0"/>
        <w:bidi w:val="0"/>
        <w:spacing w:line="576"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2</w:t>
      </w:r>
      <w:r>
        <w:rPr>
          <w:rStyle w:val="16"/>
          <w:rFonts w:hint="eastAsia" w:ascii="仿宋" w:hAnsi="仿宋" w:eastAsia="仿宋"/>
          <w:bCs/>
          <w:color w:val="000000"/>
          <w:sz w:val="32"/>
          <w:szCs w:val="32"/>
        </w:rPr>
        <w:t>.社会保障和就业208行政事业单位离退休05机关事业单位基本养老保险缴费支出05</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33.60</w:t>
      </w:r>
      <w:r>
        <w:rPr>
          <w:rStyle w:val="16"/>
          <w:rFonts w:hint="eastAsia" w:ascii="仿宋" w:hAnsi="仿宋" w:eastAsia="仿宋"/>
          <w:b w:val="0"/>
          <w:bCs/>
          <w:color w:val="000000"/>
          <w:sz w:val="32"/>
          <w:szCs w:val="32"/>
        </w:rPr>
        <w:t>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14:paraId="297484BE">
      <w:pPr>
        <w:pageBreakBefore w:val="0"/>
        <w:kinsoku/>
        <w:overflowPunct/>
        <w:topLinePunct w:val="0"/>
        <w:bidi w:val="0"/>
        <w:spacing w:line="576"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3</w:t>
      </w:r>
      <w:r>
        <w:rPr>
          <w:rStyle w:val="16"/>
          <w:rFonts w:hint="eastAsia" w:ascii="仿宋" w:hAnsi="仿宋" w:eastAsia="仿宋"/>
          <w:bCs/>
          <w:color w:val="000000"/>
          <w:sz w:val="32"/>
          <w:szCs w:val="32"/>
        </w:rPr>
        <w:t>.卫生健康支出210卫生健康管理事务01 其他卫生健康管理事务支出99：</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23.98</w:t>
      </w:r>
      <w:r>
        <w:rPr>
          <w:rStyle w:val="16"/>
          <w:rFonts w:hint="eastAsia" w:ascii="仿宋" w:hAnsi="仿宋" w:eastAsia="仿宋"/>
          <w:b w:val="0"/>
          <w:bCs/>
          <w:color w:val="000000"/>
          <w:sz w:val="32"/>
          <w:szCs w:val="32"/>
        </w:rPr>
        <w:t>万元，</w:t>
      </w:r>
      <w:r>
        <w:rPr>
          <w:rStyle w:val="16"/>
          <w:rFonts w:hint="eastAsia" w:ascii="仿宋" w:hAnsi="仿宋" w:eastAsia="仿宋"/>
          <w:bCs/>
          <w:color w:val="000000"/>
          <w:sz w:val="32"/>
          <w:szCs w:val="32"/>
        </w:rPr>
        <w:t>卫生健康支出210行政事业单位医疗11事业单位医疗02</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15.74</w:t>
      </w:r>
      <w:r>
        <w:rPr>
          <w:rStyle w:val="16"/>
          <w:rFonts w:hint="eastAsia" w:ascii="仿宋" w:hAnsi="仿宋" w:eastAsia="仿宋"/>
          <w:b w:val="0"/>
          <w:bCs/>
          <w:color w:val="000000"/>
          <w:sz w:val="32"/>
          <w:szCs w:val="32"/>
        </w:rPr>
        <w:t>万元，</w:t>
      </w:r>
      <w:r>
        <w:rPr>
          <w:rStyle w:val="16"/>
          <w:rFonts w:hint="eastAsia" w:ascii="仿宋" w:hAnsi="仿宋" w:eastAsia="仿宋"/>
          <w:bCs/>
          <w:color w:val="000000"/>
          <w:sz w:val="32"/>
          <w:szCs w:val="32"/>
        </w:rPr>
        <w:t>卫生健康支出210行政事业单位医疗11</w:t>
      </w:r>
      <w:r>
        <w:rPr>
          <w:rStyle w:val="16"/>
          <w:rFonts w:hint="eastAsia" w:ascii="仿宋" w:hAnsi="仿宋" w:eastAsia="仿宋"/>
          <w:bCs/>
          <w:color w:val="000000"/>
          <w:sz w:val="32"/>
          <w:szCs w:val="32"/>
          <w:lang w:val="en-US" w:eastAsia="zh-CN"/>
        </w:rPr>
        <w:t>公务员医疗补助03：</w:t>
      </w:r>
      <w:r>
        <w:rPr>
          <w:rStyle w:val="16"/>
          <w:rFonts w:hint="eastAsia" w:ascii="仿宋" w:hAnsi="仿宋" w:eastAsia="仿宋"/>
          <w:b w:val="0"/>
          <w:bCs/>
          <w:color w:val="000000"/>
          <w:sz w:val="32"/>
          <w:szCs w:val="32"/>
          <w:lang w:val="en-US" w:eastAsia="zh-CN"/>
        </w:rPr>
        <w:t>支出决算为5.12万元，</w:t>
      </w:r>
      <w:r>
        <w:rPr>
          <w:rStyle w:val="16"/>
          <w:rFonts w:hint="eastAsia" w:ascii="仿宋" w:hAnsi="仿宋" w:eastAsia="仿宋"/>
          <w:bCs/>
          <w:color w:val="000000"/>
          <w:sz w:val="32"/>
          <w:szCs w:val="32"/>
        </w:rPr>
        <w:t>卫生健康支出210行政事业单位医疗支出</w:t>
      </w:r>
      <w:r>
        <w:rPr>
          <w:rStyle w:val="16"/>
          <w:rFonts w:hint="eastAsia" w:ascii="仿宋" w:hAnsi="仿宋" w:eastAsia="仿宋"/>
          <w:b w:val="0"/>
          <w:bCs/>
          <w:color w:val="000000"/>
          <w:sz w:val="32"/>
          <w:szCs w:val="32"/>
        </w:rPr>
        <w:t>99</w:t>
      </w:r>
      <w:r>
        <w:rPr>
          <w:rStyle w:val="16"/>
          <w:rFonts w:hint="eastAsia" w:ascii="仿宋" w:hAnsi="仿宋" w:eastAsia="仿宋"/>
          <w:b w:val="0"/>
          <w:bCs/>
          <w:color w:val="000000"/>
          <w:sz w:val="32"/>
          <w:szCs w:val="32"/>
          <w:lang w:eastAsia="zh-CN"/>
        </w:rPr>
        <w:t>：</w:t>
      </w:r>
      <w:r>
        <w:rPr>
          <w:rStyle w:val="16"/>
          <w:rFonts w:hint="eastAsia" w:ascii="仿宋" w:hAnsi="仿宋" w:eastAsia="仿宋"/>
          <w:b w:val="0"/>
          <w:bCs/>
          <w:color w:val="000000"/>
          <w:sz w:val="32"/>
          <w:szCs w:val="32"/>
        </w:rPr>
        <w:t>支出决算</w:t>
      </w:r>
      <w:r>
        <w:rPr>
          <w:rStyle w:val="16"/>
          <w:rFonts w:hint="eastAsia" w:ascii="仿宋" w:hAnsi="仿宋" w:eastAsia="仿宋"/>
          <w:b w:val="0"/>
          <w:bCs/>
          <w:color w:val="000000"/>
          <w:sz w:val="32"/>
          <w:szCs w:val="32"/>
          <w:lang w:val="en-US" w:eastAsia="zh-CN"/>
        </w:rPr>
        <w:t>3.12</w:t>
      </w:r>
      <w:r>
        <w:rPr>
          <w:rStyle w:val="16"/>
          <w:rFonts w:hint="eastAsia" w:ascii="仿宋" w:hAnsi="仿宋" w:eastAsia="仿宋"/>
          <w:b w:val="0"/>
          <w:bCs/>
          <w:color w:val="000000"/>
          <w:sz w:val="32"/>
          <w:szCs w:val="32"/>
        </w:rPr>
        <w:t>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14:paraId="6B907A0C">
      <w:pPr>
        <w:pageBreakBefore w:val="0"/>
        <w:kinsoku/>
        <w:overflowPunct/>
        <w:topLinePunct w:val="0"/>
        <w:bidi w:val="0"/>
        <w:spacing w:line="576" w:lineRule="exact"/>
        <w:ind w:firstLine="643" w:firstLineChars="200"/>
        <w:rPr>
          <w:rStyle w:val="16"/>
          <w:rFonts w:ascii="仿宋" w:hAnsi="仿宋" w:eastAsia="仿宋"/>
          <w:b w:val="0"/>
          <w:bCs/>
          <w:color w:val="000000"/>
          <w:sz w:val="32"/>
          <w:szCs w:val="32"/>
        </w:rPr>
      </w:pPr>
      <w:r>
        <w:rPr>
          <w:rFonts w:hint="eastAsia" w:ascii="仿宋" w:hAnsi="仿宋" w:eastAsia="仿宋"/>
          <w:b/>
          <w:bCs/>
          <w:color w:val="000000"/>
          <w:sz w:val="32"/>
          <w:szCs w:val="32"/>
          <w:lang w:val="en-US" w:eastAsia="zh-CN"/>
        </w:rPr>
        <w:t>4</w:t>
      </w:r>
      <w:r>
        <w:rPr>
          <w:rFonts w:hint="eastAsia" w:ascii="仿宋" w:hAnsi="仿宋" w:eastAsia="仿宋"/>
          <w:b/>
          <w:bCs/>
          <w:color w:val="000000"/>
          <w:sz w:val="32"/>
          <w:szCs w:val="32"/>
        </w:rPr>
        <w:t>.节能环保支出211自然生态保护</w:t>
      </w:r>
      <w:r>
        <w:rPr>
          <w:rFonts w:hint="eastAsia" w:ascii="仿宋" w:hAnsi="仿宋" w:eastAsia="仿宋"/>
          <w:color w:val="000000"/>
          <w:sz w:val="32"/>
          <w:szCs w:val="32"/>
        </w:rPr>
        <w:t>04</w:t>
      </w:r>
      <w:r>
        <w:rPr>
          <w:rFonts w:hint="eastAsia" w:ascii="仿宋" w:hAnsi="仿宋" w:eastAsia="仿宋"/>
          <w:b/>
          <w:bCs/>
          <w:color w:val="000000"/>
          <w:sz w:val="32"/>
          <w:szCs w:val="32"/>
        </w:rPr>
        <w:t>生态保护01</w:t>
      </w:r>
      <w:r>
        <w:rPr>
          <w:rFonts w:hint="eastAsia" w:ascii="仿宋" w:hAnsi="仿宋" w:eastAsia="仿宋"/>
          <w:color w:val="000000"/>
          <w:sz w:val="32"/>
          <w:szCs w:val="32"/>
        </w:rPr>
        <w:t>支出决算数为</w:t>
      </w:r>
      <w:r>
        <w:rPr>
          <w:rFonts w:hint="eastAsia" w:ascii="仿宋" w:hAnsi="仿宋" w:eastAsia="仿宋"/>
          <w:color w:val="000000"/>
          <w:sz w:val="32"/>
          <w:szCs w:val="32"/>
          <w:lang w:val="en-US" w:eastAsia="zh-CN"/>
        </w:rPr>
        <w:t>275.23</w:t>
      </w:r>
      <w:r>
        <w:rPr>
          <w:rFonts w:hint="eastAsia" w:ascii="仿宋" w:hAnsi="仿宋" w:eastAsia="仿宋"/>
          <w:color w:val="000000"/>
          <w:sz w:val="32"/>
          <w:szCs w:val="32"/>
        </w:rPr>
        <w:t>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14:paraId="32E4F992">
      <w:pPr>
        <w:pageBreakBefore w:val="0"/>
        <w:kinsoku/>
        <w:overflowPunct/>
        <w:topLinePunct w:val="0"/>
        <w:bidi w:val="0"/>
        <w:spacing w:line="576" w:lineRule="exact"/>
        <w:ind w:firstLine="643" w:firstLineChars="200"/>
        <w:rPr>
          <w:rStyle w:val="16"/>
          <w:rFonts w:hint="eastAsia" w:ascii="仿宋" w:hAnsi="仿宋" w:eastAsia="仿宋"/>
          <w:b w:val="0"/>
          <w:bCs/>
          <w:color w:val="000000"/>
          <w:sz w:val="32"/>
          <w:szCs w:val="32"/>
        </w:rPr>
      </w:pPr>
      <w:r>
        <w:rPr>
          <w:rStyle w:val="16"/>
          <w:rFonts w:hint="eastAsia" w:ascii="仿宋" w:hAnsi="仿宋" w:eastAsia="仿宋"/>
          <w:color w:val="000000"/>
          <w:sz w:val="32"/>
          <w:szCs w:val="32"/>
          <w:lang w:val="en-US" w:eastAsia="zh-CN"/>
        </w:rPr>
        <w:t>5</w:t>
      </w:r>
      <w:r>
        <w:rPr>
          <w:rStyle w:val="16"/>
          <w:rFonts w:hint="eastAsia" w:ascii="仿宋" w:hAnsi="仿宋" w:eastAsia="仿宋"/>
          <w:color w:val="000000"/>
          <w:sz w:val="32"/>
          <w:szCs w:val="32"/>
        </w:rPr>
        <w:t>.农林水支出213林业和草原02事业机构04</w:t>
      </w:r>
      <w:r>
        <w:rPr>
          <w:rFonts w:hint="eastAsia" w:ascii="仿宋" w:hAnsi="仿宋" w:eastAsia="仿宋"/>
          <w:color w:val="000000"/>
          <w:sz w:val="32"/>
          <w:szCs w:val="32"/>
        </w:rPr>
        <w:t>支出决算数为</w:t>
      </w:r>
      <w:r>
        <w:rPr>
          <w:rFonts w:hint="eastAsia" w:ascii="仿宋" w:hAnsi="仿宋" w:eastAsia="仿宋"/>
          <w:color w:val="000000"/>
          <w:sz w:val="32"/>
          <w:szCs w:val="32"/>
          <w:lang w:val="en-US" w:eastAsia="zh-CN"/>
        </w:rPr>
        <w:t>349.21</w:t>
      </w:r>
      <w:r>
        <w:rPr>
          <w:rFonts w:hint="eastAsia" w:ascii="仿宋" w:hAnsi="仿宋" w:eastAsia="仿宋"/>
          <w:color w:val="000000"/>
          <w:sz w:val="32"/>
          <w:szCs w:val="32"/>
        </w:rPr>
        <w:t>万元，</w:t>
      </w:r>
      <w:r>
        <w:rPr>
          <w:rStyle w:val="16"/>
          <w:rFonts w:hint="eastAsia" w:ascii="仿宋" w:hAnsi="仿宋" w:eastAsia="仿宋"/>
          <w:color w:val="000000"/>
          <w:sz w:val="32"/>
          <w:szCs w:val="32"/>
        </w:rPr>
        <w:t>农林水支出</w:t>
      </w:r>
      <w:r>
        <w:rPr>
          <w:rFonts w:hint="eastAsia" w:ascii="仿宋" w:hAnsi="仿宋" w:eastAsia="仿宋"/>
          <w:b/>
          <w:bCs/>
          <w:color w:val="000000"/>
          <w:sz w:val="32"/>
          <w:szCs w:val="32"/>
        </w:rPr>
        <w:t>213</w:t>
      </w:r>
      <w:r>
        <w:rPr>
          <w:rStyle w:val="16"/>
          <w:rFonts w:hint="eastAsia" w:ascii="仿宋" w:hAnsi="仿宋" w:eastAsia="仿宋"/>
          <w:bCs/>
          <w:color w:val="000000"/>
          <w:sz w:val="32"/>
          <w:szCs w:val="32"/>
        </w:rPr>
        <w:t>林业和草原</w:t>
      </w:r>
      <w:r>
        <w:rPr>
          <w:rFonts w:hint="eastAsia" w:ascii="仿宋" w:hAnsi="仿宋" w:eastAsia="仿宋"/>
          <w:b/>
          <w:bCs/>
          <w:color w:val="000000"/>
          <w:sz w:val="32"/>
          <w:szCs w:val="32"/>
        </w:rPr>
        <w:t>02 其他林业支出99</w:t>
      </w:r>
      <w:r>
        <w:rPr>
          <w:rFonts w:hint="eastAsia" w:ascii="仿宋" w:hAnsi="仿宋" w:eastAsia="仿宋"/>
          <w:color w:val="000000"/>
          <w:sz w:val="32"/>
          <w:szCs w:val="32"/>
        </w:rPr>
        <w:t>支出</w:t>
      </w:r>
      <w:r>
        <w:rPr>
          <w:rStyle w:val="16"/>
          <w:rFonts w:hint="eastAsia" w:ascii="仿宋" w:hAnsi="仿宋" w:eastAsia="仿宋"/>
          <w:b w:val="0"/>
          <w:bCs/>
          <w:color w:val="000000"/>
          <w:sz w:val="32"/>
          <w:szCs w:val="32"/>
        </w:rPr>
        <w:t>决算为</w:t>
      </w:r>
      <w:r>
        <w:rPr>
          <w:rStyle w:val="16"/>
          <w:rFonts w:hint="eastAsia" w:ascii="仿宋" w:hAnsi="仿宋" w:eastAsia="仿宋"/>
          <w:b w:val="0"/>
          <w:bCs/>
          <w:color w:val="000000"/>
          <w:sz w:val="32"/>
          <w:szCs w:val="32"/>
          <w:lang w:val="en-US" w:eastAsia="zh-CN"/>
        </w:rPr>
        <w:t>1788.09</w:t>
      </w:r>
      <w:r>
        <w:rPr>
          <w:rStyle w:val="16"/>
          <w:rFonts w:hint="eastAsia" w:ascii="仿宋" w:hAnsi="仿宋" w:eastAsia="仿宋"/>
          <w:b w:val="0"/>
          <w:bCs/>
          <w:color w:val="000000"/>
          <w:sz w:val="32"/>
          <w:szCs w:val="32"/>
        </w:rPr>
        <w:t>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14:paraId="2839C02B">
      <w:pPr>
        <w:pageBreakBefore w:val="0"/>
        <w:kinsoku/>
        <w:overflowPunct/>
        <w:topLinePunct w:val="0"/>
        <w:bidi w:val="0"/>
        <w:spacing w:line="576" w:lineRule="exact"/>
        <w:ind w:firstLine="643" w:firstLineChars="200"/>
        <w:rPr>
          <w:rStyle w:val="16"/>
          <w:rFonts w:ascii="仿宋" w:hAnsi="仿宋" w:eastAsia="仿宋"/>
          <w:b w:val="0"/>
          <w:bCs/>
          <w:color w:val="000000"/>
          <w:sz w:val="32"/>
          <w:szCs w:val="32"/>
        </w:rPr>
      </w:pPr>
      <w:r>
        <w:rPr>
          <w:rStyle w:val="16"/>
          <w:rFonts w:hint="eastAsia" w:ascii="仿宋" w:hAnsi="仿宋" w:eastAsia="仿宋"/>
          <w:color w:val="000000"/>
          <w:sz w:val="32"/>
          <w:szCs w:val="32"/>
          <w:lang w:val="en-US" w:eastAsia="zh-CN"/>
        </w:rPr>
        <w:t>6</w:t>
      </w:r>
      <w:r>
        <w:rPr>
          <w:rStyle w:val="16"/>
          <w:rFonts w:hint="eastAsia" w:ascii="仿宋" w:hAnsi="仿宋" w:eastAsia="仿宋"/>
          <w:b w:val="0"/>
          <w:bCs/>
          <w:color w:val="000000"/>
          <w:sz w:val="32"/>
          <w:szCs w:val="32"/>
        </w:rPr>
        <w:t>.</w:t>
      </w:r>
      <w:r>
        <w:rPr>
          <w:rStyle w:val="16"/>
          <w:rFonts w:hint="eastAsia" w:ascii="仿宋" w:hAnsi="仿宋" w:eastAsia="仿宋"/>
          <w:color w:val="000000"/>
          <w:sz w:val="32"/>
          <w:szCs w:val="32"/>
        </w:rPr>
        <w:t>住房保障支出221住房改革支出02住房公积金01</w:t>
      </w:r>
      <w:r>
        <w:rPr>
          <w:rFonts w:hint="eastAsia" w:ascii="仿宋" w:hAnsi="仿宋" w:eastAsia="仿宋"/>
          <w:color w:val="000000"/>
          <w:sz w:val="32"/>
          <w:szCs w:val="32"/>
        </w:rPr>
        <w:t>支出决算数为</w:t>
      </w:r>
      <w:r>
        <w:rPr>
          <w:rFonts w:hint="eastAsia" w:ascii="仿宋" w:hAnsi="仿宋" w:eastAsia="仿宋"/>
          <w:color w:val="000000"/>
          <w:sz w:val="32"/>
          <w:szCs w:val="32"/>
          <w:lang w:val="en-US" w:eastAsia="zh-CN"/>
        </w:rPr>
        <w:t>36.17</w:t>
      </w:r>
      <w:r>
        <w:rPr>
          <w:rFonts w:hint="eastAsia" w:ascii="仿宋" w:hAnsi="仿宋" w:eastAsia="仿宋"/>
          <w:color w:val="000000"/>
          <w:sz w:val="32"/>
          <w:szCs w:val="32"/>
        </w:rPr>
        <w:t>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14:paraId="737D01AF">
      <w:pPr>
        <w:pageBreakBefore w:val="0"/>
        <w:kinsoku/>
        <w:overflowPunct/>
        <w:topLinePunct w:val="0"/>
        <w:bidi w:val="0"/>
        <w:spacing w:line="576" w:lineRule="exact"/>
        <w:ind w:firstLine="643" w:firstLineChars="200"/>
        <w:rPr>
          <w:rStyle w:val="16"/>
          <w:rFonts w:hint="default" w:ascii="仿宋" w:hAnsi="仿宋" w:eastAsia="仿宋"/>
          <w:b w:val="0"/>
          <w:bCs/>
          <w:color w:val="000000"/>
          <w:sz w:val="32"/>
          <w:szCs w:val="32"/>
          <w:lang w:val="en-US" w:eastAsia="zh-CN"/>
        </w:rPr>
      </w:pPr>
      <w:r>
        <w:rPr>
          <w:rStyle w:val="16"/>
          <w:rFonts w:hint="eastAsia" w:ascii="仿宋" w:hAnsi="仿宋" w:eastAsia="仿宋"/>
          <w:color w:val="000000"/>
          <w:sz w:val="32"/>
          <w:szCs w:val="32"/>
          <w:lang w:val="en-US" w:eastAsia="zh-CN"/>
        </w:rPr>
        <w:t>7.其他支出229其他支出99其他支出01</w:t>
      </w:r>
      <w:r>
        <w:rPr>
          <w:rStyle w:val="16"/>
          <w:rFonts w:hint="eastAsia" w:ascii="仿宋" w:hAnsi="仿宋" w:eastAsia="仿宋"/>
          <w:b w:val="0"/>
          <w:bCs/>
          <w:color w:val="000000"/>
          <w:sz w:val="32"/>
          <w:szCs w:val="32"/>
          <w:lang w:val="en-US" w:eastAsia="zh-CN"/>
        </w:rPr>
        <w:t>支出决算数为340.07万元。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14:paraId="113A357D">
      <w:pPr>
        <w:pageBreakBefore w:val="0"/>
        <w:kinsoku/>
        <w:overflowPunct/>
        <w:topLinePunct w:val="0"/>
        <w:bidi w:val="0"/>
        <w:spacing w:line="576" w:lineRule="exact"/>
        <w:ind w:firstLine="640"/>
        <w:rPr>
          <w:rFonts w:ascii="仿宋" w:hAnsi="仿宋" w:eastAsia="仿宋"/>
          <w:b/>
          <w:color w:val="000000"/>
          <w:sz w:val="32"/>
          <w:szCs w:val="32"/>
        </w:rPr>
      </w:pPr>
      <w:r>
        <w:rPr>
          <w:rFonts w:hint="eastAsia" w:ascii="仿宋" w:hAnsi="仿宋" w:eastAsia="仿宋"/>
          <w:b/>
          <w:color w:val="000000"/>
          <w:sz w:val="32"/>
          <w:szCs w:val="32"/>
        </w:rPr>
        <w:t>（数据来源财决</w:t>
      </w:r>
      <w:r>
        <w:rPr>
          <w:rFonts w:hint="eastAsia" w:ascii="仿宋" w:hAnsi="仿宋" w:eastAsia="仿宋"/>
          <w:b/>
          <w:color w:val="000000"/>
          <w:sz w:val="32"/>
          <w:szCs w:val="32"/>
          <w:lang w:val="en-US" w:eastAsia="zh-CN"/>
        </w:rPr>
        <w:t>03</w:t>
      </w:r>
      <w:r>
        <w:rPr>
          <w:rFonts w:hint="eastAsia" w:ascii="仿宋" w:hAnsi="仿宋" w:eastAsia="仿宋"/>
          <w:b/>
          <w:color w:val="000000"/>
          <w:sz w:val="32"/>
          <w:szCs w:val="32"/>
        </w:rPr>
        <w:t>表，罗列全部功能分类科目至项级。上述“预算”口径为调整预算数。增减变动原因为决算数</w:t>
      </w:r>
      <w:r>
        <w:rPr>
          <w:rFonts w:ascii="仿宋" w:hAnsi="仿宋" w:eastAsia="仿宋"/>
          <w:b/>
          <w:color w:val="000000"/>
          <w:sz w:val="32"/>
          <w:szCs w:val="32"/>
        </w:rPr>
        <w:t>&lt;</w:t>
      </w:r>
      <w:r>
        <w:rPr>
          <w:rFonts w:hint="eastAsia" w:ascii="仿宋" w:hAnsi="仿宋" w:eastAsia="仿宋"/>
          <w:b/>
          <w:color w:val="000000"/>
          <w:sz w:val="32"/>
          <w:szCs w:val="32"/>
        </w:rPr>
        <w:t>项级</w:t>
      </w:r>
      <w:r>
        <w:rPr>
          <w:rFonts w:ascii="仿宋" w:hAnsi="仿宋" w:eastAsia="仿宋"/>
          <w:b/>
          <w:color w:val="000000"/>
          <w:sz w:val="32"/>
          <w:szCs w:val="32"/>
        </w:rPr>
        <w:t>&gt;</w:t>
      </w:r>
      <w:r>
        <w:rPr>
          <w:rFonts w:hint="eastAsia" w:ascii="仿宋" w:hAnsi="仿宋" w:eastAsia="仿宋"/>
          <w:b/>
          <w:color w:val="000000"/>
          <w:sz w:val="32"/>
          <w:szCs w:val="32"/>
        </w:rPr>
        <w:t>和调整预算数</w:t>
      </w:r>
      <w:r>
        <w:rPr>
          <w:rFonts w:ascii="仿宋" w:hAnsi="仿宋" w:eastAsia="仿宋"/>
          <w:b/>
          <w:color w:val="000000"/>
          <w:sz w:val="32"/>
          <w:szCs w:val="32"/>
        </w:rPr>
        <w:t>&lt;</w:t>
      </w:r>
      <w:r>
        <w:rPr>
          <w:rFonts w:hint="eastAsia" w:ascii="仿宋" w:hAnsi="仿宋" w:eastAsia="仿宋"/>
          <w:b/>
          <w:color w:val="000000"/>
          <w:sz w:val="32"/>
          <w:szCs w:val="32"/>
        </w:rPr>
        <w:t>项级</w:t>
      </w:r>
      <w:r>
        <w:rPr>
          <w:rFonts w:ascii="仿宋" w:hAnsi="仿宋" w:eastAsia="仿宋"/>
          <w:b/>
          <w:color w:val="000000"/>
          <w:sz w:val="32"/>
          <w:szCs w:val="32"/>
        </w:rPr>
        <w:t>&gt;</w:t>
      </w:r>
      <w:r>
        <w:rPr>
          <w:rFonts w:hint="eastAsia" w:ascii="仿宋" w:hAnsi="仿宋" w:eastAsia="仿宋"/>
          <w:b/>
          <w:color w:val="000000"/>
          <w:sz w:val="32"/>
          <w:szCs w:val="32"/>
        </w:rPr>
        <w:t>比较，与预算数持平可以不写原因。）</w:t>
      </w:r>
    </w:p>
    <w:p w14:paraId="70657ED3">
      <w:pPr>
        <w:pageBreakBefore w:val="0"/>
        <w:kinsoku/>
        <w:overflowPunct/>
        <w:topLinePunct w:val="0"/>
        <w:bidi w:val="0"/>
        <w:spacing w:line="576" w:lineRule="exact"/>
        <w:ind w:firstLine="640"/>
        <w:rPr>
          <w:rFonts w:ascii="仿宋" w:hAnsi="仿宋" w:eastAsia="仿宋"/>
          <w:b/>
          <w:color w:val="000000"/>
          <w:sz w:val="32"/>
          <w:szCs w:val="32"/>
        </w:rPr>
      </w:pPr>
    </w:p>
    <w:p w14:paraId="6426F457">
      <w:pPr>
        <w:pageBreakBefore w:val="0"/>
        <w:tabs>
          <w:tab w:val="right" w:pos="8306"/>
        </w:tabs>
        <w:kinsoku/>
        <w:overflowPunct/>
        <w:topLinePunct w:val="0"/>
        <w:bidi w:val="0"/>
        <w:spacing w:line="576" w:lineRule="exact"/>
        <w:ind w:firstLine="640"/>
        <w:outlineLvl w:val="1"/>
        <w:rPr>
          <w:rStyle w:val="27"/>
        </w:rPr>
      </w:pPr>
      <w:bookmarkStart w:id="38" w:name="_Toc15396608"/>
      <w:bookmarkStart w:id="39"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38"/>
      <w:bookmarkEnd w:id="39"/>
      <w:r>
        <w:rPr>
          <w:rStyle w:val="27"/>
          <w:rFonts w:ascii="黑体" w:hAnsi="黑体" w:eastAsia="黑体"/>
          <w:b w:val="0"/>
        </w:rPr>
        <w:tab/>
      </w:r>
    </w:p>
    <w:p w14:paraId="08062587">
      <w:pPr>
        <w:pageBreakBefore w:val="0"/>
        <w:kinsoku/>
        <w:overflowPunct/>
        <w:topLinePunct w:val="0"/>
        <w:bidi w:val="0"/>
        <w:spacing w:line="576" w:lineRule="exact"/>
        <w:ind w:firstLine="645"/>
        <w:rPr>
          <w:rFonts w:ascii="仿宋" w:hAnsi="仿宋" w:eastAsia="仿宋"/>
          <w:color w:val="000000"/>
          <w:sz w:val="32"/>
          <w:szCs w:val="32"/>
        </w:rPr>
      </w:pPr>
      <w:r>
        <w:rPr>
          <w:rFonts w:hint="eastAsia" w:ascii="仿宋" w:hAnsi="仿宋" w:eastAsia="仿宋"/>
          <w:color w:val="000000"/>
          <w:sz w:val="32"/>
          <w:szCs w:val="32"/>
          <w:lang w:eastAsia="zh-CN"/>
        </w:rPr>
        <w:t>2020年</w:t>
      </w:r>
      <w:r>
        <w:rPr>
          <w:rFonts w:hint="eastAsia" w:ascii="仿宋" w:hAnsi="仿宋" w:eastAsia="仿宋"/>
          <w:color w:val="000000"/>
          <w:sz w:val="32"/>
          <w:szCs w:val="32"/>
        </w:rPr>
        <w:t>一般公共预算财政拨款基本支出</w:t>
      </w:r>
      <w:r>
        <w:rPr>
          <w:rFonts w:hint="eastAsia" w:ascii="仿宋" w:hAnsi="仿宋" w:eastAsia="仿宋"/>
          <w:color w:val="000000"/>
          <w:sz w:val="32"/>
          <w:szCs w:val="32"/>
          <w:lang w:val="en-US" w:eastAsia="zh-CN"/>
        </w:rPr>
        <w:t>442.96</w:t>
      </w:r>
      <w:r>
        <w:rPr>
          <w:rFonts w:hint="eastAsia" w:ascii="仿宋" w:hAnsi="仿宋" w:eastAsia="仿宋"/>
          <w:color w:val="000000"/>
          <w:sz w:val="32"/>
          <w:szCs w:val="32"/>
        </w:rPr>
        <w:t>万元，其中：人员经费</w:t>
      </w:r>
      <w:r>
        <w:rPr>
          <w:rFonts w:hint="eastAsia" w:ascii="仿宋" w:hAnsi="仿宋" w:eastAsia="仿宋"/>
          <w:color w:val="000000"/>
          <w:sz w:val="32"/>
          <w:szCs w:val="32"/>
          <w:lang w:val="en-US" w:eastAsia="zh-CN"/>
        </w:rPr>
        <w:t>400.97</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41.99</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0FA83CE3">
      <w:pPr>
        <w:pageBreakBefore w:val="0"/>
        <w:kinsoku/>
        <w:overflowPunct/>
        <w:topLinePunct w:val="0"/>
        <w:bidi w:val="0"/>
        <w:spacing w:line="576" w:lineRule="exact"/>
        <w:ind w:firstLine="64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（数据来源财决</w:t>
      </w:r>
      <w:r>
        <w:rPr>
          <w:rFonts w:ascii="仿宋" w:hAnsi="仿宋" w:eastAsia="仿宋"/>
          <w:b/>
          <w:color w:val="000000" w:themeColor="text1"/>
          <w:sz w:val="32"/>
          <w:szCs w:val="32"/>
          <w14:textFill>
            <w14:solidFill>
              <w14:schemeClr w14:val="tx1"/>
            </w14:solidFill>
          </w14:textFill>
        </w:rPr>
        <w:t>0</w:t>
      </w:r>
      <w:r>
        <w:rPr>
          <w:rFonts w:hint="eastAsia" w:ascii="仿宋" w:hAnsi="仿宋" w:eastAsia="仿宋"/>
          <w:b/>
          <w:color w:val="000000" w:themeColor="text1"/>
          <w:sz w:val="32"/>
          <w:szCs w:val="32"/>
          <w:lang w:val="en-US" w:eastAsia="zh-CN"/>
          <w14:textFill>
            <w14:solidFill>
              <w14:schemeClr w14:val="tx1"/>
            </w14:solidFill>
          </w14:textFill>
        </w:rPr>
        <w:t>8</w:t>
      </w:r>
      <w:r>
        <w:rPr>
          <w:rFonts w:hint="eastAsia" w:ascii="仿宋" w:hAnsi="仿宋" w:eastAsia="仿宋"/>
          <w:b/>
          <w:color w:val="000000" w:themeColor="text1"/>
          <w:sz w:val="32"/>
          <w:szCs w:val="32"/>
          <w14:textFill>
            <w14:solidFill>
              <w14:schemeClr w14:val="tx1"/>
            </w14:solidFill>
          </w14:textFill>
        </w:rPr>
        <w:t>表，根据本部门实际支出情况罗列全部经济分类科目。）</w:t>
      </w:r>
    </w:p>
    <w:p w14:paraId="4F8D0742">
      <w:pPr>
        <w:pageBreakBefore w:val="0"/>
        <w:kinsoku/>
        <w:overflowPunct/>
        <w:topLinePunct w:val="0"/>
        <w:bidi w:val="0"/>
        <w:spacing w:line="576" w:lineRule="exact"/>
        <w:ind w:firstLine="640"/>
        <w:rPr>
          <w:rFonts w:ascii="仿宋" w:hAnsi="仿宋" w:eastAsia="仿宋"/>
          <w:b/>
          <w:color w:val="FF0000"/>
          <w:sz w:val="32"/>
          <w:szCs w:val="32"/>
        </w:rPr>
      </w:pPr>
    </w:p>
    <w:p w14:paraId="05E33AA9">
      <w:pPr>
        <w:pageBreakBefore w:val="0"/>
        <w:kinsoku/>
        <w:overflowPunct/>
        <w:topLinePunct w:val="0"/>
        <w:bidi w:val="0"/>
        <w:spacing w:line="576" w:lineRule="exact"/>
        <w:ind w:firstLine="640"/>
        <w:outlineLvl w:val="1"/>
        <w:rPr>
          <w:rStyle w:val="27"/>
          <w:rFonts w:ascii="黑体" w:hAnsi="黑体" w:eastAsia="黑体"/>
          <w:b w:val="0"/>
        </w:rPr>
      </w:pPr>
      <w:bookmarkStart w:id="40" w:name="_Toc15377215"/>
      <w:bookmarkStart w:id="41" w:name="_Toc15396609"/>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0"/>
      <w:bookmarkEnd w:id="41"/>
    </w:p>
    <w:p w14:paraId="7D611940">
      <w:pPr>
        <w:pageBreakBefore w:val="0"/>
        <w:kinsoku/>
        <w:overflowPunct/>
        <w:topLinePunct w:val="0"/>
        <w:bidi w:val="0"/>
        <w:spacing w:line="576" w:lineRule="exact"/>
        <w:ind w:firstLine="640"/>
        <w:outlineLvl w:val="2"/>
        <w:rPr>
          <w:rFonts w:ascii="仿宋" w:hAnsi="仿宋" w:eastAsia="仿宋"/>
          <w:b/>
          <w:color w:val="000000"/>
          <w:sz w:val="32"/>
          <w:szCs w:val="32"/>
        </w:rPr>
      </w:pPr>
      <w:bookmarkStart w:id="42" w:name="_Toc15377216"/>
      <w:r>
        <w:rPr>
          <w:rFonts w:hint="eastAsia" w:ascii="仿宋" w:hAnsi="仿宋" w:eastAsia="仿宋"/>
          <w:b/>
          <w:color w:val="000000"/>
          <w:sz w:val="32"/>
          <w:szCs w:val="32"/>
        </w:rPr>
        <w:t>（一）“三公”经费财政拨款支出决算总体情况说明</w:t>
      </w:r>
      <w:bookmarkEnd w:id="42"/>
    </w:p>
    <w:p w14:paraId="6A42A09B">
      <w:pPr>
        <w:pageBreakBefore w:val="0"/>
        <w:kinsoku/>
        <w:overflowPunct/>
        <w:topLinePunct w:val="0"/>
        <w:bidi w:val="0"/>
        <w:spacing w:line="576"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2020年</w:t>
      </w:r>
      <w:r>
        <w:rPr>
          <w:rFonts w:hint="eastAsia" w:ascii="仿宋" w:hAnsi="仿宋" w:eastAsia="仿宋"/>
          <w:color w:val="000000"/>
          <w:sz w:val="32"/>
          <w:szCs w:val="32"/>
        </w:rPr>
        <w:t>“三公”经费财政拨款支出决算为</w:t>
      </w:r>
      <w:r>
        <w:rPr>
          <w:rFonts w:hint="eastAsia" w:ascii="仿宋" w:hAnsi="仿宋" w:eastAsia="仿宋"/>
          <w:color w:val="000000"/>
          <w:sz w:val="32"/>
          <w:szCs w:val="32"/>
          <w:lang w:val="en-US" w:eastAsia="zh-CN"/>
        </w:rPr>
        <w:t>9.89</w:t>
      </w:r>
      <w:r>
        <w:rPr>
          <w:rFonts w:hint="eastAsia" w:ascii="仿宋" w:hAnsi="仿宋" w:eastAsia="仿宋"/>
          <w:color w:val="000000"/>
          <w:sz w:val="32"/>
          <w:szCs w:val="32"/>
        </w:rPr>
        <w:t>万元，完成预算100</w:t>
      </w:r>
      <w:r>
        <w:rPr>
          <w:rFonts w:ascii="仿宋" w:hAnsi="仿宋" w:eastAsia="仿宋"/>
          <w:color w:val="000000"/>
          <w:sz w:val="32"/>
          <w:szCs w:val="32"/>
        </w:rPr>
        <w:t>%</w:t>
      </w:r>
      <w:r>
        <w:rPr>
          <w:rFonts w:hint="eastAsia" w:ascii="仿宋" w:hAnsi="仿宋" w:eastAsia="仿宋"/>
          <w:color w:val="000000"/>
          <w:sz w:val="32"/>
          <w:szCs w:val="32"/>
        </w:rPr>
        <w:t>，决算数大于预算数的主要原因是灾后重建项目工作量增加。</w:t>
      </w:r>
    </w:p>
    <w:p w14:paraId="0636C3EC">
      <w:pPr>
        <w:pageBreakBefore w:val="0"/>
        <w:kinsoku/>
        <w:overflowPunct/>
        <w:topLinePunct w:val="0"/>
        <w:bidi w:val="0"/>
        <w:spacing w:line="576" w:lineRule="exact"/>
        <w:ind w:firstLine="64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sz w:val="32"/>
          <w:szCs w:val="32"/>
        </w:rPr>
        <w:t>（上述“预算”口径为调整预</w:t>
      </w:r>
      <w:r>
        <w:rPr>
          <w:rFonts w:hint="eastAsia" w:ascii="仿宋" w:hAnsi="仿宋" w:eastAsia="仿宋"/>
          <w:b/>
          <w:color w:val="000000" w:themeColor="text1"/>
          <w:sz w:val="32"/>
          <w:szCs w:val="32"/>
          <w14:textFill>
            <w14:solidFill>
              <w14:schemeClr w14:val="tx1"/>
            </w14:solidFill>
          </w14:textFill>
        </w:rPr>
        <w:t>算数，包括政府性基金支出决算情况。）</w:t>
      </w:r>
    </w:p>
    <w:p w14:paraId="05A55CE3">
      <w:pPr>
        <w:pageBreakBefore w:val="0"/>
        <w:kinsoku/>
        <w:overflowPunct/>
        <w:topLinePunct w:val="0"/>
        <w:bidi w:val="0"/>
        <w:spacing w:line="576" w:lineRule="exact"/>
        <w:ind w:firstLine="640"/>
        <w:outlineLvl w:val="2"/>
        <w:rPr>
          <w:rFonts w:ascii="仿宋" w:hAnsi="仿宋" w:eastAsia="仿宋"/>
          <w:b/>
          <w:color w:val="000000"/>
          <w:sz w:val="32"/>
          <w:szCs w:val="32"/>
        </w:rPr>
      </w:pPr>
      <w:bookmarkStart w:id="43" w:name="_Toc15377217"/>
      <w:r>
        <w:rPr>
          <w:rFonts w:hint="eastAsia" w:ascii="仿宋" w:hAnsi="仿宋" w:eastAsia="仿宋"/>
          <w:b/>
          <w:color w:val="000000"/>
          <w:sz w:val="32"/>
          <w:szCs w:val="32"/>
        </w:rPr>
        <w:t>（二）“三公”经费财政拨款支出决算具体情况说明</w:t>
      </w:r>
      <w:bookmarkEnd w:id="43"/>
    </w:p>
    <w:p w14:paraId="74486CD6">
      <w:pPr>
        <w:pageBreakBefore w:val="0"/>
        <w:kinsoku/>
        <w:overflowPunct/>
        <w:topLinePunct w:val="0"/>
        <w:bidi w:val="0"/>
        <w:spacing w:line="576"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2020年</w:t>
      </w:r>
      <w:r>
        <w:rPr>
          <w:rFonts w:hint="eastAsia" w:ascii="仿宋" w:hAnsi="仿宋" w:eastAsia="仿宋"/>
          <w:color w:val="000000"/>
          <w:sz w:val="32"/>
          <w:szCs w:val="32"/>
        </w:rPr>
        <w:t>“三公”经费财政拨款支出决算中，因公出国（境）费支出决算0万元，占0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9.89</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14:paraId="09391ABA">
      <w:pPr>
        <w:pageBreakBefore w:val="0"/>
        <w:kinsoku/>
        <w:overflowPunct/>
        <w:topLinePunct w:val="0"/>
        <w:bidi w:val="0"/>
        <w:spacing w:line="576"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hint="eastAsia" w:ascii="仿宋_GB2312" w:eastAsia="仿宋_GB2312"/>
          <w:color w:val="000000"/>
          <w:sz w:val="32"/>
          <w:szCs w:val="32"/>
          <w:lang w:val="en-US" w:eastAsia="zh-CN"/>
        </w:rPr>
        <w:t>2019</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 xml:space="preserve">。    </w:t>
      </w: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9.89</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增加2.58</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上升26</w:t>
      </w:r>
      <w:r>
        <w:rPr>
          <w:rFonts w:ascii="仿宋_GB2312" w:eastAsia="仿宋_GB2312"/>
          <w:color w:val="000000"/>
          <w:sz w:val="32"/>
          <w:szCs w:val="32"/>
        </w:rPr>
        <w:t>%</w:t>
      </w:r>
      <w:r>
        <w:rPr>
          <w:rFonts w:hint="eastAsia" w:ascii="仿宋_GB2312" w:eastAsia="仿宋_GB2312"/>
          <w:color w:val="000000"/>
          <w:sz w:val="32"/>
          <w:szCs w:val="32"/>
        </w:rPr>
        <w:t>。主要原因是车辆</w:t>
      </w:r>
      <w:r>
        <w:rPr>
          <w:rFonts w:hint="eastAsia" w:ascii="仿宋_GB2312" w:eastAsia="仿宋_GB2312"/>
          <w:color w:val="000000"/>
          <w:sz w:val="32"/>
          <w:szCs w:val="32"/>
          <w:lang w:val="en-US" w:eastAsia="zh-CN"/>
        </w:rPr>
        <w:t>老化，</w:t>
      </w:r>
      <w:r>
        <w:rPr>
          <w:rFonts w:hint="eastAsia" w:ascii="仿宋_GB2312" w:eastAsia="仿宋_GB2312"/>
          <w:color w:val="000000"/>
          <w:sz w:val="32"/>
          <w:szCs w:val="32"/>
        </w:rPr>
        <w:t>维修费</w:t>
      </w:r>
      <w:r>
        <w:rPr>
          <w:rFonts w:hint="eastAsia" w:ascii="仿宋_GB2312" w:eastAsia="仿宋_GB2312"/>
          <w:color w:val="000000"/>
          <w:sz w:val="32"/>
          <w:szCs w:val="32"/>
          <w:lang w:val="en-US" w:eastAsia="zh-CN"/>
        </w:rPr>
        <w:t>增加</w:t>
      </w:r>
      <w:r>
        <w:rPr>
          <w:rFonts w:hint="eastAsia" w:ascii="仿宋_GB2312" w:eastAsia="仿宋_GB2312"/>
          <w:color w:val="000000"/>
          <w:sz w:val="32"/>
          <w:szCs w:val="32"/>
        </w:rPr>
        <w:t>。</w:t>
      </w:r>
    </w:p>
    <w:p w14:paraId="5540823F">
      <w:pPr>
        <w:pageBreakBefore w:val="0"/>
        <w:kinsoku/>
        <w:overflowPunct/>
        <w:topLinePunct w:val="0"/>
        <w:bidi w:val="0"/>
        <w:spacing w:line="576"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0万元。全年按规定更新购置公务用车0辆，其中：轿车0辆、金额0万元，越野车0辆、金额0万元，载客汽车0辆、金额0万元，主要用于…。截至</w:t>
      </w:r>
      <w:r>
        <w:rPr>
          <w:rFonts w:hint="eastAsia" w:ascii="仿宋_GB2312" w:eastAsia="仿宋_GB2312"/>
          <w:color w:val="000000"/>
          <w:sz w:val="32"/>
          <w:szCs w:val="32"/>
          <w:lang w:eastAsia="zh-CN"/>
        </w:rPr>
        <w:t>2020年</w:t>
      </w:r>
      <w:r>
        <w:rPr>
          <w:rFonts w:ascii="仿宋_GB2312" w:eastAsia="仿宋_GB2312"/>
          <w:color w:val="000000"/>
          <w:sz w:val="32"/>
          <w:szCs w:val="32"/>
        </w:rPr>
        <w:t>12</w:t>
      </w:r>
      <w:r>
        <w:rPr>
          <w:rFonts w:hint="eastAsia" w:ascii="仿宋_GB2312" w:eastAsia="仿宋_GB2312"/>
          <w:color w:val="000000"/>
          <w:sz w:val="32"/>
          <w:szCs w:val="32"/>
        </w:rPr>
        <w:t>月底，单位共有公务用车3辆，其中：轿车1辆、越野车2辆、载客汽车0辆。</w:t>
      </w:r>
    </w:p>
    <w:p w14:paraId="1DF5BD1D">
      <w:pPr>
        <w:pageBreakBefore w:val="0"/>
        <w:kinsoku/>
        <w:overflowPunct/>
        <w:topLinePunct w:val="0"/>
        <w:bidi w:val="0"/>
        <w:spacing w:line="576"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9.89</w:t>
      </w:r>
      <w:r>
        <w:rPr>
          <w:rFonts w:hint="eastAsia" w:ascii="仿宋_GB2312" w:eastAsia="仿宋_GB2312"/>
          <w:color w:val="000000"/>
          <w:sz w:val="32"/>
          <w:szCs w:val="32"/>
        </w:rPr>
        <w:t>万元。主要用于干部职工下乡精准扶贫、项目查看等所需的公务用车燃料费、维修费、过路过桥费、保险费等支出。</w:t>
      </w:r>
    </w:p>
    <w:p w14:paraId="0D2CE8BF">
      <w:pPr>
        <w:pageBreakBefore w:val="0"/>
        <w:kinsoku/>
        <w:overflowPunct/>
        <w:topLinePunct w:val="0"/>
        <w:bidi w:val="0"/>
        <w:spacing w:line="576" w:lineRule="exact"/>
        <w:ind w:firstLine="643" w:firstLineChars="20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6"/>
          <w:rFonts w:hint="eastAsia" w:ascii="仿宋" w:hAnsi="仿宋" w:eastAsia="仿宋"/>
          <w:b w:val="0"/>
          <w:bCs/>
          <w:color w:val="000000"/>
          <w:sz w:val="32"/>
          <w:szCs w:val="32"/>
        </w:rPr>
        <w:t>完成预算0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w:t>
      </w:r>
    </w:p>
    <w:p w14:paraId="7C18A66E">
      <w:pPr>
        <w:pageBreakBefore w:val="0"/>
        <w:kinsoku/>
        <w:overflowPunct/>
        <w:topLinePunct w:val="0"/>
        <w:bidi w:val="0"/>
        <w:spacing w:line="576"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，外事接待0批次，0人，共计支出0万元。</w:t>
      </w:r>
    </w:p>
    <w:p w14:paraId="6407325D">
      <w:pPr>
        <w:pageBreakBefore w:val="0"/>
        <w:kinsoku/>
        <w:overflowPunct/>
        <w:topLinePunct w:val="0"/>
        <w:bidi w:val="0"/>
        <w:spacing w:line="576" w:lineRule="exact"/>
        <w:ind w:firstLine="640"/>
        <w:rPr>
          <w:rFonts w:ascii="仿宋_GB2312" w:eastAsia="仿宋_GB2312"/>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p>
    <w:p w14:paraId="043F91EA">
      <w:pPr>
        <w:pageBreakBefore w:val="0"/>
        <w:kinsoku/>
        <w:overflowPunct/>
        <w:topLinePunct w:val="0"/>
        <w:bidi w:val="0"/>
        <w:spacing w:line="576" w:lineRule="exact"/>
        <w:ind w:firstLine="640"/>
        <w:outlineLvl w:val="1"/>
        <w:rPr>
          <w:rFonts w:ascii="黑体" w:eastAsia="黑体"/>
          <w:color w:val="000000"/>
          <w:sz w:val="32"/>
          <w:szCs w:val="32"/>
        </w:rPr>
      </w:pPr>
      <w:bookmarkStart w:id="44" w:name="_Toc15396610"/>
      <w:bookmarkStart w:id="45" w:name="_Toc15377218"/>
    </w:p>
    <w:p w14:paraId="124A8737">
      <w:pPr>
        <w:pageBreakBefore w:val="0"/>
        <w:kinsoku/>
        <w:overflowPunct/>
        <w:topLinePunct w:val="0"/>
        <w:bidi w:val="0"/>
        <w:spacing w:line="576" w:lineRule="exact"/>
        <w:ind w:firstLine="640"/>
        <w:outlineLvl w:val="1"/>
        <w:rPr>
          <w:rStyle w:val="27"/>
          <w:rFonts w:ascii="黑体" w:hAnsi="黑体" w:eastAsia="黑体"/>
        </w:rPr>
      </w:pPr>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4"/>
      <w:bookmarkEnd w:id="45"/>
    </w:p>
    <w:p w14:paraId="7932B881">
      <w:pPr>
        <w:pageBreakBefore w:val="0"/>
        <w:kinsoku/>
        <w:overflowPunct/>
        <w:topLinePunct w:val="0"/>
        <w:bidi w:val="0"/>
        <w:spacing w:line="576"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2020年</w:t>
      </w:r>
      <w:r>
        <w:rPr>
          <w:rFonts w:hint="eastAsia" w:ascii="仿宋_GB2312" w:eastAsia="仿宋_GB2312"/>
          <w:color w:val="000000"/>
          <w:sz w:val="32"/>
          <w:szCs w:val="32"/>
        </w:rPr>
        <w:t>政府性基金预算拨款支出0万元。</w:t>
      </w:r>
    </w:p>
    <w:p w14:paraId="2F448569">
      <w:pPr>
        <w:pageBreakBefore w:val="0"/>
        <w:numPr>
          <w:ilvl w:val="0"/>
          <w:numId w:val="2"/>
        </w:numPr>
        <w:kinsoku/>
        <w:overflowPunct/>
        <w:topLinePunct w:val="0"/>
        <w:bidi w:val="0"/>
        <w:spacing w:line="576" w:lineRule="exact"/>
        <w:ind w:firstLine="640"/>
        <w:outlineLvl w:val="1"/>
        <w:rPr>
          <w:rStyle w:val="27"/>
          <w:rFonts w:ascii="黑体" w:hAnsi="黑体" w:eastAsia="黑体"/>
          <w:b w:val="0"/>
        </w:rPr>
      </w:pPr>
      <w:bookmarkStart w:id="46" w:name="_Toc15377219"/>
      <w:bookmarkStart w:id="47" w:name="_Toc15396611"/>
      <w:r>
        <w:rPr>
          <w:rStyle w:val="27"/>
          <w:rFonts w:hint="eastAsia" w:ascii="黑体" w:hAnsi="黑体" w:eastAsia="黑体"/>
          <w:b w:val="0"/>
        </w:rPr>
        <w:t>国有资本经营预算支出决算情况说明</w:t>
      </w:r>
      <w:bookmarkEnd w:id="46"/>
      <w:bookmarkEnd w:id="47"/>
    </w:p>
    <w:p w14:paraId="0FF52B6E">
      <w:pPr>
        <w:pageBreakBefore w:val="0"/>
        <w:kinsoku/>
        <w:overflowPunct/>
        <w:topLinePunct w:val="0"/>
        <w:bidi w:val="0"/>
        <w:spacing w:line="576"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2020年</w:t>
      </w:r>
      <w:r>
        <w:rPr>
          <w:rFonts w:hint="eastAsia" w:ascii="仿宋_GB2312" w:eastAsia="仿宋_GB2312"/>
          <w:color w:val="000000"/>
          <w:sz w:val="32"/>
          <w:szCs w:val="32"/>
        </w:rPr>
        <w:t>国有资本经营预算拨款支出0万元。</w:t>
      </w:r>
    </w:p>
    <w:p w14:paraId="2CB6D767">
      <w:pPr>
        <w:pStyle w:val="25"/>
        <w:pageBreakBefore w:val="0"/>
        <w:numPr>
          <w:ilvl w:val="0"/>
          <w:numId w:val="3"/>
        </w:numPr>
        <w:kinsoku/>
        <w:overflowPunct/>
        <w:topLinePunct w:val="0"/>
        <w:bidi w:val="0"/>
        <w:spacing w:line="576" w:lineRule="exact"/>
        <w:ind w:firstLineChars="0"/>
        <w:rPr>
          <w:rStyle w:val="27"/>
          <w:rFonts w:ascii="黑体" w:hAnsi="黑体" w:eastAsia="黑体"/>
          <w:b w:val="0"/>
        </w:rPr>
      </w:pPr>
      <w:r>
        <w:rPr>
          <w:rStyle w:val="27"/>
          <w:rFonts w:hint="eastAsia" w:ascii="黑体" w:hAnsi="黑体" w:eastAsia="黑体"/>
          <w:b w:val="0"/>
        </w:rPr>
        <w:t>预算绩效情况说明</w:t>
      </w:r>
    </w:p>
    <w:p w14:paraId="6087D652">
      <w:pPr>
        <w:pageBreakBefore w:val="0"/>
        <w:numPr>
          <w:ilvl w:val="0"/>
          <w:numId w:val="4"/>
        </w:numPr>
        <w:kinsoku/>
        <w:overflowPunct/>
        <w:topLinePunct w:val="0"/>
        <w:bidi w:val="0"/>
        <w:spacing w:line="576"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14:paraId="4F520E28">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项目开展了预算事前绩效评估，对4个项目编制了绩效目标，预算执行过程中，选取4个项目开展绩效监控，年终执行完毕后，对4个项目开展了绩效目标完成情况梳理填报。</w:t>
      </w:r>
    </w:p>
    <w:p w14:paraId="06492D91">
      <w:pPr>
        <w:pageBreakBefore w:val="0"/>
        <w:kinsoku/>
        <w:overflowPunct/>
        <w:topLinePunct w:val="0"/>
        <w:bidi w:val="0"/>
        <w:spacing w:line="576" w:lineRule="exact"/>
        <w:ind w:firstLine="640" w:firstLineChars="200"/>
        <w:rPr>
          <w:rFonts w:eastAsia="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2020年</w:t>
      </w:r>
      <w:r>
        <w:rPr>
          <w:rFonts w:hint="eastAsia" w:ascii="仿宋_GB2312" w:hAnsi="仿宋_GB2312" w:eastAsia="仿宋_GB2312" w:cs="仿宋_GB2312"/>
          <w:sz w:val="32"/>
          <w:szCs w:val="32"/>
        </w:rPr>
        <w:t>部门整体支出开展绩效自评，从评价情况来看</w:t>
      </w:r>
      <w:r>
        <w:rPr>
          <w:rFonts w:hint="eastAsia" w:ascii="仿宋_GB2312" w:hAnsi="仿宋_GB2312" w:eastAsia="仿宋_GB2312" w:cs="仿宋_GB2312"/>
          <w:bCs/>
          <w:sz w:val="28"/>
          <w:szCs w:val="28"/>
          <w:lang w:eastAsia="zh-CN"/>
        </w:rPr>
        <w:t>2020年</w:t>
      </w:r>
      <w:r>
        <w:rPr>
          <w:rFonts w:hint="eastAsia" w:ascii="仿宋_GB2312" w:hAnsi="仿宋_GB2312" w:eastAsia="仿宋_GB2312" w:cs="仿宋_GB2312"/>
          <w:bCs/>
          <w:sz w:val="28"/>
          <w:szCs w:val="28"/>
        </w:rPr>
        <w:t>，我局积极履职，强化管理，较好的完成了年度工作目标。通过加强预算收支管理，不断建立健全内部管理制度，梳理内部管理流程，部门整体支出管理水平得到提升。根据部门整体支出绩效评价指标体系，各项工作有序开展，社会和谐稳定。</w:t>
      </w:r>
      <w:r>
        <w:rPr>
          <w:rFonts w:hint="eastAsia" w:ascii="仿宋_GB2312" w:hAnsi="仿宋_GB2312" w:eastAsia="仿宋_GB2312" w:cs="仿宋_GB2312"/>
          <w:sz w:val="32"/>
          <w:szCs w:val="32"/>
        </w:rPr>
        <w:t>本部门还自行组织了4个项目绩效评价，从评价情况来看各项目</w:t>
      </w:r>
      <w:r>
        <w:rPr>
          <w:rFonts w:hint="eastAsia" w:eastAsia="仿宋_GB2312"/>
          <w:sz w:val="32"/>
          <w:szCs w:val="32"/>
        </w:rPr>
        <w:t>项目有效保障生态建设与保护，维护生态安全、人民群众生命健康，综合评价结果优秀。</w:t>
      </w:r>
    </w:p>
    <w:p w14:paraId="780F44C4">
      <w:pPr>
        <w:pageBreakBefore w:val="0"/>
        <w:numPr>
          <w:ilvl w:val="0"/>
          <w:numId w:val="4"/>
        </w:numPr>
        <w:kinsoku/>
        <w:overflowPunct/>
        <w:topLinePunct w:val="0"/>
        <w:bidi w:val="0"/>
        <w:spacing w:line="576"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w:t>
      </w:r>
      <w:r>
        <w:rPr>
          <w:rFonts w:hint="eastAsia" w:ascii="仿宋_GB2312" w:hAnsi="仿宋_GB2312" w:eastAsia="仿宋_GB2312" w:cs="仿宋_GB2312"/>
          <w:sz w:val="32"/>
          <w:szCs w:val="32"/>
          <w:lang w:eastAsia="zh-CN"/>
        </w:rPr>
        <w:t>2020年</w:t>
      </w:r>
      <w:r>
        <w:rPr>
          <w:rFonts w:hint="eastAsia" w:ascii="仿宋_GB2312" w:hAnsi="仿宋_GB2312" w:eastAsia="仿宋_GB2312" w:cs="仿宋_GB2312"/>
          <w:sz w:val="32"/>
          <w:szCs w:val="32"/>
        </w:rPr>
        <w:t>度部门决算中反映“九寨国家森林公园保护站业务用房及防火基础设施恢复重建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九寨国家森林公园林区道路恢复重建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九寨国家森林公园神仙池管理中心供排水系统恢复重建”等4个项目绩效目标实际完成情况。（本单位部门项目绩效目标个数在5个以上的，选取5个项目进行公开，目标个数在5个以下的，全部进行公开，公开内容包括完成情况综述和完成情况表）。</w:t>
      </w:r>
    </w:p>
    <w:p w14:paraId="10D1B874">
      <w:pPr>
        <w:pageBreakBefore w:val="0"/>
        <w:numPr>
          <w:ilvl w:val="0"/>
          <w:numId w:val="5"/>
        </w:numPr>
        <w:kinsoku/>
        <w:overflowPunct/>
        <w:topLinePunct w:val="0"/>
        <w:bidi w:val="0"/>
        <w:spacing w:line="576" w:lineRule="exact"/>
        <w:ind w:firstLine="640" w:firstLineChars="200"/>
        <w:rPr>
          <w:rFonts w:hint="eastAsia" w:eastAsia="仿宋_GB2312"/>
          <w:sz w:val="32"/>
          <w:szCs w:val="32"/>
        </w:rPr>
      </w:pPr>
      <w:r>
        <w:rPr>
          <w:rFonts w:hint="eastAsia" w:ascii="仿宋_GB2312" w:hAnsi="仿宋_GB2312" w:eastAsia="仿宋_GB2312" w:cs="仿宋_GB2312"/>
          <w:sz w:val="32"/>
          <w:szCs w:val="32"/>
        </w:rPr>
        <w:t>九寨国家森林公园保护站业务用房及防火基础设施恢复重建项目绩效目标完成情况综述。项目累计预算数1035万元，累计执行数为</w:t>
      </w:r>
      <w:r>
        <w:rPr>
          <w:rFonts w:hint="eastAsia" w:ascii="仿宋_GB2312" w:hAnsi="仿宋_GB2312" w:eastAsia="仿宋_GB2312" w:cs="仿宋_GB2312"/>
          <w:sz w:val="32"/>
          <w:szCs w:val="32"/>
          <w:lang w:val="en-US" w:eastAsia="zh-CN"/>
        </w:rPr>
        <w:t>1035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eastAsia="仿宋_GB2312"/>
          <w:sz w:val="32"/>
          <w:szCs w:val="32"/>
        </w:rPr>
        <w:t>完成维修加固上寺寨保护站467平方米、上寺寨车库159平方米，重建甘海子保护站完成主体建设，重建储备库700平方米及购置设备。有效保障生态建设与保护，维护生态安全、人民群众生命健康，综合评价结果优秀。</w:t>
      </w:r>
      <w:r>
        <w:rPr>
          <w:rFonts w:hint="eastAsia" w:ascii="仿宋_GB2312" w:hAnsi="仿宋_GB2312" w:eastAsia="仿宋_GB2312" w:cs="仿宋_GB2312"/>
          <w:sz w:val="32"/>
          <w:szCs w:val="32"/>
        </w:rPr>
        <w:t>发现的主要问题：无。下一步改进措施：无</w:t>
      </w:r>
      <w:r>
        <w:rPr>
          <w:rFonts w:hint="eastAsia" w:ascii="仿宋_GB2312" w:hAnsi="仿宋_GB2312" w:eastAsia="仿宋_GB2312" w:cs="仿宋_GB2312"/>
          <w:sz w:val="32"/>
          <w:szCs w:val="32"/>
          <w:lang w:eastAsia="zh-CN"/>
        </w:rPr>
        <w:t>。</w:t>
      </w:r>
    </w:p>
    <w:p w14:paraId="65B43CC2">
      <w:pPr>
        <w:pageBreakBefore w:val="0"/>
        <w:numPr>
          <w:ilvl w:val="0"/>
          <w:numId w:val="0"/>
        </w:numPr>
        <w:kinsoku/>
        <w:overflowPunct/>
        <w:topLinePunct w:val="0"/>
        <w:bidi w:val="0"/>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2、九寨国家森林公园林区道路恢复重建项目绩效目标完成情况综述。项目截止</w:t>
      </w:r>
      <w:r>
        <w:rPr>
          <w:rFonts w:hint="eastAsia" w:ascii="仿宋_GB2312" w:hAnsi="仿宋_GB2312" w:eastAsia="仿宋_GB2312" w:cs="仿宋_GB2312"/>
          <w:sz w:val="32"/>
          <w:szCs w:val="32"/>
          <w:lang w:eastAsia="zh-CN"/>
        </w:rPr>
        <w:t>2020年</w:t>
      </w:r>
      <w:r>
        <w:rPr>
          <w:rFonts w:hint="eastAsia" w:ascii="仿宋_GB2312" w:hAnsi="仿宋_GB2312" w:eastAsia="仿宋_GB2312" w:cs="仿宋_GB2312"/>
          <w:sz w:val="32"/>
          <w:szCs w:val="32"/>
        </w:rPr>
        <w:t>12月累计预算数达870万元，累计执行数为</w:t>
      </w:r>
      <w:r>
        <w:rPr>
          <w:rFonts w:hint="eastAsia" w:ascii="仿宋_GB2312" w:hAnsi="仿宋_GB2312" w:eastAsia="仿宋_GB2312" w:cs="仿宋_GB2312"/>
          <w:sz w:val="32"/>
          <w:szCs w:val="32"/>
          <w:lang w:val="en-US" w:eastAsia="zh-CN"/>
        </w:rPr>
        <w:t>870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证林区道路通畅创造灾后重建新的旅游增长，保障人民群众生命健康和维护和谐稳定大局，提高项目区森林防火控制能力，为景区的顺利开园提供保障。发现的主要问题：无。下一步改进措施：无</w:t>
      </w:r>
      <w:r>
        <w:rPr>
          <w:rFonts w:hint="eastAsia" w:ascii="仿宋_GB2312" w:hAnsi="仿宋_GB2312" w:eastAsia="仿宋_GB2312" w:cs="仿宋_GB2312"/>
          <w:sz w:val="32"/>
          <w:szCs w:val="32"/>
          <w:lang w:eastAsia="zh-CN"/>
        </w:rPr>
        <w:t>。</w:t>
      </w:r>
    </w:p>
    <w:p w14:paraId="410FB9C0">
      <w:pPr>
        <w:pageBreakBefore w:val="0"/>
        <w:numPr>
          <w:ilvl w:val="0"/>
          <w:numId w:val="6"/>
        </w:numPr>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九寨国家森林公园神仙池管理中心供排水系统恢复重建项目绩效目标完成情况综述。项目全年预算数140万元，累计执行数为</w:t>
      </w:r>
      <w:r>
        <w:rPr>
          <w:rFonts w:hint="eastAsia" w:ascii="仿宋_GB2312" w:hAnsi="仿宋_GB2312" w:eastAsia="仿宋_GB2312" w:cs="仿宋_GB2312"/>
          <w:sz w:val="32"/>
          <w:szCs w:val="32"/>
          <w:lang w:val="en-US" w:eastAsia="zh-CN"/>
        </w:rPr>
        <w:t>140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%，已完成竣工验收。通过项目实施，有效保障生态建设与保护，维护生态安全为宗旨，以切实提高森林防火控制能力，维护园区生态平衡为目标.发现的主要问题：无。下一步改进措施：无</w:t>
      </w:r>
      <w:r>
        <w:rPr>
          <w:rFonts w:hint="eastAsia" w:ascii="仿宋_GB2312" w:hAnsi="仿宋_GB2312" w:eastAsia="仿宋_GB2312" w:cs="仿宋_GB2312"/>
          <w:sz w:val="32"/>
          <w:szCs w:val="32"/>
          <w:lang w:eastAsia="zh-CN"/>
        </w:rPr>
        <w:t>。</w:t>
      </w:r>
    </w:p>
    <w:p w14:paraId="29A0E97F">
      <w:pPr>
        <w:pageBreakBefore w:val="0"/>
        <w:numPr>
          <w:ilvl w:val="0"/>
          <w:numId w:val="6"/>
        </w:numPr>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神仙池生态旅游区建设项目恢复重建项目绩效目标完成情况综述。项目全年预算数2000万元，累计执行数为</w:t>
      </w:r>
      <w:r>
        <w:rPr>
          <w:rFonts w:hint="eastAsia" w:ascii="仿宋_GB2312" w:hAnsi="仿宋_GB2312" w:eastAsia="仿宋_GB2312" w:cs="仿宋_GB2312"/>
          <w:sz w:val="32"/>
          <w:szCs w:val="32"/>
          <w:lang w:val="en-US" w:eastAsia="zh-CN"/>
        </w:rPr>
        <w:t>2000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%。通过项目实施，有效保障生态建设与保护，维护生态安全为宗旨，以切实提高森林防火控制能力，维护园区生态平衡为目标，发现的主要问题：无。下一步改进措施：无</w:t>
      </w:r>
      <w:r>
        <w:rPr>
          <w:rFonts w:hint="eastAsia" w:ascii="仿宋_GB2312" w:hAnsi="仿宋_GB2312" w:eastAsia="仿宋_GB2312" w:cs="仿宋_GB2312"/>
          <w:sz w:val="32"/>
          <w:szCs w:val="32"/>
          <w:lang w:eastAsia="zh-CN"/>
        </w:rPr>
        <w:t>。</w:t>
      </w:r>
    </w:p>
    <w:p w14:paraId="33272D37">
      <w:pPr>
        <w:pageBreakBefore w:val="0"/>
        <w:kinsoku/>
        <w:overflowPunct/>
        <w:topLinePunct w:val="0"/>
        <w:bidi w:val="0"/>
        <w:spacing w:line="576" w:lineRule="exact"/>
        <w:rPr>
          <w:rFonts w:ascii="仿宋_GB2312" w:hAnsi="仿宋_GB2312" w:eastAsia="仿宋_GB2312" w:cs="仿宋_GB2312"/>
          <w:sz w:val="32"/>
          <w:szCs w:val="32"/>
        </w:rPr>
      </w:pPr>
    </w:p>
    <w:p w14:paraId="2B1EE9C7">
      <w:pPr>
        <w:pageBreakBefore w:val="0"/>
        <w:tabs>
          <w:tab w:val="left" w:pos="312"/>
        </w:tabs>
        <w:kinsoku/>
        <w:overflowPunct/>
        <w:topLinePunct w:val="0"/>
        <w:bidi w:val="0"/>
        <w:spacing w:line="576" w:lineRule="exact"/>
        <w:rPr>
          <w:rFonts w:ascii="仿宋_GB2312" w:hAnsi="仿宋_GB2312" w:eastAsia="仿宋_GB2312" w:cs="仿宋_GB2312"/>
          <w:sz w:val="32"/>
          <w:szCs w:val="32"/>
        </w:rPr>
      </w:pPr>
    </w:p>
    <w:p w14:paraId="4421B499">
      <w:pPr>
        <w:pStyle w:val="2"/>
        <w:rPr>
          <w:rFonts w:ascii="仿宋_GB2312" w:hAnsi="仿宋_GB2312" w:eastAsia="仿宋_GB2312" w:cs="仿宋_GB2312"/>
          <w:sz w:val="32"/>
          <w:szCs w:val="32"/>
        </w:rPr>
      </w:pPr>
    </w:p>
    <w:p w14:paraId="7DC3429C">
      <w:pPr>
        <w:pStyle w:val="2"/>
        <w:rPr>
          <w:rFonts w:ascii="仿宋_GB2312" w:hAnsi="仿宋_GB2312" w:eastAsia="仿宋_GB2312" w:cs="仿宋_GB2312"/>
          <w:sz w:val="32"/>
          <w:szCs w:val="32"/>
        </w:rPr>
      </w:pPr>
    </w:p>
    <w:p w14:paraId="59D37B84">
      <w:pPr>
        <w:pStyle w:val="2"/>
        <w:rPr>
          <w:rFonts w:ascii="仿宋_GB2312" w:hAnsi="仿宋_GB2312" w:eastAsia="仿宋_GB2312" w:cs="仿宋_GB2312"/>
          <w:sz w:val="32"/>
          <w:szCs w:val="32"/>
        </w:rPr>
      </w:pPr>
    </w:p>
    <w:p w14:paraId="5E8A887B">
      <w:pPr>
        <w:pStyle w:val="2"/>
        <w:rPr>
          <w:rFonts w:ascii="仿宋_GB2312" w:hAnsi="仿宋_GB2312" w:eastAsia="仿宋_GB2312" w:cs="仿宋_GB2312"/>
          <w:sz w:val="32"/>
          <w:szCs w:val="32"/>
        </w:rPr>
      </w:pPr>
    </w:p>
    <w:p w14:paraId="31FEF813">
      <w:pPr>
        <w:pStyle w:val="2"/>
        <w:rPr>
          <w:rFonts w:ascii="仿宋_GB2312" w:hAnsi="仿宋_GB2312" w:eastAsia="仿宋_GB2312" w:cs="仿宋_GB2312"/>
          <w:sz w:val="32"/>
          <w:szCs w:val="32"/>
        </w:rPr>
      </w:pPr>
    </w:p>
    <w:p w14:paraId="3AF0D8CB">
      <w:pPr>
        <w:pStyle w:val="2"/>
        <w:rPr>
          <w:rFonts w:ascii="仿宋_GB2312" w:hAnsi="仿宋_GB2312" w:eastAsia="仿宋_GB2312" w:cs="仿宋_GB2312"/>
          <w:sz w:val="32"/>
          <w:szCs w:val="32"/>
        </w:rPr>
      </w:pPr>
    </w:p>
    <w:p w14:paraId="7D9220CB">
      <w:pPr>
        <w:pStyle w:val="2"/>
        <w:rPr>
          <w:rFonts w:ascii="仿宋_GB2312" w:hAnsi="仿宋_GB2312" w:eastAsia="仿宋_GB2312" w:cs="仿宋_GB2312"/>
          <w:sz w:val="32"/>
          <w:szCs w:val="32"/>
        </w:rPr>
      </w:pPr>
    </w:p>
    <w:p w14:paraId="44282C22">
      <w:pPr>
        <w:pStyle w:val="2"/>
        <w:rPr>
          <w:rFonts w:ascii="仿宋_GB2312" w:hAnsi="仿宋_GB2312" w:eastAsia="仿宋_GB2312" w:cs="仿宋_GB2312"/>
          <w:sz w:val="32"/>
          <w:szCs w:val="32"/>
        </w:rPr>
      </w:pPr>
    </w:p>
    <w:p w14:paraId="30B3C657">
      <w:pPr>
        <w:pStyle w:val="2"/>
        <w:rPr>
          <w:rFonts w:ascii="仿宋_GB2312" w:hAnsi="仿宋_GB2312" w:eastAsia="仿宋_GB2312" w:cs="仿宋_GB2312"/>
          <w:sz w:val="32"/>
          <w:szCs w:val="32"/>
        </w:rPr>
      </w:pP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6FF4F279">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73912A6B">
            <w:pPr>
              <w:pStyle w:val="25"/>
              <w:pageBreakBefore w:val="0"/>
              <w:widowControl/>
              <w:kinsoku/>
              <w:overflowPunct/>
              <w:topLinePunct w:val="0"/>
              <w:bidi w:val="0"/>
              <w:spacing w:line="576" w:lineRule="exact"/>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w:t>
            </w:r>
            <w:r>
              <w:rPr>
                <w:rFonts w:hint="eastAsia" w:ascii="宋体" w:hAnsi="宋体" w:cs="宋体"/>
                <w:color w:val="000000"/>
                <w:kern w:val="0"/>
                <w:sz w:val="36"/>
                <w:szCs w:val="36"/>
                <w:lang w:val="en-US" w:eastAsia="zh-CN" w:bidi="ar"/>
              </w:rPr>
              <w:t>20</w:t>
            </w:r>
            <w:r>
              <w:rPr>
                <w:rFonts w:hint="eastAsia" w:ascii="宋体" w:hAnsi="宋体" w:cs="宋体"/>
                <w:color w:val="000000"/>
                <w:kern w:val="0"/>
                <w:sz w:val="36"/>
                <w:szCs w:val="36"/>
                <w:lang w:bidi="ar"/>
              </w:rPr>
              <w:t>年度)</w:t>
            </w:r>
          </w:p>
        </w:tc>
      </w:tr>
      <w:tr w14:paraId="5E97812C">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F8F705">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C34932">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eastAsia="仿宋_GB2312"/>
                <w:sz w:val="32"/>
                <w:szCs w:val="32"/>
              </w:rPr>
              <w:t>九寨国家森林公园林区道路恢复重建</w:t>
            </w:r>
          </w:p>
        </w:tc>
      </w:tr>
      <w:tr w14:paraId="0056F731">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C81F0C">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4724F3">
            <w:pPr>
              <w:pageBreakBefore w:val="0"/>
              <w:widowControl/>
              <w:kinsoku/>
              <w:overflowPunct/>
              <w:topLinePunct w:val="0"/>
              <w:bidi w:val="0"/>
              <w:spacing w:line="576" w:lineRule="exact"/>
              <w:jc w:val="center"/>
              <w:textAlignment w:val="center"/>
              <w:rPr>
                <w:rFonts w:ascii="宋体" w:hAnsi="宋体" w:eastAsia="仿宋_GB2312" w:cs="宋体"/>
                <w:color w:val="000000"/>
                <w:sz w:val="24"/>
              </w:rPr>
            </w:pPr>
            <w:r>
              <w:rPr>
                <w:rFonts w:hint="eastAsia" w:ascii="仿宋_GB2312" w:hAnsi="仿宋_GB2312" w:eastAsia="仿宋_GB2312" w:cs="仿宋_GB2312"/>
                <w:sz w:val="32"/>
                <w:szCs w:val="32"/>
              </w:rPr>
              <w:t>九寨国家森林公园管理局</w:t>
            </w:r>
          </w:p>
        </w:tc>
      </w:tr>
      <w:tr w14:paraId="103A0A48">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149982">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32475A">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CC7BD1">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sz w:val="24"/>
              </w:rPr>
              <w:t>870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A65964">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68AA52">
            <w:pPr>
              <w:pageBreakBefore w:val="0"/>
              <w:widowControl/>
              <w:kinsoku/>
              <w:overflowPunct/>
              <w:topLinePunct w:val="0"/>
              <w:bidi w:val="0"/>
              <w:spacing w:line="576" w:lineRule="exact"/>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870</w:t>
            </w:r>
          </w:p>
        </w:tc>
      </w:tr>
      <w:tr w14:paraId="418DD7EA">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F1C7A72">
            <w:pPr>
              <w:pageBreakBefore w:val="0"/>
              <w:widowControl/>
              <w:kinsoku/>
              <w:overflowPunct/>
              <w:topLinePunct w:val="0"/>
              <w:bidi w:val="0"/>
              <w:spacing w:line="576" w:lineRule="exact"/>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1BA2E2">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8A4449">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sz w:val="24"/>
              </w:rPr>
              <w:t>870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40155D">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7A9E73">
            <w:pPr>
              <w:pageBreakBefore w:val="0"/>
              <w:widowControl/>
              <w:kinsoku/>
              <w:overflowPunct/>
              <w:topLinePunct w:val="0"/>
              <w:bidi w:val="0"/>
              <w:spacing w:line="576" w:lineRule="exact"/>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870</w:t>
            </w:r>
          </w:p>
        </w:tc>
      </w:tr>
      <w:tr w14:paraId="14B126E7">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35DE393">
            <w:pPr>
              <w:pageBreakBefore w:val="0"/>
              <w:widowControl/>
              <w:kinsoku/>
              <w:overflowPunct/>
              <w:topLinePunct w:val="0"/>
              <w:bidi w:val="0"/>
              <w:spacing w:line="576" w:lineRule="exact"/>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E1D3C3">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B89A82">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FA7296">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246C42">
            <w:pPr>
              <w:pageBreakBefore w:val="0"/>
              <w:kinsoku/>
              <w:overflowPunct/>
              <w:topLinePunct w:val="0"/>
              <w:bidi w:val="0"/>
              <w:spacing w:line="576" w:lineRule="exact"/>
              <w:jc w:val="center"/>
              <w:rPr>
                <w:rFonts w:ascii="宋体" w:hAnsi="宋体" w:cs="宋体"/>
                <w:color w:val="000000"/>
                <w:sz w:val="24"/>
              </w:rPr>
            </w:pPr>
          </w:p>
        </w:tc>
      </w:tr>
      <w:tr w14:paraId="7435CDE1">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0207B4">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18E08F">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88DCA8">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14:paraId="45957A4F">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828AF1A">
            <w:pPr>
              <w:pageBreakBefore w:val="0"/>
              <w:widowControl/>
              <w:kinsoku/>
              <w:overflowPunct/>
              <w:topLinePunct w:val="0"/>
              <w:bidi w:val="0"/>
              <w:spacing w:line="576" w:lineRule="exact"/>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14A003">
            <w:pPr>
              <w:pageBreakBefore w:val="0"/>
              <w:widowControl/>
              <w:kinsoku/>
              <w:overflowPunct/>
              <w:topLinePunct w:val="0"/>
              <w:bidi w:val="0"/>
              <w:spacing w:line="576" w:lineRule="exact"/>
              <w:jc w:val="center"/>
              <w:textAlignment w:val="center"/>
              <w:rPr>
                <w:rFonts w:ascii="宋体" w:hAnsi="宋体" w:cs="宋体"/>
                <w:color w:val="000000"/>
                <w:sz w:val="24"/>
              </w:rPr>
            </w:pPr>
            <w:r>
              <w:rPr>
                <w:rFonts w:ascii="宋体" w:hAnsi="宋体" w:cs="宋体"/>
                <w:kern w:val="0"/>
                <w:sz w:val="24"/>
              </w:rPr>
              <w:t>1.重建林区道路全长4175米；2.补修水泥混</w:t>
            </w:r>
            <w:r>
              <w:rPr>
                <w:rFonts w:hint="eastAsia" w:ascii="宋体" w:hAnsi="宋体" w:cs="宋体"/>
                <w:kern w:val="0"/>
                <w:sz w:val="24"/>
                <w:lang w:val="en-US" w:eastAsia="zh-CN"/>
              </w:rPr>
              <w:t>凝</w:t>
            </w:r>
            <w:r>
              <w:rPr>
                <w:rFonts w:ascii="宋体" w:hAnsi="宋体" w:cs="宋体"/>
                <w:kern w:val="0"/>
                <w:sz w:val="24"/>
              </w:rPr>
              <w:t>土路面全长1890米；3.重建砾石路面护林防火通道3950米。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8F8DB8">
            <w:pPr>
              <w:pageBreakBefore w:val="0"/>
              <w:widowControl/>
              <w:kinsoku/>
              <w:overflowPunct/>
              <w:topLinePunct w:val="0"/>
              <w:bidi w:val="0"/>
              <w:spacing w:line="576" w:lineRule="exact"/>
              <w:jc w:val="center"/>
              <w:textAlignment w:val="center"/>
              <w:rPr>
                <w:rFonts w:hint="eastAsia" w:ascii="宋体" w:hAnsi="宋体" w:eastAsia="宋体" w:cs="宋体"/>
                <w:color w:val="000000"/>
                <w:sz w:val="24"/>
                <w:lang w:eastAsia="zh-CN"/>
              </w:rPr>
            </w:pPr>
            <w:r>
              <w:rPr>
                <w:rFonts w:hint="eastAsia" w:ascii="宋体" w:hAnsi="宋体" w:cs="宋体"/>
                <w:kern w:val="0"/>
                <w:sz w:val="24"/>
              </w:rPr>
              <w:t>工程全面</w:t>
            </w:r>
            <w:r>
              <w:rPr>
                <w:rFonts w:hint="eastAsia" w:ascii="宋体" w:hAnsi="宋体" w:cs="宋体"/>
                <w:kern w:val="0"/>
                <w:sz w:val="24"/>
                <w:lang w:val="en-US" w:eastAsia="zh-CN"/>
              </w:rPr>
              <w:t>完工</w:t>
            </w:r>
          </w:p>
        </w:tc>
      </w:tr>
      <w:tr w14:paraId="27065502">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BEAAF5">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C4123C">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C07613">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5C43F7">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6A2AC2">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01311C">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14:paraId="7328E6A4">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CB1212F">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742A91">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D226FB">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eastAsia="仿宋_GB2312" w:cs="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450EF8">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F3DEFA">
            <w:pPr>
              <w:pageBreakBefore w:val="0"/>
              <w:kinsoku/>
              <w:overflowPunct/>
              <w:topLinePunct w:val="0"/>
              <w:bidi w:val="0"/>
              <w:spacing w:line="576" w:lineRule="exact"/>
              <w:jc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2EB951">
            <w:pPr>
              <w:pageBreakBefore w:val="0"/>
              <w:widowControl/>
              <w:kinsoku/>
              <w:overflowPunct/>
              <w:topLinePunct w:val="0"/>
              <w:bidi w:val="0"/>
              <w:spacing w:line="576" w:lineRule="exact"/>
              <w:jc w:val="center"/>
              <w:textAlignment w:val="center"/>
              <w:rPr>
                <w:rFonts w:ascii="宋体" w:hAnsi="宋体" w:cs="宋体"/>
                <w:color w:val="000000"/>
                <w:sz w:val="24"/>
              </w:rPr>
            </w:pPr>
          </w:p>
        </w:tc>
      </w:tr>
      <w:tr w14:paraId="1C00BA79">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72938B2">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4A53C8">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51CA30">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eastAsia="仿宋_GB2312" w:cs="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B18020">
            <w:pPr>
              <w:pageBreakBefore w:val="0"/>
              <w:kinsoku/>
              <w:overflowPunct/>
              <w:topLinePunct w:val="0"/>
              <w:bidi w:val="0"/>
              <w:spacing w:line="576" w:lineRule="exact"/>
              <w:jc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EFFC68">
            <w:pPr>
              <w:pageBreakBefore w:val="0"/>
              <w:kinsoku/>
              <w:overflowPunct/>
              <w:topLinePunct w:val="0"/>
              <w:bidi w:val="0"/>
              <w:spacing w:line="576" w:lineRule="exact"/>
              <w:jc w:val="center"/>
              <w:rPr>
                <w:rFonts w:ascii="宋体" w:hAnsi="宋体" w:eastAsia="仿宋_GB2312" w:cs="宋体"/>
                <w:color w:val="000000"/>
                <w:sz w:val="24"/>
              </w:rPr>
            </w:pPr>
            <w:r>
              <w:rPr>
                <w:rFonts w:hint="eastAsia" w:eastAsia="仿宋_GB2312" w:cs="仿宋_GB2312"/>
                <w:sz w:val="24"/>
              </w:rPr>
              <w:t>2018.5-</w:t>
            </w:r>
            <w:r>
              <w:rPr>
                <w:rFonts w:eastAsia="仿宋_GB2312"/>
                <w:sz w:val="24"/>
              </w:rPr>
              <w:t xml:space="preserve"> </w:t>
            </w:r>
            <w:r>
              <w:rPr>
                <w:rFonts w:hint="eastAsia" w:eastAsia="仿宋_GB2312"/>
                <w:sz w:val="24"/>
              </w:rPr>
              <w:t>2020.9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B0F23B">
            <w:pPr>
              <w:pageBreakBefore w:val="0"/>
              <w:kinsoku/>
              <w:overflowPunct/>
              <w:topLinePunct w:val="0"/>
              <w:bidi w:val="0"/>
              <w:spacing w:line="576" w:lineRule="exact"/>
              <w:jc w:val="center"/>
              <w:rPr>
                <w:rFonts w:ascii="宋体" w:hAnsi="宋体" w:cs="宋体"/>
                <w:color w:val="000000"/>
                <w:sz w:val="24"/>
              </w:rPr>
            </w:pPr>
          </w:p>
        </w:tc>
      </w:tr>
      <w:tr w14:paraId="5036399B">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08C3B79">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06E6E8">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405375">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4FA709">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E34520">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7E1DFE">
            <w:pPr>
              <w:pageBreakBefore w:val="0"/>
              <w:widowControl/>
              <w:kinsoku/>
              <w:overflowPunct/>
              <w:topLinePunct w:val="0"/>
              <w:bidi w:val="0"/>
              <w:spacing w:line="576" w:lineRule="exact"/>
              <w:jc w:val="center"/>
              <w:textAlignment w:val="center"/>
              <w:rPr>
                <w:rFonts w:ascii="宋体" w:hAnsi="宋体" w:cs="宋体"/>
                <w:color w:val="000000"/>
                <w:sz w:val="24"/>
              </w:rPr>
            </w:pPr>
          </w:p>
        </w:tc>
      </w:tr>
      <w:tr w14:paraId="404480BA">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20A1C07">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5570DE">
            <w:pPr>
              <w:pageBreakBefore w:val="0"/>
              <w:widowControl/>
              <w:kinsoku/>
              <w:overflowPunct/>
              <w:topLinePunct w:val="0"/>
              <w:bidi w:val="0"/>
              <w:spacing w:line="576" w:lineRule="exact"/>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6884EE">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966706">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9FE8A8">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C22443">
            <w:pPr>
              <w:pageBreakBefore w:val="0"/>
              <w:widowControl/>
              <w:kinsoku/>
              <w:overflowPunct/>
              <w:topLinePunct w:val="0"/>
              <w:bidi w:val="0"/>
              <w:spacing w:line="576" w:lineRule="exact"/>
              <w:jc w:val="center"/>
              <w:textAlignment w:val="center"/>
              <w:rPr>
                <w:rFonts w:ascii="宋体" w:hAnsi="宋体" w:cs="宋体"/>
                <w:color w:val="000000"/>
                <w:sz w:val="24"/>
              </w:rPr>
            </w:pPr>
          </w:p>
        </w:tc>
      </w:tr>
      <w:tr w14:paraId="298C68ED">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B84A032">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C8131C">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BB3093">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FB593B">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68E35A">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0C40ED">
            <w:pPr>
              <w:pageBreakBefore w:val="0"/>
              <w:widowControl/>
              <w:kinsoku/>
              <w:overflowPunct/>
              <w:topLinePunct w:val="0"/>
              <w:bidi w:val="0"/>
              <w:spacing w:line="576" w:lineRule="exact"/>
              <w:jc w:val="center"/>
              <w:textAlignment w:val="center"/>
              <w:rPr>
                <w:rFonts w:ascii="宋体" w:hAnsi="宋体" w:cs="宋体"/>
                <w:color w:val="000000"/>
                <w:sz w:val="24"/>
              </w:rPr>
            </w:pPr>
          </w:p>
        </w:tc>
      </w:tr>
      <w:tr w14:paraId="50E8174C">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2C6291E">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A9DCF6">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31E69D">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CB7707">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281183">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E86B87">
            <w:pPr>
              <w:pageBreakBefore w:val="0"/>
              <w:widowControl/>
              <w:kinsoku/>
              <w:overflowPunct/>
              <w:topLinePunct w:val="0"/>
              <w:bidi w:val="0"/>
              <w:spacing w:line="576" w:lineRule="exact"/>
              <w:jc w:val="center"/>
              <w:textAlignment w:val="center"/>
              <w:rPr>
                <w:rFonts w:ascii="宋体" w:hAnsi="宋体" w:cs="宋体"/>
                <w:color w:val="000000"/>
                <w:sz w:val="24"/>
              </w:rPr>
            </w:pPr>
          </w:p>
        </w:tc>
      </w:tr>
      <w:tr w14:paraId="4CE02674">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0DC06E8">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76AB60">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270794">
            <w:pPr>
              <w:pageBreakBefore w:val="0"/>
              <w:kinsoku/>
              <w:overflowPunct/>
              <w:topLinePunct w:val="0"/>
              <w:bidi w:val="0"/>
              <w:spacing w:line="576" w:lineRule="exact"/>
              <w:jc w:val="center"/>
              <w:rPr>
                <w:rFonts w:eastAsia="仿宋_GB2312"/>
                <w:sz w:val="24"/>
              </w:rPr>
            </w:pPr>
            <w:r>
              <w:rPr>
                <w:rFonts w:hint="eastAsia" w:eastAsia="仿宋_GB2312" w:cs="仿宋_GB2312"/>
                <w:sz w:val="24"/>
              </w:rPr>
              <w:t>经济效益</w:t>
            </w:r>
          </w:p>
          <w:p w14:paraId="667A8D7D">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BBA822">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E9BC47">
            <w:pPr>
              <w:pageBreakBefore w:val="0"/>
              <w:kinsoku/>
              <w:overflowPunct/>
              <w:topLinePunct w:val="0"/>
              <w:bidi w:val="0"/>
              <w:spacing w:line="576" w:lineRule="exact"/>
              <w:jc w:val="center"/>
              <w:rPr>
                <w:rFonts w:hint="eastAsia" w:eastAsia="仿宋_GB2312" w:cs="仿宋_GB2312"/>
                <w:sz w:val="24"/>
              </w:rPr>
            </w:pPr>
            <w:r>
              <w:rPr>
                <w:rFonts w:hint="eastAsia" w:eastAsia="仿宋_GB2312" w:cs="仿宋_GB2312"/>
                <w:sz w:val="24"/>
              </w:rPr>
              <w:t>提高九寨沟县生态旅游竞争力、促进经济社会可持续发展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C6E33E">
            <w:pPr>
              <w:pageBreakBefore w:val="0"/>
              <w:widowControl/>
              <w:kinsoku/>
              <w:overflowPunct/>
              <w:topLinePunct w:val="0"/>
              <w:bidi w:val="0"/>
              <w:spacing w:line="576" w:lineRule="exact"/>
              <w:jc w:val="center"/>
              <w:textAlignment w:val="center"/>
              <w:rPr>
                <w:rFonts w:ascii="宋体" w:hAnsi="宋体" w:cs="宋体"/>
                <w:color w:val="000000"/>
                <w:sz w:val="24"/>
              </w:rPr>
            </w:pPr>
          </w:p>
        </w:tc>
      </w:tr>
      <w:tr w14:paraId="24CA1B95">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F85E2C0">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EF4D62">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D2EB30">
            <w:pPr>
              <w:pageBreakBefore w:val="0"/>
              <w:kinsoku/>
              <w:overflowPunct/>
              <w:topLinePunct w:val="0"/>
              <w:bidi w:val="0"/>
              <w:spacing w:line="576" w:lineRule="exact"/>
              <w:jc w:val="center"/>
              <w:rPr>
                <w:rFonts w:eastAsia="仿宋_GB2312"/>
                <w:sz w:val="24"/>
              </w:rPr>
            </w:pPr>
            <w:r>
              <w:rPr>
                <w:rFonts w:hint="eastAsia" w:eastAsia="仿宋_GB2312" w:cs="仿宋_GB2312"/>
                <w:sz w:val="24"/>
              </w:rPr>
              <w:t>社会效益</w:t>
            </w:r>
          </w:p>
          <w:p w14:paraId="4D78E929">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953148">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5D13B1">
            <w:pPr>
              <w:pageBreakBefore w:val="0"/>
              <w:kinsoku/>
              <w:overflowPunct/>
              <w:topLinePunct w:val="0"/>
              <w:bidi w:val="0"/>
              <w:spacing w:line="576" w:lineRule="exact"/>
              <w:jc w:val="center"/>
              <w:rPr>
                <w:rFonts w:hint="eastAsia" w:eastAsia="仿宋_GB2312" w:cs="仿宋_GB2312"/>
                <w:sz w:val="24"/>
              </w:rPr>
            </w:pPr>
            <w:r>
              <w:rPr>
                <w:rFonts w:hint="eastAsia" w:eastAsia="仿宋_GB2312" w:cs="仿宋_GB2312"/>
                <w:sz w:val="24"/>
              </w:rPr>
              <w:t>保障人民群众生命健康和维护和谐稳定大局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73ECC7">
            <w:pPr>
              <w:pageBreakBefore w:val="0"/>
              <w:widowControl/>
              <w:kinsoku/>
              <w:overflowPunct/>
              <w:topLinePunct w:val="0"/>
              <w:bidi w:val="0"/>
              <w:spacing w:line="576" w:lineRule="exact"/>
              <w:jc w:val="center"/>
              <w:textAlignment w:val="center"/>
              <w:rPr>
                <w:rFonts w:ascii="宋体" w:hAnsi="宋体" w:cs="宋体"/>
                <w:color w:val="000000"/>
                <w:sz w:val="24"/>
              </w:rPr>
            </w:pPr>
          </w:p>
        </w:tc>
      </w:tr>
      <w:tr w14:paraId="41924119">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8346D09">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5C042A">
            <w:pPr>
              <w:pageBreakBefore w:val="0"/>
              <w:widowControl/>
              <w:kinsoku/>
              <w:overflowPunct/>
              <w:topLinePunct w:val="0"/>
              <w:bidi w:val="0"/>
              <w:spacing w:line="576" w:lineRule="exact"/>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B11880">
            <w:pPr>
              <w:pageBreakBefore w:val="0"/>
              <w:kinsoku/>
              <w:overflowPunct/>
              <w:topLinePunct w:val="0"/>
              <w:bidi w:val="0"/>
              <w:spacing w:line="576" w:lineRule="exact"/>
              <w:jc w:val="center"/>
              <w:rPr>
                <w:rFonts w:eastAsia="仿宋_GB2312"/>
                <w:sz w:val="24"/>
              </w:rPr>
            </w:pPr>
            <w:r>
              <w:rPr>
                <w:rFonts w:hint="eastAsia" w:eastAsia="仿宋_GB2312" w:cs="仿宋_GB2312"/>
                <w:sz w:val="24"/>
              </w:rPr>
              <w:t>生态效益</w:t>
            </w:r>
          </w:p>
          <w:p w14:paraId="53DC3D6B">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6DF82E">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DB7191">
            <w:pPr>
              <w:pageBreakBefore w:val="0"/>
              <w:kinsoku/>
              <w:overflowPunct/>
              <w:topLinePunct w:val="0"/>
              <w:bidi w:val="0"/>
              <w:spacing w:line="576" w:lineRule="exact"/>
              <w:jc w:val="center"/>
              <w:rPr>
                <w:rFonts w:hint="eastAsia" w:eastAsia="仿宋_GB2312" w:cs="仿宋_GB2312"/>
                <w:sz w:val="24"/>
              </w:rPr>
            </w:pPr>
            <w:r>
              <w:rPr>
                <w:rFonts w:hint="eastAsia" w:eastAsia="仿宋_GB2312" w:cs="仿宋_GB2312"/>
                <w:sz w:val="24"/>
              </w:rPr>
              <w:t>提高项目区森林防火控制能力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FF7822">
            <w:pPr>
              <w:pageBreakBefore w:val="0"/>
              <w:widowControl/>
              <w:kinsoku/>
              <w:overflowPunct/>
              <w:topLinePunct w:val="0"/>
              <w:bidi w:val="0"/>
              <w:spacing w:line="576" w:lineRule="exact"/>
              <w:jc w:val="center"/>
              <w:textAlignment w:val="center"/>
              <w:rPr>
                <w:rFonts w:ascii="宋体" w:hAnsi="宋体" w:cs="宋体"/>
                <w:color w:val="000000"/>
                <w:sz w:val="24"/>
              </w:rPr>
            </w:pPr>
          </w:p>
        </w:tc>
      </w:tr>
      <w:tr w14:paraId="16680095">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DE0BA29">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CB85F7">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9A690D">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BD8173">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09C5B7">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593B63">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sz w:val="24"/>
              </w:rPr>
              <w:t>满意</w:t>
            </w:r>
          </w:p>
        </w:tc>
      </w:tr>
    </w:tbl>
    <w:p w14:paraId="5A460E99">
      <w:pPr>
        <w:pageBreakBefore w:val="0"/>
        <w:kinsoku/>
        <w:overflowPunct/>
        <w:topLinePunct w:val="0"/>
        <w:bidi w:val="0"/>
        <w:spacing w:line="576" w:lineRule="exact"/>
        <w:rPr>
          <w:rFonts w:ascii="Calibri" w:hAnsi="Calibri"/>
        </w:rPr>
      </w:pP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76F3DBB9">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39B87405">
            <w:pPr>
              <w:pStyle w:val="25"/>
              <w:pageBreakBefore w:val="0"/>
              <w:widowControl/>
              <w:kinsoku/>
              <w:overflowPunct/>
              <w:topLinePunct w:val="0"/>
              <w:bidi w:val="0"/>
              <w:spacing w:line="576" w:lineRule="exact"/>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w:t>
            </w:r>
            <w:r>
              <w:rPr>
                <w:rFonts w:hint="eastAsia" w:ascii="宋体" w:hAnsi="宋体" w:cs="宋体"/>
                <w:color w:val="000000"/>
                <w:kern w:val="0"/>
                <w:sz w:val="36"/>
                <w:szCs w:val="36"/>
                <w:lang w:eastAsia="zh-CN" w:bidi="ar"/>
              </w:rPr>
              <w:t>2020年</w:t>
            </w:r>
            <w:r>
              <w:rPr>
                <w:rFonts w:hint="eastAsia" w:ascii="宋体" w:hAnsi="宋体" w:cs="宋体"/>
                <w:color w:val="000000"/>
                <w:kern w:val="0"/>
                <w:sz w:val="36"/>
                <w:szCs w:val="36"/>
                <w:lang w:bidi="ar"/>
              </w:rPr>
              <w:t>度)</w:t>
            </w:r>
          </w:p>
        </w:tc>
      </w:tr>
      <w:tr w14:paraId="473AACCC">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352883">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A1A3FD">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仿宋_GB2312" w:hAnsi="仿宋_GB2312" w:eastAsia="仿宋_GB2312" w:cs="仿宋_GB2312"/>
                <w:sz w:val="32"/>
                <w:szCs w:val="32"/>
              </w:rPr>
              <w:t>九寨国家森林公园保护站业务用房及防火基础设施恢复重建项目</w:t>
            </w:r>
          </w:p>
        </w:tc>
      </w:tr>
      <w:tr w14:paraId="435DDAD7">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36680E">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D60DA2">
            <w:pPr>
              <w:pageBreakBefore w:val="0"/>
              <w:widowControl/>
              <w:kinsoku/>
              <w:overflowPunct/>
              <w:topLinePunct w:val="0"/>
              <w:bidi w:val="0"/>
              <w:spacing w:line="576" w:lineRule="exact"/>
              <w:jc w:val="center"/>
              <w:textAlignment w:val="center"/>
              <w:rPr>
                <w:rFonts w:ascii="宋体" w:hAnsi="宋体" w:eastAsia="仿宋_GB2312" w:cs="宋体"/>
                <w:color w:val="000000"/>
                <w:sz w:val="24"/>
              </w:rPr>
            </w:pPr>
            <w:r>
              <w:rPr>
                <w:rFonts w:hint="eastAsia" w:ascii="仿宋_GB2312" w:hAnsi="仿宋_GB2312" w:eastAsia="仿宋_GB2312" w:cs="仿宋_GB2312"/>
                <w:sz w:val="32"/>
                <w:szCs w:val="32"/>
              </w:rPr>
              <w:t>九寨国家森林公园管理局</w:t>
            </w:r>
          </w:p>
        </w:tc>
      </w:tr>
      <w:tr w14:paraId="1EE961F1">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098F51">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15F91A">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40F041">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sz w:val="24"/>
              </w:rPr>
              <w:t>1035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84CCFE">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F90C62">
            <w:pPr>
              <w:pageBreakBefore w:val="0"/>
              <w:widowControl/>
              <w:kinsoku/>
              <w:overflowPunct/>
              <w:topLinePunct w:val="0"/>
              <w:bidi w:val="0"/>
              <w:spacing w:line="576" w:lineRule="exact"/>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1035</w:t>
            </w:r>
          </w:p>
        </w:tc>
      </w:tr>
      <w:tr w14:paraId="05B4CEA1">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61779A6">
            <w:pPr>
              <w:pageBreakBefore w:val="0"/>
              <w:widowControl/>
              <w:kinsoku/>
              <w:overflowPunct/>
              <w:topLinePunct w:val="0"/>
              <w:bidi w:val="0"/>
              <w:spacing w:line="576" w:lineRule="exact"/>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1DDA88">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757F05">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sz w:val="24"/>
              </w:rPr>
              <w:t>1035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DC4B52">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6501ED">
            <w:pPr>
              <w:pageBreakBefore w:val="0"/>
              <w:widowControl/>
              <w:kinsoku/>
              <w:overflowPunct/>
              <w:topLinePunct w:val="0"/>
              <w:bidi w:val="0"/>
              <w:spacing w:line="576" w:lineRule="exact"/>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1035</w:t>
            </w:r>
          </w:p>
        </w:tc>
      </w:tr>
      <w:tr w14:paraId="75888330">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DED7CB2">
            <w:pPr>
              <w:pageBreakBefore w:val="0"/>
              <w:widowControl/>
              <w:kinsoku/>
              <w:overflowPunct/>
              <w:topLinePunct w:val="0"/>
              <w:bidi w:val="0"/>
              <w:spacing w:line="576" w:lineRule="exact"/>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AD799C">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DBE296">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6BEA47">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A4C9B8">
            <w:pPr>
              <w:pageBreakBefore w:val="0"/>
              <w:kinsoku/>
              <w:overflowPunct/>
              <w:topLinePunct w:val="0"/>
              <w:bidi w:val="0"/>
              <w:spacing w:line="576" w:lineRule="exact"/>
              <w:jc w:val="center"/>
              <w:rPr>
                <w:rFonts w:ascii="宋体" w:hAnsi="宋体" w:cs="宋体"/>
                <w:color w:val="000000"/>
                <w:sz w:val="24"/>
              </w:rPr>
            </w:pPr>
          </w:p>
        </w:tc>
      </w:tr>
      <w:tr w14:paraId="77DB942E">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F11E7C">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835CCE">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3E13CE">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14:paraId="694633A5">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8CEAB04">
            <w:pPr>
              <w:pageBreakBefore w:val="0"/>
              <w:widowControl/>
              <w:kinsoku/>
              <w:overflowPunct/>
              <w:topLinePunct w:val="0"/>
              <w:bidi w:val="0"/>
              <w:spacing w:line="576" w:lineRule="exact"/>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8EDEAA">
            <w:pPr>
              <w:pageBreakBefore w:val="0"/>
              <w:widowControl/>
              <w:kinsoku/>
              <w:overflowPunct/>
              <w:topLinePunct w:val="0"/>
              <w:bidi w:val="0"/>
              <w:spacing w:line="576" w:lineRule="exact"/>
              <w:jc w:val="center"/>
              <w:textAlignment w:val="center"/>
              <w:rPr>
                <w:rFonts w:ascii="宋体" w:hAnsi="宋体" w:cs="宋体"/>
                <w:color w:val="000000"/>
                <w:sz w:val="24"/>
              </w:rPr>
            </w:pPr>
            <w:r>
              <w:rPr>
                <w:rFonts w:ascii="宋体" w:hAnsi="宋体" w:cs="宋体"/>
                <w:kern w:val="0"/>
                <w:sz w:val="24"/>
              </w:rPr>
              <w:t>1、维修加固上寺寨保护站467平方米、上寺寨车库159平方米；重建甘海子保护站1400平方米。2、重建储备库700平方米及购置设备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96B4A0">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kern w:val="0"/>
                <w:sz w:val="24"/>
              </w:rPr>
              <w:t>工程全面</w:t>
            </w:r>
            <w:r>
              <w:rPr>
                <w:rFonts w:hint="eastAsia" w:ascii="宋体" w:hAnsi="宋体" w:cs="宋体"/>
                <w:kern w:val="0"/>
                <w:sz w:val="24"/>
                <w:lang w:val="en-US" w:eastAsia="zh-CN"/>
              </w:rPr>
              <w:t>完工</w:t>
            </w:r>
          </w:p>
        </w:tc>
      </w:tr>
      <w:tr w14:paraId="67A237B8">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951437">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B32340">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5DB83D">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60A73F">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BD4637">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9CCA38">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14:paraId="260D9377">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C14251D">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B1CB25">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FB14D3">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eastAsia="仿宋_GB2312" w:cs="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DA077B">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F0F88A">
            <w:pPr>
              <w:pageBreakBefore w:val="0"/>
              <w:widowControl/>
              <w:kinsoku/>
              <w:overflowPunct/>
              <w:topLinePunct w:val="0"/>
              <w:bidi w:val="0"/>
              <w:spacing w:line="576" w:lineRule="exact"/>
              <w:jc w:val="center"/>
              <w:textAlignment w:val="center"/>
              <w:rPr>
                <w:rFonts w:ascii="宋体" w:hAnsi="宋体" w:cs="宋体"/>
                <w:color w:val="000000"/>
                <w:sz w:val="24"/>
              </w:rPr>
            </w:pPr>
            <w:r>
              <w:rPr>
                <w:rFonts w:ascii="宋体" w:hAnsi="宋体" w:cs="宋体"/>
                <w:kern w:val="0"/>
                <w:sz w:val="24"/>
              </w:rPr>
              <w:t>维修加固上寺寨保护站467平方米、上寺寨车库159平方米</w:t>
            </w:r>
            <w:r>
              <w:rPr>
                <w:rFonts w:hint="eastAsia" w:ascii="宋体" w:hAnsi="宋体" w:cs="宋体"/>
                <w:kern w:val="0"/>
                <w:sz w:val="24"/>
              </w:rPr>
              <w:t>、</w:t>
            </w:r>
            <w:r>
              <w:rPr>
                <w:rFonts w:ascii="宋体" w:hAnsi="宋体" w:cs="宋体"/>
                <w:kern w:val="0"/>
                <w:sz w:val="24"/>
              </w:rPr>
              <w:t>神仙池保护站400平方米</w:t>
            </w:r>
            <w:r>
              <w:rPr>
                <w:rFonts w:hint="eastAsia" w:ascii="宋体" w:hAnsi="宋体" w:cs="宋体"/>
                <w:kern w:val="0"/>
                <w:sz w:val="24"/>
              </w:rPr>
              <w:t>。</w:t>
            </w:r>
            <w:r>
              <w:rPr>
                <w:rFonts w:ascii="宋体" w:hAnsi="宋体" w:cs="宋体"/>
                <w:kern w:val="0"/>
                <w:sz w:val="24"/>
              </w:rPr>
              <w:t>重建甘海子保护站1400平方米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DADE1E">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kern w:val="0"/>
                <w:sz w:val="24"/>
              </w:rPr>
              <w:t>工程全面</w:t>
            </w:r>
            <w:r>
              <w:rPr>
                <w:rFonts w:hint="eastAsia" w:ascii="宋体" w:hAnsi="宋体" w:cs="宋体"/>
                <w:kern w:val="0"/>
                <w:sz w:val="24"/>
                <w:lang w:val="en-US" w:eastAsia="zh-CN"/>
              </w:rPr>
              <w:t>完工</w:t>
            </w:r>
          </w:p>
        </w:tc>
      </w:tr>
      <w:tr w14:paraId="2F818F59">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540C0DF">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A98FC9">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454B29">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eastAsia="仿宋_GB2312" w:cs="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30293C">
            <w:pPr>
              <w:pageBreakBefore w:val="0"/>
              <w:kinsoku/>
              <w:overflowPunct/>
              <w:topLinePunct w:val="0"/>
              <w:bidi w:val="0"/>
              <w:spacing w:line="576" w:lineRule="exact"/>
              <w:jc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16E4F3">
            <w:pPr>
              <w:pageBreakBefore w:val="0"/>
              <w:kinsoku/>
              <w:overflowPunct/>
              <w:topLinePunct w:val="0"/>
              <w:bidi w:val="0"/>
              <w:spacing w:line="576" w:lineRule="exact"/>
              <w:jc w:val="center"/>
              <w:rPr>
                <w:rFonts w:ascii="宋体" w:hAnsi="宋体" w:cs="宋体"/>
                <w:color w:val="000000"/>
                <w:sz w:val="24"/>
              </w:rPr>
            </w:pPr>
            <w:r>
              <w:rPr>
                <w:rFonts w:hint="eastAsia" w:eastAsia="仿宋_GB2312" w:cs="仿宋_GB2312"/>
                <w:sz w:val="24"/>
              </w:rPr>
              <w:t>2018.</w:t>
            </w:r>
            <w:r>
              <w:rPr>
                <w:rFonts w:hint="eastAsia" w:eastAsia="仿宋_GB2312"/>
                <w:sz w:val="24"/>
              </w:rPr>
              <w:t>2</w:t>
            </w:r>
            <w:r>
              <w:rPr>
                <w:rFonts w:hint="eastAsia" w:eastAsia="仿宋_GB2312" w:cs="仿宋_GB2312"/>
                <w:sz w:val="24"/>
              </w:rPr>
              <w:t>-</w:t>
            </w:r>
            <w:r>
              <w:rPr>
                <w:rFonts w:eastAsia="仿宋_GB2312"/>
                <w:sz w:val="24"/>
              </w:rPr>
              <w:t xml:space="preserve"> </w:t>
            </w:r>
            <w:r>
              <w:rPr>
                <w:rFonts w:hint="eastAsia" w:eastAsia="仿宋_GB2312"/>
                <w:sz w:val="24"/>
              </w:rPr>
              <w:t>2020.</w:t>
            </w:r>
            <w:r>
              <w:rPr>
                <w:rFonts w:eastAsia="仿宋_GB2312"/>
                <w:sz w:val="24"/>
              </w:rPr>
              <w:t xml:space="preserve"> </w:t>
            </w:r>
            <w:r>
              <w:rPr>
                <w:rFonts w:hint="eastAsia" w:eastAsia="仿宋_GB2312"/>
                <w:sz w:val="24"/>
              </w:rPr>
              <w:t>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754830">
            <w:pPr>
              <w:pageBreakBefore w:val="0"/>
              <w:kinsoku/>
              <w:overflowPunct/>
              <w:topLinePunct w:val="0"/>
              <w:bidi w:val="0"/>
              <w:spacing w:line="576" w:lineRule="exact"/>
              <w:jc w:val="center"/>
              <w:rPr>
                <w:rFonts w:ascii="宋体" w:hAnsi="宋体" w:cs="宋体"/>
                <w:color w:val="000000"/>
                <w:sz w:val="24"/>
              </w:rPr>
            </w:pPr>
            <w:r>
              <w:rPr>
                <w:rFonts w:hint="eastAsia" w:eastAsia="仿宋_GB2312"/>
                <w:sz w:val="24"/>
              </w:rPr>
              <w:t>按时完成</w:t>
            </w:r>
          </w:p>
        </w:tc>
      </w:tr>
      <w:tr w14:paraId="3136FB0C">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F2DBCBB">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120D5F">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58F9AC">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7CF9F4">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09483E">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C93979">
            <w:pPr>
              <w:pageBreakBefore w:val="0"/>
              <w:widowControl/>
              <w:kinsoku/>
              <w:overflowPunct/>
              <w:topLinePunct w:val="0"/>
              <w:bidi w:val="0"/>
              <w:spacing w:line="576" w:lineRule="exact"/>
              <w:jc w:val="center"/>
              <w:textAlignment w:val="center"/>
              <w:rPr>
                <w:rFonts w:ascii="宋体" w:hAnsi="宋体" w:cs="宋体"/>
                <w:color w:val="000000"/>
                <w:sz w:val="24"/>
              </w:rPr>
            </w:pPr>
          </w:p>
        </w:tc>
      </w:tr>
      <w:tr w14:paraId="4C844F16">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31C73A9">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D58F9F">
            <w:pPr>
              <w:pageBreakBefore w:val="0"/>
              <w:widowControl/>
              <w:kinsoku/>
              <w:overflowPunct/>
              <w:topLinePunct w:val="0"/>
              <w:bidi w:val="0"/>
              <w:spacing w:line="576" w:lineRule="exact"/>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85F75E">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921443">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F8F498">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0639B3">
            <w:pPr>
              <w:pageBreakBefore w:val="0"/>
              <w:widowControl/>
              <w:kinsoku/>
              <w:overflowPunct/>
              <w:topLinePunct w:val="0"/>
              <w:bidi w:val="0"/>
              <w:spacing w:line="576" w:lineRule="exact"/>
              <w:jc w:val="center"/>
              <w:textAlignment w:val="center"/>
              <w:rPr>
                <w:rFonts w:ascii="宋体" w:hAnsi="宋体" w:cs="宋体"/>
                <w:color w:val="000000"/>
                <w:sz w:val="24"/>
              </w:rPr>
            </w:pPr>
          </w:p>
        </w:tc>
      </w:tr>
      <w:tr w14:paraId="17B7111A">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BF66BE7">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6458A1">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E14F73">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967E8B">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B1E3E9">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31E010">
            <w:pPr>
              <w:pageBreakBefore w:val="0"/>
              <w:widowControl/>
              <w:kinsoku/>
              <w:overflowPunct/>
              <w:topLinePunct w:val="0"/>
              <w:bidi w:val="0"/>
              <w:spacing w:line="576" w:lineRule="exact"/>
              <w:jc w:val="center"/>
              <w:textAlignment w:val="center"/>
              <w:rPr>
                <w:rFonts w:ascii="宋体" w:hAnsi="宋体" w:cs="宋体"/>
                <w:color w:val="000000"/>
                <w:sz w:val="24"/>
              </w:rPr>
            </w:pPr>
          </w:p>
        </w:tc>
      </w:tr>
      <w:tr w14:paraId="3A8DF727">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96906C9">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80515D">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21BB9C">
            <w:pPr>
              <w:pageBreakBefore w:val="0"/>
              <w:kinsoku/>
              <w:overflowPunct/>
              <w:topLinePunct w:val="0"/>
              <w:bidi w:val="0"/>
              <w:spacing w:line="576" w:lineRule="exact"/>
              <w:jc w:val="center"/>
              <w:rPr>
                <w:rFonts w:eastAsia="仿宋_GB2312"/>
                <w:sz w:val="24"/>
              </w:rPr>
            </w:pPr>
            <w:r>
              <w:rPr>
                <w:rFonts w:hint="eastAsia" w:eastAsia="仿宋_GB2312" w:cs="仿宋_GB2312"/>
                <w:sz w:val="24"/>
              </w:rPr>
              <w:t>经济效益</w:t>
            </w:r>
          </w:p>
          <w:p w14:paraId="48D2D454">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329168">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8F4F25">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eastAsia="仿宋_GB2312"/>
                <w:sz w:val="24"/>
              </w:rPr>
            </w:pPr>
            <w:r>
              <w:rPr>
                <w:rFonts w:hint="eastAsia" w:eastAsia="仿宋_GB2312"/>
                <w:sz w:val="24"/>
              </w:rPr>
              <w:t>提高九寨沟县生态旅游竞争力、促进经济社会可持续发展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FA8E1B">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eastAsia="仿宋_GB2312"/>
                <w:sz w:val="24"/>
              </w:rPr>
            </w:pPr>
            <w:r>
              <w:rPr>
                <w:rFonts w:hint="eastAsia" w:eastAsia="仿宋_GB2312"/>
                <w:sz w:val="24"/>
              </w:rPr>
              <w:t>有效保障生态建设与保护，维护生态安全</w:t>
            </w:r>
          </w:p>
        </w:tc>
      </w:tr>
      <w:tr w14:paraId="0090BF22">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6BE1A22">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67E53E">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B7E1DC">
            <w:pPr>
              <w:pageBreakBefore w:val="0"/>
              <w:kinsoku/>
              <w:overflowPunct/>
              <w:topLinePunct w:val="0"/>
              <w:bidi w:val="0"/>
              <w:spacing w:line="576" w:lineRule="exact"/>
              <w:jc w:val="center"/>
              <w:rPr>
                <w:rFonts w:eastAsia="仿宋_GB2312"/>
                <w:sz w:val="24"/>
              </w:rPr>
            </w:pPr>
            <w:r>
              <w:rPr>
                <w:rFonts w:hint="eastAsia" w:eastAsia="仿宋_GB2312" w:cs="仿宋_GB2312"/>
                <w:sz w:val="24"/>
              </w:rPr>
              <w:t>社会效益</w:t>
            </w:r>
          </w:p>
          <w:p w14:paraId="1A61EE0C">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28E926">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C7B17B">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eastAsia="仿宋_GB2312"/>
                <w:sz w:val="24"/>
              </w:rPr>
            </w:pPr>
            <w:r>
              <w:rPr>
                <w:rFonts w:hint="eastAsia" w:eastAsia="仿宋_GB2312"/>
                <w:sz w:val="24"/>
              </w:rPr>
              <w:t>保障人民群众生命健康和维护和谐稳定大局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9E513D">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eastAsia="仿宋_GB2312"/>
                <w:sz w:val="24"/>
              </w:rPr>
            </w:pPr>
            <w:r>
              <w:rPr>
                <w:rFonts w:hint="eastAsia" w:eastAsia="仿宋_GB2312"/>
                <w:sz w:val="24"/>
              </w:rPr>
              <w:t>有效保障人民群众生命健康和维护和谐稳定</w:t>
            </w:r>
          </w:p>
        </w:tc>
      </w:tr>
      <w:tr w14:paraId="5659A8FA">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162FABD">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6D9714">
            <w:pPr>
              <w:pageBreakBefore w:val="0"/>
              <w:widowControl/>
              <w:kinsoku/>
              <w:overflowPunct/>
              <w:topLinePunct w:val="0"/>
              <w:bidi w:val="0"/>
              <w:spacing w:line="576" w:lineRule="exact"/>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205F72">
            <w:pPr>
              <w:pageBreakBefore w:val="0"/>
              <w:kinsoku/>
              <w:overflowPunct/>
              <w:topLinePunct w:val="0"/>
              <w:bidi w:val="0"/>
              <w:spacing w:line="576" w:lineRule="exact"/>
              <w:jc w:val="center"/>
              <w:rPr>
                <w:rFonts w:eastAsia="仿宋_GB2312"/>
                <w:sz w:val="24"/>
              </w:rPr>
            </w:pPr>
            <w:r>
              <w:rPr>
                <w:rFonts w:hint="eastAsia" w:eastAsia="仿宋_GB2312" w:cs="仿宋_GB2312"/>
                <w:sz w:val="24"/>
              </w:rPr>
              <w:t>生态效益</w:t>
            </w:r>
          </w:p>
          <w:p w14:paraId="0D7F2721">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DBF318">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6F11D1">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eastAsia="仿宋_GB2312"/>
                <w:sz w:val="24"/>
              </w:rPr>
            </w:pPr>
            <w:r>
              <w:rPr>
                <w:rFonts w:hint="eastAsia" w:eastAsia="仿宋_GB2312"/>
                <w:sz w:val="24"/>
              </w:rPr>
              <w:t>提高项目区森林防火控制能力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E1F8FD">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eastAsia="仿宋_GB2312"/>
                <w:sz w:val="24"/>
              </w:rPr>
            </w:pPr>
            <w:r>
              <w:rPr>
                <w:rFonts w:hint="eastAsia" w:eastAsia="仿宋_GB2312"/>
                <w:sz w:val="24"/>
              </w:rPr>
              <w:t>提高园区内预测、预报和控制森林防火的综合能力</w:t>
            </w:r>
          </w:p>
        </w:tc>
      </w:tr>
      <w:tr w14:paraId="645DF0E0">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96A88EA">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D99DE3">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E1BF4A">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718C7B">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3BF64E">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eastAsia="仿宋_GB2312"/>
                <w:sz w:val="24"/>
              </w:rPr>
            </w:pPr>
            <w:r>
              <w:rPr>
                <w:rFonts w:hint="eastAsia" w:eastAsia="仿宋_GB2312"/>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499CD6">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eastAsia="仿宋_GB2312"/>
                <w:sz w:val="24"/>
              </w:rPr>
            </w:pPr>
            <w:r>
              <w:rPr>
                <w:rFonts w:hint="eastAsia" w:eastAsia="仿宋_GB2312"/>
                <w:sz w:val="24"/>
              </w:rPr>
              <w:t>满意</w:t>
            </w:r>
          </w:p>
        </w:tc>
      </w:tr>
      <w:tr w14:paraId="275A8B35">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54E23CC8">
            <w:pPr>
              <w:pStyle w:val="25"/>
              <w:pageBreakBefore w:val="0"/>
              <w:widowControl/>
              <w:kinsoku/>
              <w:overflowPunct/>
              <w:topLinePunct w:val="0"/>
              <w:bidi w:val="0"/>
              <w:spacing w:line="576" w:lineRule="exact"/>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w:t>
            </w:r>
            <w:r>
              <w:rPr>
                <w:rFonts w:hint="eastAsia" w:ascii="宋体" w:hAnsi="宋体" w:cs="宋体"/>
                <w:color w:val="000000"/>
                <w:kern w:val="0"/>
                <w:sz w:val="36"/>
                <w:szCs w:val="36"/>
                <w:lang w:eastAsia="zh-CN" w:bidi="ar"/>
              </w:rPr>
              <w:t>2020年</w:t>
            </w:r>
            <w:r>
              <w:rPr>
                <w:rFonts w:hint="eastAsia" w:ascii="宋体" w:hAnsi="宋体" w:cs="宋体"/>
                <w:color w:val="000000"/>
                <w:kern w:val="0"/>
                <w:sz w:val="36"/>
                <w:szCs w:val="36"/>
                <w:lang w:bidi="ar"/>
              </w:rPr>
              <w:t>度)</w:t>
            </w:r>
          </w:p>
        </w:tc>
      </w:tr>
      <w:tr w14:paraId="68ED3A7E">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8AD62D">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6C22DF">
            <w:pPr>
              <w:pageBreakBefore w:val="0"/>
              <w:kinsoku/>
              <w:overflowPunct/>
              <w:topLinePunct w:val="0"/>
              <w:bidi w:val="0"/>
              <w:spacing w:before="156" w:beforeLines="50" w:line="576" w:lineRule="exact"/>
              <w:jc w:val="center"/>
              <w:rPr>
                <w:rFonts w:eastAsia="仿宋_GB2312"/>
                <w:sz w:val="32"/>
                <w:szCs w:val="32"/>
                <w:u w:val="single"/>
              </w:rPr>
            </w:pPr>
            <w:r>
              <w:rPr>
                <w:rFonts w:hint="eastAsia" w:eastAsia="仿宋_GB2312"/>
                <w:sz w:val="32"/>
                <w:szCs w:val="32"/>
              </w:rPr>
              <w:t>九寨国家森林公园神仙池管理中心供排水系统恢复重建</w:t>
            </w:r>
          </w:p>
          <w:p w14:paraId="1A9E323E">
            <w:pPr>
              <w:pageBreakBefore w:val="0"/>
              <w:widowControl/>
              <w:kinsoku/>
              <w:overflowPunct/>
              <w:topLinePunct w:val="0"/>
              <w:bidi w:val="0"/>
              <w:spacing w:line="576" w:lineRule="exact"/>
              <w:jc w:val="center"/>
              <w:textAlignment w:val="center"/>
              <w:rPr>
                <w:rFonts w:ascii="宋体" w:hAnsi="宋体" w:cs="宋体"/>
                <w:color w:val="000000"/>
                <w:sz w:val="24"/>
              </w:rPr>
            </w:pPr>
          </w:p>
        </w:tc>
      </w:tr>
      <w:tr w14:paraId="111A5CB8">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8023AA">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B44B05">
            <w:pPr>
              <w:pageBreakBefore w:val="0"/>
              <w:widowControl/>
              <w:kinsoku/>
              <w:overflowPunct/>
              <w:topLinePunct w:val="0"/>
              <w:bidi w:val="0"/>
              <w:spacing w:line="576" w:lineRule="exact"/>
              <w:jc w:val="center"/>
              <w:textAlignment w:val="center"/>
              <w:rPr>
                <w:rFonts w:ascii="宋体" w:hAnsi="宋体" w:eastAsia="仿宋_GB2312" w:cs="宋体"/>
                <w:color w:val="000000"/>
                <w:sz w:val="24"/>
              </w:rPr>
            </w:pPr>
            <w:r>
              <w:rPr>
                <w:rFonts w:hint="eastAsia" w:ascii="仿宋_GB2312" w:hAnsi="仿宋_GB2312" w:eastAsia="仿宋_GB2312" w:cs="仿宋_GB2312"/>
                <w:sz w:val="32"/>
                <w:szCs w:val="32"/>
              </w:rPr>
              <w:t>九寨国家森林公园管理局</w:t>
            </w:r>
          </w:p>
        </w:tc>
      </w:tr>
      <w:tr w14:paraId="7130FF2C">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2B6B96">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EC4D80">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499F6E">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sz w:val="24"/>
              </w:rPr>
              <w:t>140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7BB8BD">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3E99D5">
            <w:pPr>
              <w:pageBreakBefore w:val="0"/>
              <w:widowControl/>
              <w:kinsoku/>
              <w:overflowPunct/>
              <w:topLinePunct w:val="0"/>
              <w:bidi w:val="0"/>
              <w:spacing w:line="576" w:lineRule="exact"/>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140</w:t>
            </w:r>
          </w:p>
        </w:tc>
      </w:tr>
      <w:tr w14:paraId="0B286377">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A50243F">
            <w:pPr>
              <w:pageBreakBefore w:val="0"/>
              <w:widowControl/>
              <w:kinsoku/>
              <w:overflowPunct/>
              <w:topLinePunct w:val="0"/>
              <w:bidi w:val="0"/>
              <w:spacing w:line="576" w:lineRule="exact"/>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6A4019">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237B70">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sz w:val="24"/>
              </w:rPr>
              <w:t>140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A7C35A">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F9C6EE">
            <w:pPr>
              <w:pageBreakBefore w:val="0"/>
              <w:widowControl/>
              <w:kinsoku/>
              <w:overflowPunct/>
              <w:topLinePunct w:val="0"/>
              <w:bidi w:val="0"/>
              <w:spacing w:line="576" w:lineRule="exact"/>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140</w:t>
            </w:r>
          </w:p>
        </w:tc>
      </w:tr>
      <w:tr w14:paraId="246FED5E">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7D3DFA3">
            <w:pPr>
              <w:pageBreakBefore w:val="0"/>
              <w:widowControl/>
              <w:kinsoku/>
              <w:overflowPunct/>
              <w:topLinePunct w:val="0"/>
              <w:bidi w:val="0"/>
              <w:spacing w:line="576" w:lineRule="exact"/>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CDC4D9">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1F0A3D">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D7A879">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28F08A">
            <w:pPr>
              <w:pageBreakBefore w:val="0"/>
              <w:kinsoku/>
              <w:overflowPunct/>
              <w:topLinePunct w:val="0"/>
              <w:bidi w:val="0"/>
              <w:spacing w:line="576" w:lineRule="exact"/>
              <w:jc w:val="center"/>
              <w:rPr>
                <w:rFonts w:ascii="宋体" w:hAnsi="宋体" w:cs="宋体"/>
                <w:color w:val="000000"/>
                <w:sz w:val="24"/>
              </w:rPr>
            </w:pPr>
          </w:p>
        </w:tc>
      </w:tr>
      <w:tr w14:paraId="00B0C63B">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4E9C89">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4FD3E0">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21773A">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14:paraId="2D17B71E">
        <w:tblPrEx>
          <w:tblCellMar>
            <w:top w:w="0" w:type="dxa"/>
            <w:left w:w="0" w:type="dxa"/>
            <w:bottom w:w="0" w:type="dxa"/>
            <w:right w:w="0" w:type="dxa"/>
          </w:tblCellMar>
        </w:tblPrEx>
        <w:trPr>
          <w:trHeight w:val="362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353E530">
            <w:pPr>
              <w:pageBreakBefore w:val="0"/>
              <w:widowControl/>
              <w:kinsoku/>
              <w:overflowPunct/>
              <w:topLinePunct w:val="0"/>
              <w:bidi w:val="0"/>
              <w:spacing w:line="576" w:lineRule="exact"/>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F9B5C2">
            <w:pPr>
              <w:pageBreakBefore w:val="0"/>
              <w:widowControl/>
              <w:kinsoku/>
              <w:overflowPunct/>
              <w:topLinePunct w:val="0"/>
              <w:bidi w:val="0"/>
              <w:spacing w:line="576" w:lineRule="exact"/>
              <w:jc w:val="center"/>
              <w:textAlignment w:val="center"/>
              <w:rPr>
                <w:rFonts w:ascii="宋体" w:hAnsi="宋体" w:cs="宋体"/>
                <w:color w:val="000000"/>
                <w:sz w:val="24"/>
              </w:rPr>
            </w:pPr>
            <w:r>
              <w:rPr>
                <w:rFonts w:ascii="宋体" w:hAnsi="宋体" w:cs="宋体"/>
                <w:kern w:val="0"/>
                <w:sz w:val="24"/>
              </w:rPr>
              <w:t>1.新建水源地饮用水管道2500米、消防管道200米及消防桩4套；2.改建小型污水处理站1座及配套附属设施，该改造一座员工厕所给排水及电气系统项目。备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167E0B">
            <w:pPr>
              <w:pageBreakBefore w:val="0"/>
              <w:kinsoku/>
              <w:overflowPunct/>
              <w:topLinePunct w:val="0"/>
              <w:bidi w:val="0"/>
              <w:spacing w:line="576" w:lineRule="exact"/>
              <w:jc w:val="center"/>
              <w:rPr>
                <w:rFonts w:ascii="宋体" w:hAnsi="宋体" w:cs="宋体"/>
                <w:color w:val="000000"/>
                <w:sz w:val="24"/>
              </w:rPr>
            </w:pPr>
            <w:r>
              <w:rPr>
                <w:rFonts w:hint="eastAsia" w:ascii="宋体" w:hAnsi="宋体" w:cs="宋体"/>
                <w:kern w:val="0"/>
                <w:sz w:val="24"/>
              </w:rPr>
              <w:t>工程全面</w:t>
            </w:r>
            <w:r>
              <w:rPr>
                <w:rFonts w:hint="eastAsia" w:ascii="宋体" w:hAnsi="宋体" w:cs="宋体"/>
                <w:kern w:val="0"/>
                <w:sz w:val="24"/>
                <w:lang w:val="en-US" w:eastAsia="zh-CN"/>
              </w:rPr>
              <w:t>完工</w:t>
            </w:r>
          </w:p>
        </w:tc>
      </w:tr>
      <w:tr w14:paraId="08FB68CC">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E39F7E">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63B2AD">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C81711">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A46FA8">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A71B2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8AC1D4">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14:paraId="2CAD2EB9">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C57C914">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3BEDA7">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EA39E1">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eastAsia="仿宋_GB2312" w:cs="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22E3AD">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BF116E">
            <w:pPr>
              <w:keepNext w:val="0"/>
              <w:keepLines w:val="0"/>
              <w:pageBreakBefore w:val="0"/>
              <w:kinsoku/>
              <w:wordWrap/>
              <w:overflowPunct/>
              <w:topLinePunct w:val="0"/>
              <w:autoSpaceDE/>
              <w:autoSpaceDN/>
              <w:bidi w:val="0"/>
              <w:adjustRightInd/>
              <w:snapToGrid/>
              <w:spacing w:line="440" w:lineRule="exact"/>
              <w:jc w:val="center"/>
              <w:rPr>
                <w:rFonts w:ascii="宋体" w:hAnsi="宋体" w:cs="宋体"/>
                <w:color w:val="000000"/>
                <w:sz w:val="24"/>
              </w:rPr>
            </w:pPr>
            <w:r>
              <w:rPr>
                <w:rFonts w:ascii="宋体" w:hAnsi="宋体" w:cs="宋体"/>
                <w:kern w:val="0"/>
                <w:sz w:val="24"/>
              </w:rPr>
              <w:t>新建水源地饮用水管道</w:t>
            </w:r>
            <w:r>
              <w:rPr>
                <w:rFonts w:hint="eastAsia" w:ascii="宋体" w:hAnsi="宋体" w:cs="宋体"/>
                <w:kern w:val="0"/>
                <w:sz w:val="24"/>
              </w:rPr>
              <w:t>2500米、新建</w:t>
            </w:r>
            <w:r>
              <w:rPr>
                <w:rFonts w:ascii="宋体" w:hAnsi="宋体" w:cs="宋体"/>
                <w:kern w:val="0"/>
                <w:sz w:val="24"/>
              </w:rPr>
              <w:t>消防管道</w:t>
            </w:r>
            <w:r>
              <w:rPr>
                <w:rFonts w:hint="eastAsia" w:ascii="宋体" w:hAnsi="宋体" w:cs="宋体"/>
                <w:kern w:val="0"/>
                <w:sz w:val="24"/>
              </w:rPr>
              <w:t>200米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505B46">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kern w:val="0"/>
                <w:sz w:val="24"/>
              </w:rPr>
              <w:t>工程全面</w:t>
            </w:r>
            <w:r>
              <w:rPr>
                <w:rFonts w:hint="eastAsia" w:ascii="宋体" w:hAnsi="宋体" w:cs="宋体"/>
                <w:kern w:val="0"/>
                <w:sz w:val="24"/>
                <w:lang w:val="en-US" w:eastAsia="zh-CN"/>
              </w:rPr>
              <w:t>完工</w:t>
            </w:r>
          </w:p>
        </w:tc>
      </w:tr>
      <w:tr w14:paraId="54DEAD83">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221EAD6">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C7F1F2">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598F51">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eastAsia="仿宋_GB2312" w:cs="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C499A5">
            <w:pPr>
              <w:pageBreakBefore w:val="0"/>
              <w:kinsoku/>
              <w:overflowPunct/>
              <w:topLinePunct w:val="0"/>
              <w:bidi w:val="0"/>
              <w:spacing w:line="576" w:lineRule="exact"/>
              <w:jc w:val="center"/>
              <w:rPr>
                <w:rFonts w:ascii="宋体" w:hAnsi="宋体" w:cs="宋体"/>
                <w:color w:val="0000FF"/>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1290DE">
            <w:pPr>
              <w:keepNext w:val="0"/>
              <w:keepLines w:val="0"/>
              <w:pageBreakBefore w:val="0"/>
              <w:kinsoku/>
              <w:wordWrap/>
              <w:overflowPunct/>
              <w:topLinePunct w:val="0"/>
              <w:autoSpaceDE/>
              <w:autoSpaceDN/>
              <w:bidi w:val="0"/>
              <w:adjustRightInd/>
              <w:snapToGrid/>
              <w:spacing w:line="440" w:lineRule="exact"/>
              <w:jc w:val="center"/>
              <w:rPr>
                <w:rFonts w:ascii="宋体" w:hAnsi="宋体" w:cs="宋体"/>
                <w:color w:val="000000"/>
                <w:sz w:val="24"/>
              </w:rPr>
            </w:pPr>
            <w:r>
              <w:rPr>
                <w:rFonts w:hint="eastAsia" w:eastAsia="仿宋_GB2312"/>
                <w:sz w:val="24"/>
              </w:rPr>
              <w:t>2018.3——2018.12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5BB40E">
            <w:pPr>
              <w:pageBreakBefore w:val="0"/>
              <w:kinsoku/>
              <w:overflowPunct/>
              <w:topLinePunct w:val="0"/>
              <w:bidi w:val="0"/>
              <w:spacing w:line="576" w:lineRule="exact"/>
              <w:jc w:val="center"/>
              <w:rPr>
                <w:rFonts w:ascii="宋体" w:hAnsi="宋体" w:cs="宋体"/>
                <w:color w:val="000000"/>
                <w:sz w:val="24"/>
              </w:rPr>
            </w:pPr>
            <w:r>
              <w:rPr>
                <w:rFonts w:hint="eastAsia" w:ascii="宋体" w:hAnsi="宋体" w:cs="宋体"/>
                <w:color w:val="000000"/>
                <w:sz w:val="24"/>
              </w:rPr>
              <w:t>已按要求完成</w:t>
            </w:r>
          </w:p>
        </w:tc>
      </w:tr>
      <w:tr w14:paraId="317B95AB">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E442E50">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B1903E">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E157EE">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C5F189">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46FDCD">
            <w:pPr>
              <w:keepNext w:val="0"/>
              <w:keepLines w:val="0"/>
              <w:pageBreakBefore w:val="0"/>
              <w:kinsoku/>
              <w:wordWrap/>
              <w:overflowPunct/>
              <w:topLinePunct w:val="0"/>
              <w:autoSpaceDE/>
              <w:autoSpaceDN/>
              <w:bidi w:val="0"/>
              <w:adjustRightInd/>
              <w:snapToGrid/>
              <w:spacing w:line="440" w:lineRule="exact"/>
              <w:jc w:val="center"/>
              <w:rPr>
                <w:rFonts w:ascii="宋体" w:hAnsi="宋体" w:cs="宋体"/>
                <w:color w:val="000000"/>
                <w:sz w:val="24"/>
              </w:rPr>
            </w:pPr>
            <w:r>
              <w:rPr>
                <w:rFonts w:ascii="宋体" w:hAnsi="宋体" w:cs="宋体"/>
                <w:kern w:val="0"/>
                <w:sz w:val="24"/>
              </w:rPr>
              <w:t>该改造一座员工厕所给排水及电气系统</w:t>
            </w:r>
            <w:r>
              <w:rPr>
                <w:rFonts w:hint="eastAsia" w:ascii="宋体" w:hAnsi="宋体" w:cs="宋体"/>
                <w:kern w:val="0"/>
                <w:sz w:val="24"/>
              </w:rPr>
              <w:t>；</w:t>
            </w:r>
            <w:r>
              <w:rPr>
                <w:rFonts w:ascii="宋体" w:hAnsi="宋体" w:cs="宋体"/>
                <w:kern w:val="0"/>
                <w:sz w:val="24"/>
              </w:rPr>
              <w:t>改建小型污水处理站1座及配套附属设施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B45C72">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sz w:val="24"/>
              </w:rPr>
              <w:t>已按要求完成</w:t>
            </w:r>
          </w:p>
        </w:tc>
      </w:tr>
      <w:tr w14:paraId="7672B05A">
        <w:tblPrEx>
          <w:tblCellMar>
            <w:top w:w="0" w:type="dxa"/>
            <w:left w:w="0" w:type="dxa"/>
            <w:bottom w:w="0" w:type="dxa"/>
            <w:right w:w="0" w:type="dxa"/>
          </w:tblCellMar>
        </w:tblPrEx>
        <w:trPr>
          <w:trHeight w:val="87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AB3EADF">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5F1EC3">
            <w:pPr>
              <w:pageBreakBefore w:val="0"/>
              <w:widowControl/>
              <w:kinsoku/>
              <w:overflowPunct/>
              <w:topLinePunct w:val="0"/>
              <w:bidi w:val="0"/>
              <w:spacing w:line="576" w:lineRule="exact"/>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203E9E">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895C39">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09E12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63DAEA">
            <w:pPr>
              <w:pageBreakBefore w:val="0"/>
              <w:widowControl/>
              <w:kinsoku/>
              <w:overflowPunct/>
              <w:topLinePunct w:val="0"/>
              <w:bidi w:val="0"/>
              <w:spacing w:line="576" w:lineRule="exact"/>
              <w:jc w:val="center"/>
              <w:textAlignment w:val="center"/>
              <w:rPr>
                <w:rFonts w:ascii="宋体" w:hAnsi="宋体" w:cs="宋体"/>
                <w:color w:val="000000"/>
                <w:sz w:val="24"/>
              </w:rPr>
            </w:pPr>
          </w:p>
        </w:tc>
      </w:tr>
      <w:tr w14:paraId="324B7C26">
        <w:tblPrEx>
          <w:tblCellMar>
            <w:top w:w="0" w:type="dxa"/>
            <w:left w:w="0" w:type="dxa"/>
            <w:bottom w:w="0" w:type="dxa"/>
            <w:right w:w="0" w:type="dxa"/>
          </w:tblCellMar>
        </w:tblPrEx>
        <w:trPr>
          <w:trHeight w:val="7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41F4453">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D88FFB">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48E8C3">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C6A62C">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0C125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2F2FD1">
            <w:pPr>
              <w:pageBreakBefore w:val="0"/>
              <w:widowControl/>
              <w:kinsoku/>
              <w:overflowPunct/>
              <w:topLinePunct w:val="0"/>
              <w:bidi w:val="0"/>
              <w:spacing w:line="576" w:lineRule="exact"/>
              <w:jc w:val="center"/>
              <w:textAlignment w:val="center"/>
              <w:rPr>
                <w:rFonts w:ascii="宋体" w:hAnsi="宋体" w:cs="宋体"/>
                <w:color w:val="000000"/>
                <w:sz w:val="24"/>
              </w:rPr>
            </w:pPr>
          </w:p>
        </w:tc>
      </w:tr>
      <w:tr w14:paraId="69C9C0EC">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C9B4086">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24EA12">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59EFF8">
            <w:pPr>
              <w:pageBreakBefore w:val="0"/>
              <w:kinsoku/>
              <w:overflowPunct/>
              <w:topLinePunct w:val="0"/>
              <w:bidi w:val="0"/>
              <w:spacing w:line="576" w:lineRule="exact"/>
              <w:jc w:val="center"/>
              <w:rPr>
                <w:rFonts w:eastAsia="仿宋_GB2312"/>
                <w:sz w:val="24"/>
              </w:rPr>
            </w:pPr>
            <w:r>
              <w:rPr>
                <w:rFonts w:hint="eastAsia" w:eastAsia="仿宋_GB2312" w:cs="仿宋_GB2312"/>
                <w:sz w:val="24"/>
              </w:rPr>
              <w:t>经济效益</w:t>
            </w:r>
          </w:p>
          <w:p w14:paraId="77A9D098">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EF1840">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1799B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cs="宋体"/>
                <w:color w:val="000000"/>
                <w:sz w:val="24"/>
              </w:rPr>
            </w:pPr>
            <w:r>
              <w:rPr>
                <w:rFonts w:hint="eastAsia" w:eastAsia="仿宋_GB2312"/>
                <w:sz w:val="24"/>
              </w:rPr>
              <w:t>促进九寨沟-神仙池-黑河大峡谷旅游发展线的发展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766CF6">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eastAsia="仿宋_GB2312"/>
                <w:sz w:val="24"/>
              </w:rPr>
              <w:t>有效带动沿线各村旅游发展</w:t>
            </w:r>
          </w:p>
        </w:tc>
      </w:tr>
      <w:tr w14:paraId="2D6E1C3E">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9E16C62">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0FB381">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2928F7">
            <w:pPr>
              <w:pageBreakBefore w:val="0"/>
              <w:kinsoku/>
              <w:overflowPunct/>
              <w:topLinePunct w:val="0"/>
              <w:bidi w:val="0"/>
              <w:spacing w:line="576" w:lineRule="exact"/>
              <w:jc w:val="center"/>
              <w:rPr>
                <w:rFonts w:eastAsia="仿宋_GB2312"/>
                <w:sz w:val="24"/>
              </w:rPr>
            </w:pPr>
            <w:r>
              <w:rPr>
                <w:rFonts w:hint="eastAsia" w:eastAsia="仿宋_GB2312" w:cs="仿宋_GB2312"/>
                <w:sz w:val="24"/>
              </w:rPr>
              <w:t>社会效益</w:t>
            </w:r>
          </w:p>
          <w:p w14:paraId="3F88B502">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50A7F4">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F8DD0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eastAsia="仿宋_GB2312"/>
                <w:sz w:val="24"/>
              </w:rPr>
            </w:pPr>
            <w:r>
              <w:rPr>
                <w:rFonts w:hint="eastAsia" w:eastAsia="仿宋_GB2312"/>
                <w:sz w:val="24"/>
              </w:rPr>
              <w:t>保障人民群众生命健康和维护和谐稳定大局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69F15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eastAsia="仿宋_GB2312"/>
                <w:sz w:val="24"/>
              </w:rPr>
            </w:pPr>
            <w:r>
              <w:rPr>
                <w:rFonts w:hint="eastAsia" w:eastAsia="仿宋_GB2312"/>
                <w:sz w:val="24"/>
              </w:rPr>
              <w:t>有效保障人民群众生命健康和维护和谐稳定</w:t>
            </w:r>
          </w:p>
        </w:tc>
      </w:tr>
      <w:tr w14:paraId="6D4EF17C">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66D3563">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68AE6F">
            <w:pPr>
              <w:pageBreakBefore w:val="0"/>
              <w:widowControl/>
              <w:kinsoku/>
              <w:overflowPunct/>
              <w:topLinePunct w:val="0"/>
              <w:bidi w:val="0"/>
              <w:spacing w:line="576" w:lineRule="exact"/>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CD02BB">
            <w:pPr>
              <w:pageBreakBefore w:val="0"/>
              <w:kinsoku/>
              <w:overflowPunct/>
              <w:topLinePunct w:val="0"/>
              <w:bidi w:val="0"/>
              <w:spacing w:line="576" w:lineRule="exact"/>
              <w:jc w:val="center"/>
              <w:rPr>
                <w:rFonts w:eastAsia="仿宋_GB2312"/>
                <w:sz w:val="24"/>
              </w:rPr>
            </w:pPr>
            <w:r>
              <w:rPr>
                <w:rFonts w:hint="eastAsia" w:eastAsia="仿宋_GB2312" w:cs="仿宋_GB2312"/>
                <w:sz w:val="24"/>
              </w:rPr>
              <w:t>生态效益</w:t>
            </w:r>
          </w:p>
          <w:p w14:paraId="45D61868">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84BD05">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187FE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eastAsia="仿宋_GB2312"/>
                <w:sz w:val="24"/>
              </w:rPr>
            </w:pPr>
            <w:r>
              <w:rPr>
                <w:rFonts w:hint="eastAsia" w:eastAsia="仿宋_GB2312"/>
                <w:sz w:val="24"/>
              </w:rPr>
              <w:t>提高项目区森林防火控制能力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8AD02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eastAsia="仿宋_GB2312"/>
                <w:sz w:val="24"/>
              </w:rPr>
            </w:pPr>
            <w:r>
              <w:rPr>
                <w:rFonts w:hint="eastAsia" w:eastAsia="仿宋_GB2312"/>
                <w:sz w:val="24"/>
              </w:rPr>
              <w:t>提高园区内预测、预报和控制森林防火的综合能力</w:t>
            </w:r>
          </w:p>
        </w:tc>
      </w:tr>
      <w:tr w14:paraId="28BEABAF">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C4BC07B">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AEBC6F">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B25D1E">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2FF14C">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58231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eastAsia="仿宋_GB2312"/>
                <w:sz w:val="24"/>
              </w:rPr>
            </w:pPr>
            <w:r>
              <w:rPr>
                <w:rFonts w:hint="eastAsia" w:eastAsia="仿宋_GB2312"/>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47041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eastAsia="仿宋_GB2312"/>
                <w:sz w:val="24"/>
              </w:rPr>
            </w:pPr>
            <w:r>
              <w:rPr>
                <w:rFonts w:hint="eastAsia" w:eastAsia="仿宋_GB2312"/>
                <w:sz w:val="24"/>
              </w:rPr>
              <w:t>满意</w:t>
            </w:r>
          </w:p>
        </w:tc>
      </w:tr>
      <w:tr w14:paraId="1DD32C04">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205CBF2C">
            <w:pPr>
              <w:pStyle w:val="25"/>
              <w:pageBreakBefore w:val="0"/>
              <w:widowControl/>
              <w:kinsoku/>
              <w:overflowPunct/>
              <w:topLinePunct w:val="0"/>
              <w:bidi w:val="0"/>
              <w:spacing w:line="576" w:lineRule="exact"/>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w:t>
            </w:r>
            <w:r>
              <w:rPr>
                <w:rFonts w:hint="eastAsia" w:ascii="宋体" w:hAnsi="宋体" w:cs="宋体"/>
                <w:color w:val="000000"/>
                <w:kern w:val="0"/>
                <w:sz w:val="36"/>
                <w:szCs w:val="36"/>
                <w:lang w:eastAsia="zh-CN" w:bidi="ar"/>
              </w:rPr>
              <w:t>2020年</w:t>
            </w:r>
            <w:r>
              <w:rPr>
                <w:rFonts w:hint="eastAsia" w:ascii="宋体" w:hAnsi="宋体" w:cs="宋体"/>
                <w:color w:val="000000"/>
                <w:kern w:val="0"/>
                <w:sz w:val="36"/>
                <w:szCs w:val="36"/>
                <w:lang w:bidi="ar"/>
              </w:rPr>
              <w:t>度)</w:t>
            </w:r>
          </w:p>
        </w:tc>
      </w:tr>
      <w:tr w14:paraId="138574C9">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CFC314">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9FEEFB">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eastAsia="仿宋_GB2312"/>
                <w:sz w:val="32"/>
                <w:szCs w:val="32"/>
              </w:rPr>
              <w:t>九寨沟县神仙池生态旅游区建设项目</w:t>
            </w:r>
          </w:p>
        </w:tc>
      </w:tr>
      <w:tr w14:paraId="356F6AD5">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D6D577">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54CD30">
            <w:pPr>
              <w:pageBreakBefore w:val="0"/>
              <w:widowControl/>
              <w:kinsoku/>
              <w:overflowPunct/>
              <w:topLinePunct w:val="0"/>
              <w:bidi w:val="0"/>
              <w:spacing w:line="576" w:lineRule="exact"/>
              <w:jc w:val="center"/>
              <w:textAlignment w:val="center"/>
              <w:rPr>
                <w:rFonts w:ascii="宋体" w:hAnsi="宋体" w:eastAsia="仿宋_GB2312" w:cs="宋体"/>
                <w:color w:val="000000"/>
                <w:sz w:val="24"/>
              </w:rPr>
            </w:pPr>
            <w:r>
              <w:rPr>
                <w:rFonts w:hint="eastAsia" w:ascii="仿宋_GB2312" w:hAnsi="仿宋_GB2312" w:eastAsia="仿宋_GB2312" w:cs="仿宋_GB2312"/>
                <w:sz w:val="32"/>
                <w:szCs w:val="32"/>
              </w:rPr>
              <w:t>九寨国家森林公园管理局</w:t>
            </w:r>
          </w:p>
        </w:tc>
      </w:tr>
      <w:tr w14:paraId="2E8BFDF5">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BB698C">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2A3B3D">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79BC95">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sz w:val="24"/>
              </w:rPr>
              <w:t>2000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92F861">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590937">
            <w:pPr>
              <w:pageBreakBefore w:val="0"/>
              <w:widowControl/>
              <w:kinsoku/>
              <w:overflowPunct/>
              <w:topLinePunct w:val="0"/>
              <w:bidi w:val="0"/>
              <w:spacing w:line="576" w:lineRule="exact"/>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2000</w:t>
            </w:r>
          </w:p>
        </w:tc>
      </w:tr>
      <w:tr w14:paraId="4275A7F0">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F1903DD">
            <w:pPr>
              <w:pageBreakBefore w:val="0"/>
              <w:widowControl/>
              <w:kinsoku/>
              <w:overflowPunct/>
              <w:topLinePunct w:val="0"/>
              <w:bidi w:val="0"/>
              <w:spacing w:line="576" w:lineRule="exact"/>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5072E2">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DFF9E8">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sz w:val="24"/>
              </w:rPr>
              <w:t>2000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CC0EEE">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879DB9">
            <w:pPr>
              <w:pageBreakBefore w:val="0"/>
              <w:widowControl/>
              <w:kinsoku/>
              <w:overflowPunct/>
              <w:topLinePunct w:val="0"/>
              <w:bidi w:val="0"/>
              <w:spacing w:line="576" w:lineRule="exact"/>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2000</w:t>
            </w:r>
          </w:p>
        </w:tc>
      </w:tr>
      <w:tr w14:paraId="7121563E">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46F0D68">
            <w:pPr>
              <w:pageBreakBefore w:val="0"/>
              <w:widowControl/>
              <w:kinsoku/>
              <w:overflowPunct/>
              <w:topLinePunct w:val="0"/>
              <w:bidi w:val="0"/>
              <w:spacing w:line="576" w:lineRule="exact"/>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4F8E49">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E8FAC6">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49AE16">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4B230B">
            <w:pPr>
              <w:pageBreakBefore w:val="0"/>
              <w:kinsoku/>
              <w:overflowPunct/>
              <w:topLinePunct w:val="0"/>
              <w:bidi w:val="0"/>
              <w:spacing w:line="576" w:lineRule="exact"/>
              <w:jc w:val="center"/>
              <w:rPr>
                <w:rFonts w:ascii="宋体" w:hAnsi="宋体" w:cs="宋体"/>
                <w:color w:val="000000"/>
                <w:sz w:val="24"/>
              </w:rPr>
            </w:pPr>
          </w:p>
        </w:tc>
      </w:tr>
      <w:tr w14:paraId="5DB903D1">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0C957E">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036917">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866A11">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14:paraId="688B7ED2">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8C670C4">
            <w:pPr>
              <w:pageBreakBefore w:val="0"/>
              <w:widowControl/>
              <w:kinsoku/>
              <w:overflowPunct/>
              <w:topLinePunct w:val="0"/>
              <w:bidi w:val="0"/>
              <w:spacing w:line="576" w:lineRule="exact"/>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00A9CB">
            <w:pPr>
              <w:pageBreakBefore w:val="0"/>
              <w:widowControl/>
              <w:kinsoku/>
              <w:overflowPunct/>
              <w:topLinePunct w:val="0"/>
              <w:bidi w:val="0"/>
              <w:spacing w:line="576" w:lineRule="exact"/>
              <w:jc w:val="center"/>
              <w:textAlignment w:val="center"/>
              <w:rPr>
                <w:rFonts w:ascii="宋体" w:hAnsi="宋体" w:cs="宋体"/>
                <w:color w:val="000000"/>
                <w:sz w:val="24"/>
              </w:rPr>
            </w:pPr>
            <w:r>
              <w:rPr>
                <w:rFonts w:ascii="宋体" w:hAnsi="宋体" w:cs="宋体"/>
                <w:kern w:val="0"/>
                <w:sz w:val="24"/>
              </w:rPr>
              <w:t>1.神仙池核心景区：厕所改扩建150平方米；生态停车场（神仙池保护站）800平方米；神仙池保护站至仙女桥人行栈道3公里；智慧旅游配套设施系统1套。神仙池景区创4A软环境建设。2.神仙池管理中心周边区域配套设施：观光车停靠站3处；木屋式售票点、商业点、吸烟区、花台式隔离带；3.神仙池游客服务中心改造3000平方米；祥云堡（噶玛涛）10千伏输电线路建设共计5公里；</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267AF6">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kern w:val="0"/>
                <w:sz w:val="24"/>
              </w:rPr>
              <w:t>工程全面</w:t>
            </w:r>
            <w:r>
              <w:rPr>
                <w:rFonts w:hint="eastAsia" w:ascii="宋体" w:hAnsi="宋体" w:cs="宋体"/>
                <w:kern w:val="0"/>
                <w:sz w:val="24"/>
                <w:lang w:val="en-US" w:eastAsia="zh-CN"/>
              </w:rPr>
              <w:t>完工</w:t>
            </w:r>
          </w:p>
        </w:tc>
      </w:tr>
      <w:tr w14:paraId="2CB69B3D">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04BF4B">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9A7ABE">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90B178">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634F5F">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2BB6DE">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527CC6">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14:paraId="2E9A48E4">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E16E99E">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7318CE">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1646A2">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eastAsia="仿宋_GB2312" w:cs="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AB8772">
            <w:pPr>
              <w:pageBreakBefore w:val="0"/>
              <w:widowControl/>
              <w:kinsoku/>
              <w:overflowPunct/>
              <w:topLinePunct w:val="0"/>
              <w:bidi w:val="0"/>
              <w:spacing w:line="576" w:lineRule="exact"/>
              <w:jc w:val="center"/>
              <w:textAlignment w:val="center"/>
              <w:rPr>
                <w:rFonts w:ascii="宋体" w:hAnsi="宋体" w:cs="宋体"/>
                <w:color w:val="000000"/>
                <w:sz w:val="24"/>
              </w:rPr>
            </w:pPr>
            <w:r>
              <w:rPr>
                <w:rFonts w:ascii="宋体" w:hAnsi="宋体" w:cs="宋体"/>
                <w:kern w:val="0"/>
                <w:sz w:val="24"/>
              </w:rPr>
              <w:t>输电线路建设</w:t>
            </w:r>
            <w:r>
              <w:rPr>
                <w:rFonts w:hint="eastAsia" w:ascii="宋体" w:hAnsi="宋体" w:cs="宋体"/>
                <w:kern w:val="0"/>
                <w:sz w:val="24"/>
              </w:rPr>
              <w:t>；</w:t>
            </w:r>
            <w:r>
              <w:rPr>
                <w:rFonts w:ascii="宋体" w:hAnsi="宋体" w:cs="宋体"/>
                <w:kern w:val="0"/>
                <w:sz w:val="24"/>
              </w:rPr>
              <w:t>神仙池保护站至神仙池管理中心栈道修建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8F3684">
            <w:pPr>
              <w:keepNext w:val="0"/>
              <w:keepLines w:val="0"/>
              <w:pageBreakBefore w:val="0"/>
              <w:kinsoku/>
              <w:wordWrap/>
              <w:overflowPunct/>
              <w:topLinePunct w:val="0"/>
              <w:autoSpaceDE/>
              <w:autoSpaceDN/>
              <w:bidi w:val="0"/>
              <w:adjustRightInd/>
              <w:snapToGrid/>
              <w:spacing w:line="420" w:lineRule="exact"/>
              <w:jc w:val="center"/>
              <w:rPr>
                <w:rFonts w:ascii="宋体" w:hAnsi="宋体" w:cs="宋体"/>
                <w:color w:val="000000"/>
                <w:sz w:val="24"/>
              </w:rPr>
            </w:pPr>
            <w:r>
              <w:rPr>
                <w:rFonts w:ascii="宋体" w:hAnsi="宋体" w:cs="宋体"/>
                <w:kern w:val="0"/>
                <w:sz w:val="24"/>
              </w:rPr>
              <w:t>输电线路建设</w:t>
            </w:r>
            <w:r>
              <w:rPr>
                <w:rFonts w:hint="eastAsia" w:ascii="宋体" w:hAnsi="宋体" w:cs="宋体"/>
                <w:kern w:val="0"/>
                <w:sz w:val="24"/>
              </w:rPr>
              <w:t>6000米；</w:t>
            </w:r>
            <w:r>
              <w:rPr>
                <w:rFonts w:ascii="宋体" w:hAnsi="宋体" w:cs="宋体"/>
                <w:kern w:val="0"/>
                <w:sz w:val="24"/>
              </w:rPr>
              <w:t>神仙池保护站至神仙池管理中心栈道修建</w:t>
            </w:r>
            <w:r>
              <w:rPr>
                <w:rFonts w:hint="eastAsia" w:ascii="宋体" w:hAnsi="宋体" w:cs="宋体"/>
                <w:kern w:val="0"/>
                <w:sz w:val="24"/>
              </w:rPr>
              <w:t>1公里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9AC954">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kern w:val="0"/>
                <w:sz w:val="24"/>
              </w:rPr>
              <w:t>工程全面</w:t>
            </w:r>
            <w:r>
              <w:rPr>
                <w:rFonts w:hint="eastAsia" w:ascii="宋体" w:hAnsi="宋体" w:cs="宋体"/>
                <w:kern w:val="0"/>
                <w:sz w:val="24"/>
                <w:lang w:val="en-US" w:eastAsia="zh-CN"/>
              </w:rPr>
              <w:t>完工</w:t>
            </w:r>
          </w:p>
        </w:tc>
      </w:tr>
      <w:tr w14:paraId="48C1C63C">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048DFC1">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7A2F3F">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8558DD">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eastAsia="仿宋_GB2312" w:cs="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B33233">
            <w:pPr>
              <w:pageBreakBefore w:val="0"/>
              <w:kinsoku/>
              <w:overflowPunct/>
              <w:topLinePunct w:val="0"/>
              <w:bidi w:val="0"/>
              <w:spacing w:line="576" w:lineRule="exact"/>
              <w:jc w:val="center"/>
              <w:rPr>
                <w:rFonts w:ascii="宋体" w:hAnsi="宋体" w:cs="宋体"/>
                <w:color w:val="000000"/>
                <w:sz w:val="24"/>
              </w:rPr>
            </w:pPr>
            <w:r>
              <w:rPr>
                <w:rFonts w:ascii="宋体" w:hAnsi="宋体" w:cs="宋体"/>
                <w:kern w:val="0"/>
                <w:sz w:val="24"/>
              </w:rPr>
              <w:t>输电线路</w:t>
            </w:r>
            <w:r>
              <w:rPr>
                <w:rFonts w:hint="eastAsia" w:ascii="宋体" w:hAnsi="宋体" w:cs="宋体"/>
                <w:kern w:val="0"/>
                <w:sz w:val="24"/>
              </w:rPr>
              <w:t>及栈道修建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E3C4B8">
            <w:pPr>
              <w:keepNext w:val="0"/>
              <w:keepLines w:val="0"/>
              <w:pageBreakBefore w:val="0"/>
              <w:kinsoku/>
              <w:wordWrap/>
              <w:overflowPunct/>
              <w:topLinePunct w:val="0"/>
              <w:autoSpaceDE/>
              <w:autoSpaceDN/>
              <w:bidi w:val="0"/>
              <w:adjustRightInd/>
              <w:snapToGrid/>
              <w:spacing w:line="420" w:lineRule="exact"/>
              <w:jc w:val="center"/>
              <w:rPr>
                <w:rFonts w:ascii="宋体" w:hAnsi="宋体" w:eastAsia="仿宋_GB2312" w:cs="宋体"/>
                <w:color w:val="000000"/>
                <w:sz w:val="24"/>
              </w:rPr>
            </w:pPr>
            <w:r>
              <w:rPr>
                <w:rFonts w:hint="eastAsia" w:eastAsia="仿宋_GB2312" w:cs="仿宋_GB2312"/>
                <w:sz w:val="24"/>
              </w:rPr>
              <w:t>2018.</w:t>
            </w:r>
            <w:r>
              <w:rPr>
                <w:rFonts w:hint="eastAsia" w:eastAsia="仿宋_GB2312"/>
                <w:sz w:val="24"/>
              </w:rPr>
              <w:t>2</w:t>
            </w:r>
            <w:r>
              <w:rPr>
                <w:rFonts w:hint="eastAsia" w:eastAsia="仿宋_GB2312" w:cs="仿宋_GB2312"/>
                <w:sz w:val="24"/>
              </w:rPr>
              <w:t>-</w:t>
            </w:r>
            <w:r>
              <w:rPr>
                <w:rFonts w:eastAsia="仿宋_GB2312"/>
                <w:sz w:val="24"/>
              </w:rPr>
              <w:t xml:space="preserve"> </w:t>
            </w:r>
            <w:r>
              <w:rPr>
                <w:rFonts w:hint="eastAsia" w:eastAsia="仿宋_GB2312"/>
                <w:sz w:val="24"/>
              </w:rPr>
              <w:t>2018.</w:t>
            </w:r>
            <w:r>
              <w:rPr>
                <w:rFonts w:eastAsia="仿宋_GB2312"/>
                <w:sz w:val="24"/>
              </w:rPr>
              <w:t xml:space="preserve"> </w:t>
            </w:r>
            <w:r>
              <w:rPr>
                <w:rFonts w:hint="eastAsia" w:eastAsia="仿宋_GB2312"/>
                <w:sz w:val="24"/>
              </w:rPr>
              <w:t>12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5B1DBD">
            <w:pPr>
              <w:pageBreakBefore w:val="0"/>
              <w:kinsoku/>
              <w:overflowPunct/>
              <w:topLinePunct w:val="0"/>
              <w:bidi w:val="0"/>
              <w:spacing w:line="576" w:lineRule="exact"/>
              <w:jc w:val="center"/>
              <w:rPr>
                <w:rFonts w:ascii="宋体" w:hAnsi="宋体" w:cs="宋体"/>
                <w:color w:val="000000"/>
                <w:sz w:val="24"/>
              </w:rPr>
            </w:pPr>
            <w:r>
              <w:rPr>
                <w:rFonts w:hint="eastAsia" w:ascii="宋体" w:hAnsi="宋体" w:cs="宋体"/>
                <w:color w:val="000000"/>
                <w:sz w:val="24"/>
              </w:rPr>
              <w:t>已按要求完成</w:t>
            </w:r>
          </w:p>
        </w:tc>
      </w:tr>
      <w:tr w14:paraId="3DE5887F">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69BAEAE">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CCF946">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FE4EC0">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DDE698">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85F43D">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23612E">
            <w:pPr>
              <w:pageBreakBefore w:val="0"/>
              <w:widowControl/>
              <w:kinsoku/>
              <w:overflowPunct/>
              <w:topLinePunct w:val="0"/>
              <w:bidi w:val="0"/>
              <w:spacing w:line="576" w:lineRule="exact"/>
              <w:jc w:val="center"/>
              <w:textAlignment w:val="center"/>
              <w:rPr>
                <w:rFonts w:ascii="宋体" w:hAnsi="宋体" w:cs="宋体"/>
                <w:color w:val="000000"/>
                <w:sz w:val="24"/>
              </w:rPr>
            </w:pPr>
          </w:p>
        </w:tc>
      </w:tr>
      <w:tr w14:paraId="410798C9">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AF52BDD">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E50DA0">
            <w:pPr>
              <w:pageBreakBefore w:val="0"/>
              <w:widowControl/>
              <w:kinsoku/>
              <w:overflowPunct/>
              <w:topLinePunct w:val="0"/>
              <w:bidi w:val="0"/>
              <w:spacing w:line="576" w:lineRule="exact"/>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A346E6">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66CC35">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B2658A">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9A1677">
            <w:pPr>
              <w:pageBreakBefore w:val="0"/>
              <w:widowControl/>
              <w:kinsoku/>
              <w:overflowPunct/>
              <w:topLinePunct w:val="0"/>
              <w:bidi w:val="0"/>
              <w:spacing w:line="576" w:lineRule="exact"/>
              <w:jc w:val="center"/>
              <w:textAlignment w:val="center"/>
              <w:rPr>
                <w:rFonts w:ascii="宋体" w:hAnsi="宋体" w:cs="宋体"/>
                <w:color w:val="000000"/>
                <w:sz w:val="24"/>
              </w:rPr>
            </w:pPr>
          </w:p>
        </w:tc>
      </w:tr>
      <w:tr w14:paraId="124F59EA">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3F5B3A2">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DAD639">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564774">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13E29B">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4854A2">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FC17C9">
            <w:pPr>
              <w:pageBreakBefore w:val="0"/>
              <w:widowControl/>
              <w:kinsoku/>
              <w:overflowPunct/>
              <w:topLinePunct w:val="0"/>
              <w:bidi w:val="0"/>
              <w:spacing w:line="576" w:lineRule="exact"/>
              <w:jc w:val="center"/>
              <w:textAlignment w:val="center"/>
              <w:rPr>
                <w:rFonts w:ascii="宋体" w:hAnsi="宋体" w:cs="宋体"/>
                <w:color w:val="000000"/>
                <w:sz w:val="24"/>
              </w:rPr>
            </w:pPr>
          </w:p>
        </w:tc>
      </w:tr>
      <w:tr w14:paraId="0D56DBCE">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DC53CD5">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753D42">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3B6B43">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D861A0">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08D42A">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E66116">
            <w:pPr>
              <w:pageBreakBefore w:val="0"/>
              <w:widowControl/>
              <w:kinsoku/>
              <w:overflowPunct/>
              <w:topLinePunct w:val="0"/>
              <w:bidi w:val="0"/>
              <w:spacing w:line="576" w:lineRule="exact"/>
              <w:jc w:val="center"/>
              <w:textAlignment w:val="center"/>
              <w:rPr>
                <w:rFonts w:ascii="宋体" w:hAnsi="宋体" w:cs="宋体"/>
                <w:color w:val="000000"/>
                <w:sz w:val="24"/>
              </w:rPr>
            </w:pPr>
          </w:p>
        </w:tc>
      </w:tr>
      <w:tr w14:paraId="1F215DBC">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359CA02">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BDD4AF">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76A559">
            <w:pPr>
              <w:pageBreakBefore w:val="0"/>
              <w:kinsoku/>
              <w:overflowPunct/>
              <w:topLinePunct w:val="0"/>
              <w:bidi w:val="0"/>
              <w:spacing w:line="576" w:lineRule="exact"/>
              <w:jc w:val="center"/>
              <w:rPr>
                <w:rFonts w:eastAsia="仿宋_GB2312"/>
                <w:sz w:val="24"/>
              </w:rPr>
            </w:pPr>
            <w:r>
              <w:rPr>
                <w:rFonts w:hint="eastAsia" w:eastAsia="仿宋_GB2312" w:cs="仿宋_GB2312"/>
                <w:sz w:val="24"/>
              </w:rPr>
              <w:t>经济效益</w:t>
            </w:r>
          </w:p>
          <w:p w14:paraId="714D07C6">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8CCD76">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0896B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eastAsia="仿宋_GB2312"/>
                <w:sz w:val="24"/>
              </w:rPr>
            </w:pPr>
            <w:r>
              <w:rPr>
                <w:rFonts w:hint="eastAsia" w:eastAsia="仿宋_GB2312"/>
                <w:sz w:val="24"/>
              </w:rPr>
              <w:t>提高九寨沟县生态旅游竞争力、促进经济社会可持续发展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326C9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eastAsia="仿宋_GB2312"/>
                <w:sz w:val="24"/>
              </w:rPr>
            </w:pPr>
            <w:r>
              <w:rPr>
                <w:rFonts w:hint="eastAsia" w:eastAsia="仿宋_GB2312"/>
                <w:sz w:val="24"/>
              </w:rPr>
              <w:t>有效保障生态建设与保护，维护生态安全</w:t>
            </w:r>
          </w:p>
        </w:tc>
      </w:tr>
      <w:tr w14:paraId="231FF242">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CD9B640">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15928C">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608E1C">
            <w:pPr>
              <w:pageBreakBefore w:val="0"/>
              <w:kinsoku/>
              <w:overflowPunct/>
              <w:topLinePunct w:val="0"/>
              <w:bidi w:val="0"/>
              <w:spacing w:line="576" w:lineRule="exact"/>
              <w:jc w:val="center"/>
              <w:rPr>
                <w:rFonts w:eastAsia="仿宋_GB2312"/>
                <w:sz w:val="24"/>
              </w:rPr>
            </w:pPr>
            <w:r>
              <w:rPr>
                <w:rFonts w:hint="eastAsia" w:eastAsia="仿宋_GB2312" w:cs="仿宋_GB2312"/>
                <w:sz w:val="24"/>
              </w:rPr>
              <w:t>社会效益</w:t>
            </w:r>
          </w:p>
          <w:p w14:paraId="296120E8">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E66847">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BAA5B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eastAsia="仿宋_GB2312"/>
                <w:sz w:val="24"/>
              </w:rPr>
            </w:pPr>
            <w:r>
              <w:rPr>
                <w:rFonts w:hint="eastAsia" w:eastAsia="仿宋_GB2312"/>
                <w:sz w:val="24"/>
              </w:rPr>
              <w:t>保障人民群众生命健康和维护和谐稳定大局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94813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eastAsia="仿宋_GB2312"/>
                <w:sz w:val="24"/>
              </w:rPr>
            </w:pPr>
          </w:p>
        </w:tc>
      </w:tr>
      <w:tr w14:paraId="5E591A01">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1B1CE08">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F0B239">
            <w:pPr>
              <w:pageBreakBefore w:val="0"/>
              <w:widowControl/>
              <w:kinsoku/>
              <w:overflowPunct/>
              <w:topLinePunct w:val="0"/>
              <w:bidi w:val="0"/>
              <w:spacing w:line="576" w:lineRule="exact"/>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6121E1">
            <w:pPr>
              <w:pageBreakBefore w:val="0"/>
              <w:kinsoku/>
              <w:overflowPunct/>
              <w:topLinePunct w:val="0"/>
              <w:bidi w:val="0"/>
              <w:spacing w:line="576" w:lineRule="exact"/>
              <w:jc w:val="center"/>
              <w:rPr>
                <w:rFonts w:eastAsia="仿宋_GB2312"/>
                <w:sz w:val="24"/>
              </w:rPr>
            </w:pPr>
            <w:r>
              <w:rPr>
                <w:rFonts w:hint="eastAsia" w:eastAsia="仿宋_GB2312" w:cs="仿宋_GB2312"/>
                <w:sz w:val="24"/>
              </w:rPr>
              <w:t>生态效益</w:t>
            </w:r>
          </w:p>
          <w:p w14:paraId="536AA285">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5E8AF4">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1397A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eastAsia="仿宋_GB2312"/>
                <w:sz w:val="24"/>
              </w:rPr>
            </w:pPr>
            <w:r>
              <w:rPr>
                <w:rFonts w:hint="eastAsia" w:eastAsia="仿宋_GB2312"/>
                <w:sz w:val="24"/>
              </w:rPr>
              <w:t>提高项目区森林防火控制能力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3D5AA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eastAsia="仿宋_GB2312"/>
                <w:sz w:val="24"/>
              </w:rPr>
            </w:pPr>
          </w:p>
        </w:tc>
      </w:tr>
      <w:tr w14:paraId="22083D83">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6D2073B">
            <w:pPr>
              <w:pageBreakBefore w:val="0"/>
              <w:widowControl/>
              <w:kinsoku/>
              <w:overflowPunct/>
              <w:topLinePunct w:val="0"/>
              <w:bidi w:val="0"/>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CAA5FF">
            <w:pPr>
              <w:pageBreakBefore w:val="0"/>
              <w:widowControl/>
              <w:kinsoku/>
              <w:overflowPunct/>
              <w:topLinePunct w:val="0"/>
              <w:bidi w:val="0"/>
              <w:spacing w:line="576" w:lineRule="exact"/>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DBB79C">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460549">
            <w:pPr>
              <w:pageBreakBefore w:val="0"/>
              <w:widowControl/>
              <w:kinsoku/>
              <w:overflowPunct/>
              <w:topLinePunct w:val="0"/>
              <w:bidi w:val="0"/>
              <w:spacing w:line="576"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D6CFE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eastAsia="仿宋_GB2312"/>
                <w:sz w:val="24"/>
              </w:rPr>
            </w:pPr>
            <w:r>
              <w:rPr>
                <w:rFonts w:hint="eastAsia" w:eastAsia="仿宋_GB2312"/>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B75BC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eastAsia="仿宋_GB2312"/>
                <w:sz w:val="24"/>
              </w:rPr>
            </w:pPr>
            <w:r>
              <w:rPr>
                <w:rFonts w:hint="eastAsia" w:eastAsia="仿宋_GB2312"/>
                <w:sz w:val="24"/>
              </w:rPr>
              <w:t>满意</w:t>
            </w:r>
          </w:p>
        </w:tc>
      </w:tr>
    </w:tbl>
    <w:p w14:paraId="23020A3B">
      <w:pPr>
        <w:pageBreakBefore w:val="0"/>
        <w:kinsoku/>
        <w:overflowPunct/>
        <w:topLinePunct w:val="0"/>
        <w:bidi w:val="0"/>
        <w:spacing w:line="576" w:lineRule="exact"/>
        <w:rPr>
          <w:rFonts w:ascii="仿宋_GB2312" w:hAnsi="仿宋_GB2312" w:eastAsia="仿宋_GB2312" w:cs="仿宋_GB2312"/>
          <w:sz w:val="32"/>
          <w:szCs w:val="32"/>
        </w:rPr>
      </w:pPr>
    </w:p>
    <w:p w14:paraId="5FB721CD">
      <w:pPr>
        <w:pageBreakBefore w:val="0"/>
        <w:numPr>
          <w:ilvl w:val="0"/>
          <w:numId w:val="4"/>
        </w:numPr>
        <w:kinsoku/>
        <w:overflowPunct/>
        <w:topLinePunct w:val="0"/>
        <w:bidi w:val="0"/>
        <w:spacing w:line="576"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14:paraId="0E047A2E">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2020年</w:t>
      </w:r>
      <w:r>
        <w:rPr>
          <w:rFonts w:hint="eastAsia" w:ascii="仿宋_GB2312" w:hAnsi="仿宋_GB2312" w:eastAsia="仿宋_GB2312" w:cs="仿宋_GB2312"/>
          <w:sz w:val="32"/>
          <w:szCs w:val="32"/>
        </w:rPr>
        <w:t>部门整体支出绩效评价情况开展自评，《九寨国家森林公园管理局</w:t>
      </w:r>
      <w:r>
        <w:rPr>
          <w:rFonts w:hint="eastAsia" w:ascii="仿宋_GB2312" w:hAnsi="仿宋_GB2312" w:eastAsia="仿宋_GB2312" w:cs="仿宋_GB2312"/>
          <w:sz w:val="32"/>
          <w:szCs w:val="32"/>
          <w:lang w:eastAsia="zh-CN"/>
        </w:rPr>
        <w:t>2020年</w:t>
      </w:r>
      <w:r>
        <w:rPr>
          <w:rFonts w:hint="eastAsia" w:ascii="仿宋_GB2312" w:hAnsi="仿宋_GB2312" w:eastAsia="仿宋_GB2312" w:cs="仿宋_GB2312"/>
          <w:sz w:val="32"/>
          <w:szCs w:val="32"/>
        </w:rPr>
        <w:t>部门整体支出绩效评价报告》见附件。</w:t>
      </w:r>
    </w:p>
    <w:p w14:paraId="1EF76BD5">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w:t>
      </w:r>
      <w:r>
        <w:rPr>
          <w:rFonts w:hint="eastAsia" w:eastAsia="仿宋_GB2312"/>
          <w:sz w:val="32"/>
          <w:szCs w:val="32"/>
        </w:rPr>
        <w:t>九寨国家森林公园林区道路恢复重建</w:t>
      </w:r>
      <w:r>
        <w:rPr>
          <w:rFonts w:hint="eastAsia" w:ascii="仿宋_GB2312" w:hAnsi="仿宋_GB2312" w:eastAsia="仿宋_GB2312" w:cs="仿宋_GB2312"/>
          <w:sz w:val="32"/>
          <w:szCs w:val="32"/>
        </w:rPr>
        <w:t>项目、</w:t>
      </w:r>
      <w:r>
        <w:rPr>
          <w:rFonts w:hint="eastAsia" w:eastAsia="仿宋_GB2312"/>
          <w:sz w:val="32"/>
          <w:szCs w:val="32"/>
        </w:rPr>
        <w:t>九寨国家森林公园神仙池管理中心供排水系统恢复重建</w:t>
      </w:r>
      <w:r>
        <w:rPr>
          <w:rFonts w:hint="eastAsia" w:ascii="仿宋_GB2312" w:hAnsi="仿宋_GB2312" w:eastAsia="仿宋_GB2312" w:cs="仿宋_GB2312"/>
          <w:sz w:val="32"/>
          <w:szCs w:val="32"/>
        </w:rPr>
        <w:t>项目、</w:t>
      </w:r>
      <w:r>
        <w:rPr>
          <w:rFonts w:hint="eastAsia" w:eastAsia="仿宋_GB2312"/>
          <w:sz w:val="32"/>
          <w:szCs w:val="32"/>
        </w:rPr>
        <w:t>九寨沟县神仙池生态旅游区建设项目、</w:t>
      </w:r>
      <w:r>
        <w:rPr>
          <w:rFonts w:hint="eastAsia" w:ascii="仿宋_GB2312" w:hAnsi="仿宋_GB2312" w:eastAsia="仿宋_GB2312" w:cs="仿宋_GB2312"/>
          <w:sz w:val="32"/>
          <w:szCs w:val="32"/>
        </w:rPr>
        <w:t>九寨国家森林公园保护站业务用房及防火基础设施恢复重建项目开展了绩效评价，《项目</w:t>
      </w:r>
      <w:r>
        <w:rPr>
          <w:rFonts w:hint="eastAsia" w:ascii="仿宋_GB2312" w:hAnsi="仿宋_GB2312" w:eastAsia="仿宋_GB2312" w:cs="仿宋_GB2312"/>
          <w:sz w:val="32"/>
          <w:szCs w:val="32"/>
          <w:lang w:eastAsia="zh-CN"/>
        </w:rPr>
        <w:t>2020年</w:t>
      </w:r>
      <w:r>
        <w:rPr>
          <w:rFonts w:hint="eastAsia" w:ascii="仿宋_GB2312" w:hAnsi="仿宋_GB2312" w:eastAsia="仿宋_GB2312" w:cs="仿宋_GB2312"/>
          <w:sz w:val="32"/>
          <w:szCs w:val="32"/>
        </w:rPr>
        <w:t>绩效评价报告》见附件。（非涉密部门均需公开部门整体支出评价报告，部门自行组织的绩效评价情况根据部门实际公开）</w:t>
      </w:r>
    </w:p>
    <w:p w14:paraId="17CB6D78">
      <w:pPr>
        <w:pageBreakBefore w:val="0"/>
        <w:kinsoku/>
        <w:overflowPunct/>
        <w:topLinePunct w:val="0"/>
        <w:bidi w:val="0"/>
        <w:spacing w:line="576" w:lineRule="exact"/>
        <w:jc w:val="center"/>
        <w:rPr>
          <w:rFonts w:ascii="方正小标宋简体" w:hAnsi="方正小标宋简体" w:eastAsia="方正小标宋简体" w:cs="方正小标宋简体"/>
          <w:sz w:val="44"/>
          <w:szCs w:val="44"/>
        </w:rPr>
      </w:pPr>
    </w:p>
    <w:p w14:paraId="7F22EAAC">
      <w:pPr>
        <w:pageBreakBefore w:val="0"/>
        <w:kinsoku/>
        <w:overflowPunct/>
        <w:topLinePunct w:val="0"/>
        <w:bidi w:val="0"/>
        <w:spacing w:line="576" w:lineRule="exact"/>
        <w:ind w:firstLine="800" w:firstLineChars="250"/>
        <w:outlineLvl w:val="1"/>
        <w:rPr>
          <w:rStyle w:val="27"/>
          <w:rFonts w:ascii="黑体" w:hAnsi="黑体" w:eastAsia="黑体"/>
        </w:rPr>
      </w:pPr>
      <w:bookmarkStart w:id="48" w:name="_Toc15396612"/>
      <w:bookmarkStart w:id="49" w:name="_Toc15377221"/>
      <w:r>
        <w:rPr>
          <w:rFonts w:hint="eastAsia" w:ascii="黑体" w:hAnsi="黑体" w:eastAsia="黑体"/>
          <w:color w:val="000000"/>
          <w:sz w:val="32"/>
          <w:szCs w:val="32"/>
        </w:rPr>
        <w:t>十</w:t>
      </w:r>
      <w:r>
        <w:rPr>
          <w:rStyle w:val="27"/>
          <w:rFonts w:hint="eastAsia" w:ascii="黑体" w:hAnsi="黑体" w:eastAsia="黑体"/>
        </w:rPr>
        <w:t>一、</w:t>
      </w:r>
      <w:r>
        <w:rPr>
          <w:rStyle w:val="27"/>
          <w:rFonts w:hint="eastAsia" w:ascii="黑体" w:hAnsi="黑体" w:eastAsia="黑体"/>
          <w:b w:val="0"/>
        </w:rPr>
        <w:t>其他重要事项的情况说明</w:t>
      </w:r>
      <w:bookmarkEnd w:id="48"/>
      <w:bookmarkEnd w:id="49"/>
    </w:p>
    <w:p w14:paraId="765FB227">
      <w:pPr>
        <w:pageBreakBefore w:val="0"/>
        <w:kinsoku/>
        <w:overflowPunct/>
        <w:topLinePunct w:val="0"/>
        <w:bidi w:val="0"/>
        <w:spacing w:line="576" w:lineRule="exact"/>
        <w:ind w:firstLine="643" w:firstLineChars="200"/>
        <w:outlineLvl w:val="2"/>
        <w:rPr>
          <w:rFonts w:ascii="仿宋" w:hAnsi="仿宋" w:eastAsia="仿宋"/>
          <w:color w:val="000000"/>
          <w:sz w:val="32"/>
          <w:szCs w:val="32"/>
        </w:rPr>
      </w:pPr>
      <w:bookmarkStart w:id="50" w:name="_Toc15377222"/>
      <w:r>
        <w:rPr>
          <w:rFonts w:hint="eastAsia" w:ascii="仿宋" w:hAnsi="仿宋" w:eastAsia="仿宋"/>
          <w:b/>
          <w:color w:val="000000"/>
          <w:sz w:val="32"/>
          <w:szCs w:val="32"/>
        </w:rPr>
        <w:t>（一）机关运行经费支出情况</w:t>
      </w:r>
      <w:bookmarkEnd w:id="50"/>
    </w:p>
    <w:p w14:paraId="774B2BEB">
      <w:pPr>
        <w:pageBreakBefore w:val="0"/>
        <w:kinsoku/>
        <w:overflowPunct/>
        <w:topLinePunct w:val="0"/>
        <w:bidi w:val="0"/>
        <w:spacing w:line="576"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sz w:val="32"/>
          <w:szCs w:val="32"/>
          <w:lang w:eastAsia="zh-CN"/>
        </w:rPr>
        <w:t>2020年</w:t>
      </w:r>
      <w:r>
        <w:rPr>
          <w:rFonts w:hint="eastAsia" w:ascii="仿宋_GB2312" w:eastAsia="仿宋_GB2312"/>
          <w:color w:val="000000"/>
          <w:sz w:val="32"/>
          <w:szCs w:val="32"/>
        </w:rPr>
        <w:t>，九寨国家森林公园机关运行经费支出0万元，比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（或与</w:t>
      </w:r>
      <w:r>
        <w:rPr>
          <w:rFonts w:hint="eastAsia" w:ascii="仿宋_GB2312" w:eastAsia="仿宋_GB2312"/>
          <w:color w:val="000000"/>
          <w:sz w:val="32"/>
          <w:szCs w:val="32"/>
          <w:lang w:eastAsia="zh-CN"/>
        </w:rPr>
        <w:t>2020年</w:t>
      </w:r>
      <w:r>
        <w:rPr>
          <w:rFonts w:hint="eastAsia" w:ascii="仿宋_GB2312" w:eastAsia="仿宋_GB2312"/>
          <w:color w:val="000000"/>
          <w:sz w:val="32"/>
          <w:szCs w:val="32"/>
        </w:rPr>
        <w:t>决算数持平）。</w:t>
      </w:r>
    </w:p>
    <w:p w14:paraId="068B7537">
      <w:pPr>
        <w:pageBreakBefore w:val="0"/>
        <w:kinsoku/>
        <w:overflowPunct/>
        <w:topLinePunct w:val="0"/>
        <w:bidi w:val="0"/>
        <w:spacing w:line="576" w:lineRule="exact"/>
        <w:ind w:firstLine="640"/>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CS05</w:t>
      </w:r>
      <w:r>
        <w:rPr>
          <w:rFonts w:hint="eastAsia" w:ascii="仿宋" w:hAnsi="仿宋" w:eastAsia="仿宋"/>
          <w:b/>
          <w:color w:val="000000"/>
          <w:sz w:val="32"/>
          <w:szCs w:val="32"/>
        </w:rPr>
        <w:t>表）</w:t>
      </w:r>
    </w:p>
    <w:p w14:paraId="73EE4EBB">
      <w:pPr>
        <w:pageBreakBefore w:val="0"/>
        <w:kinsoku/>
        <w:overflowPunct/>
        <w:topLinePunct w:val="0"/>
        <w:autoSpaceDE w:val="0"/>
        <w:autoSpaceDN w:val="0"/>
        <w:bidi w:val="0"/>
        <w:adjustRightInd w:val="0"/>
        <w:spacing w:line="576" w:lineRule="exact"/>
        <w:ind w:firstLine="643" w:firstLineChars="200"/>
        <w:jc w:val="left"/>
        <w:outlineLvl w:val="2"/>
        <w:rPr>
          <w:rFonts w:ascii="仿宋" w:hAnsi="仿宋" w:eastAsia="仿宋"/>
          <w:b/>
          <w:color w:val="000000"/>
          <w:sz w:val="32"/>
          <w:szCs w:val="32"/>
        </w:rPr>
      </w:pPr>
      <w:bookmarkStart w:id="51" w:name="_Toc15377223"/>
      <w:r>
        <w:rPr>
          <w:rFonts w:hint="eastAsia" w:ascii="仿宋" w:hAnsi="仿宋" w:eastAsia="仿宋"/>
          <w:b/>
          <w:color w:val="000000"/>
          <w:sz w:val="32"/>
          <w:szCs w:val="32"/>
        </w:rPr>
        <w:t>（二）政府采购支出情况</w:t>
      </w:r>
      <w:bookmarkEnd w:id="51"/>
    </w:p>
    <w:p w14:paraId="3C429A1A">
      <w:pPr>
        <w:pageBreakBefore w:val="0"/>
        <w:kinsoku/>
        <w:overflowPunct/>
        <w:topLinePunct w:val="0"/>
        <w:bidi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2020年</w:t>
      </w:r>
      <w:r>
        <w:rPr>
          <w:rFonts w:hint="eastAsia" w:ascii="仿宋_GB2312" w:eastAsia="仿宋_GB2312"/>
          <w:color w:val="000000"/>
          <w:sz w:val="32"/>
          <w:szCs w:val="32"/>
        </w:rPr>
        <w:t>，政府采购支出总额0万元，其中：政府采购货物支出0万元、政府采购工程支出0万元、政府采购服务支出0万元。授予中小企业合同金额0万元，占政府采购支出总额的0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14:paraId="61A31D67">
      <w:pPr>
        <w:pageBreakBefore w:val="0"/>
        <w:kinsoku/>
        <w:overflowPunct/>
        <w:topLinePunct w:val="0"/>
        <w:autoSpaceDE w:val="0"/>
        <w:autoSpaceDN w:val="0"/>
        <w:bidi w:val="0"/>
        <w:adjustRightInd w:val="0"/>
        <w:spacing w:line="576"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CS06</w:t>
      </w:r>
      <w:r>
        <w:rPr>
          <w:rFonts w:hint="eastAsia" w:ascii="仿宋" w:hAnsi="仿宋" w:eastAsia="仿宋"/>
          <w:b/>
          <w:color w:val="000000"/>
          <w:sz w:val="32"/>
          <w:szCs w:val="32"/>
        </w:rPr>
        <w:t>表）</w:t>
      </w:r>
    </w:p>
    <w:p w14:paraId="71D0B6AC">
      <w:pPr>
        <w:pageBreakBefore w:val="0"/>
        <w:kinsoku/>
        <w:overflowPunct/>
        <w:topLinePunct w:val="0"/>
        <w:autoSpaceDE w:val="0"/>
        <w:autoSpaceDN w:val="0"/>
        <w:bidi w:val="0"/>
        <w:adjustRightInd w:val="0"/>
        <w:spacing w:line="576" w:lineRule="exact"/>
        <w:ind w:firstLine="643" w:firstLineChars="200"/>
        <w:jc w:val="left"/>
        <w:outlineLvl w:val="2"/>
        <w:rPr>
          <w:rFonts w:ascii="仿宋" w:hAnsi="仿宋" w:eastAsia="仿宋"/>
          <w:b/>
          <w:color w:val="000000"/>
          <w:sz w:val="32"/>
          <w:szCs w:val="32"/>
        </w:rPr>
      </w:pPr>
      <w:bookmarkStart w:id="52" w:name="_Toc15377224"/>
      <w:r>
        <w:rPr>
          <w:rFonts w:hint="eastAsia" w:ascii="仿宋" w:hAnsi="仿宋" w:eastAsia="仿宋"/>
          <w:b/>
          <w:color w:val="000000"/>
          <w:sz w:val="32"/>
          <w:szCs w:val="32"/>
        </w:rPr>
        <w:t>（三）国有资产占有使用情况</w:t>
      </w:r>
      <w:bookmarkEnd w:id="52"/>
    </w:p>
    <w:p w14:paraId="3238AFA4">
      <w:pPr>
        <w:pageBreakBefore w:val="0"/>
        <w:kinsoku/>
        <w:overflowPunct/>
        <w:topLinePunct w:val="0"/>
        <w:autoSpaceDE w:val="0"/>
        <w:autoSpaceDN w:val="0"/>
        <w:bidi w:val="0"/>
        <w:adjustRightInd w:val="0"/>
        <w:spacing w:line="576"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日，共有车辆3辆，其中：部级领导干部用车0辆、一般公务用车3辆、一般执法执勤用车0辆、特种专业技术用车0辆、其他用车0辆，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14:paraId="5E87D1A8">
      <w:pPr>
        <w:pageBreakBefore w:val="0"/>
        <w:kinsoku/>
        <w:overflowPunct/>
        <w:topLinePunct w:val="0"/>
        <w:autoSpaceDE w:val="0"/>
        <w:autoSpaceDN w:val="0"/>
        <w:bidi w:val="0"/>
        <w:adjustRightInd w:val="0"/>
        <w:spacing w:line="576"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CS05</w:t>
      </w:r>
      <w:r>
        <w:rPr>
          <w:rFonts w:hint="eastAsia" w:ascii="仿宋" w:hAnsi="仿宋" w:eastAsia="仿宋"/>
          <w:b/>
          <w:color w:val="000000"/>
          <w:sz w:val="32"/>
          <w:szCs w:val="32"/>
        </w:rPr>
        <w:t>表，按部门决算报表填报数据罗列车辆情况。）</w:t>
      </w:r>
    </w:p>
    <w:p w14:paraId="28F0507B">
      <w:pPr>
        <w:pageBreakBefore w:val="0"/>
        <w:kinsoku/>
        <w:overflowPunct/>
        <w:topLinePunct w:val="0"/>
        <w:bidi w:val="0"/>
        <w:spacing w:line="576" w:lineRule="exact"/>
        <w:ind w:firstLine="643" w:firstLineChars="200"/>
        <w:rPr>
          <w:rFonts w:ascii="仿宋_GB2312" w:eastAsia="仿宋_GB2312"/>
          <w:b/>
          <w:color w:val="000000"/>
          <w:sz w:val="32"/>
          <w:szCs w:val="32"/>
        </w:rPr>
      </w:pPr>
    </w:p>
    <w:p w14:paraId="4F20FCD7">
      <w:pPr>
        <w:pageBreakBefore w:val="0"/>
        <w:widowControl/>
        <w:kinsoku/>
        <w:overflowPunct/>
        <w:topLinePunct w:val="0"/>
        <w:bidi w:val="0"/>
        <w:spacing w:line="576" w:lineRule="exact"/>
        <w:jc w:val="left"/>
        <w:rPr>
          <w:rFonts w:ascii="仿宋_GB2312" w:eastAsia="仿宋_GB2312"/>
          <w:b/>
          <w:color w:val="000000"/>
          <w:sz w:val="32"/>
          <w:szCs w:val="32"/>
        </w:rPr>
      </w:pPr>
      <w:r>
        <w:rPr>
          <w:rFonts w:ascii="仿宋_GB2312" w:eastAsia="仿宋_GB2312"/>
          <w:b/>
          <w:color w:val="000000"/>
          <w:sz w:val="32"/>
          <w:szCs w:val="32"/>
        </w:rPr>
        <w:br w:type="page"/>
      </w:r>
    </w:p>
    <w:p w14:paraId="3AF62FCF">
      <w:pPr>
        <w:pageBreakBefore w:val="0"/>
        <w:numPr>
          <w:ilvl w:val="0"/>
          <w:numId w:val="7"/>
        </w:numPr>
        <w:kinsoku/>
        <w:overflowPunct/>
        <w:topLinePunct w:val="0"/>
        <w:bidi w:val="0"/>
        <w:spacing w:line="576" w:lineRule="exact"/>
        <w:ind w:firstLine="663" w:firstLineChars="150"/>
        <w:jc w:val="center"/>
        <w:outlineLvl w:val="0"/>
        <w:rPr>
          <w:rStyle w:val="26"/>
          <w:rFonts w:ascii="黑体" w:hAnsi="黑体" w:eastAsia="黑体"/>
          <w:b w:val="0"/>
        </w:rPr>
      </w:pPr>
      <w:bookmarkStart w:id="53" w:name="_Toc15377225"/>
      <w:bookmarkStart w:id="54" w:name="_Toc15396613"/>
      <w:r>
        <w:rPr>
          <w:rFonts w:hint="eastAsia" w:ascii="黑体" w:hAnsi="黑体" w:eastAsia="黑体"/>
          <w:b/>
          <w:color w:val="000000"/>
          <w:sz w:val="44"/>
          <w:szCs w:val="44"/>
        </w:rPr>
        <w:t>名</w:t>
      </w:r>
      <w:r>
        <w:rPr>
          <w:rStyle w:val="26"/>
          <w:rFonts w:hint="eastAsia" w:ascii="黑体" w:hAnsi="黑体" w:eastAsia="黑体"/>
          <w:b w:val="0"/>
        </w:rPr>
        <w:t>词解释</w:t>
      </w:r>
      <w:bookmarkEnd w:id="53"/>
      <w:bookmarkEnd w:id="54"/>
    </w:p>
    <w:p w14:paraId="2549F058">
      <w:pPr>
        <w:pageBreakBefore w:val="0"/>
        <w:kinsoku/>
        <w:overflowPunct/>
        <w:topLinePunct w:val="0"/>
        <w:bidi w:val="0"/>
        <w:spacing w:line="576" w:lineRule="exact"/>
        <w:jc w:val="left"/>
        <w:rPr>
          <w:rFonts w:ascii="宋体"/>
          <w:b/>
          <w:color w:val="000000"/>
          <w:sz w:val="44"/>
          <w:szCs w:val="44"/>
        </w:rPr>
      </w:pPr>
    </w:p>
    <w:p w14:paraId="6A5A95A8">
      <w:pPr>
        <w:pStyle w:val="24"/>
        <w:pageBreakBefore w:val="0"/>
        <w:kinsoku/>
        <w:overflowPunct/>
        <w:topLinePunct w:val="0"/>
        <w:bidi w:val="0"/>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58B2D40C">
      <w:pPr>
        <w:pStyle w:val="24"/>
        <w:pageBreakBefore w:val="0"/>
        <w:kinsoku/>
        <w:overflowPunct/>
        <w:topLinePunct w:val="0"/>
        <w:bidi w:val="0"/>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14:paraId="665369DD">
      <w:pPr>
        <w:pStyle w:val="24"/>
        <w:pageBreakBefore w:val="0"/>
        <w:kinsoku/>
        <w:overflowPunct/>
        <w:topLinePunct w:val="0"/>
        <w:bidi w:val="0"/>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14:paraId="759B13DA">
      <w:pPr>
        <w:pStyle w:val="24"/>
        <w:pageBreakBefore w:val="0"/>
        <w:kinsoku/>
        <w:overflowPunct/>
        <w:topLinePunct w:val="0"/>
        <w:bidi w:val="0"/>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14:paraId="7D5CB996">
      <w:pPr>
        <w:pStyle w:val="24"/>
        <w:pageBreakBefore w:val="0"/>
        <w:kinsoku/>
        <w:overflowPunct/>
        <w:topLinePunct w:val="0"/>
        <w:bidi w:val="0"/>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033738F1">
      <w:pPr>
        <w:pStyle w:val="24"/>
        <w:pageBreakBefore w:val="0"/>
        <w:kinsoku/>
        <w:overflowPunct/>
        <w:topLinePunct w:val="0"/>
        <w:bidi w:val="0"/>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7C60D6F2">
      <w:pPr>
        <w:pStyle w:val="24"/>
        <w:pageBreakBefore w:val="0"/>
        <w:kinsoku/>
        <w:overflowPunct/>
        <w:topLinePunct w:val="0"/>
        <w:bidi w:val="0"/>
        <w:spacing w:line="576"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29CD38F4">
      <w:pPr>
        <w:pStyle w:val="24"/>
        <w:pageBreakBefore w:val="0"/>
        <w:kinsoku/>
        <w:overflowPunct/>
        <w:topLinePunct w:val="0"/>
        <w:bidi w:val="0"/>
        <w:spacing w:line="576"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2BF471D4">
      <w:pPr>
        <w:pageBreakBefore w:val="0"/>
        <w:kinsoku/>
        <w:overflowPunct/>
        <w:topLinePunct w:val="0"/>
        <w:bidi w:val="0"/>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9.</w:t>
      </w:r>
      <w:r>
        <w:rPr>
          <w:rStyle w:val="16"/>
          <w:rFonts w:hint="eastAsia" w:ascii="仿宋" w:hAnsi="仿宋" w:eastAsia="仿宋"/>
          <w:b w:val="0"/>
          <w:color w:val="000000"/>
          <w:sz w:val="32"/>
          <w:szCs w:val="32"/>
        </w:rPr>
        <w:t>一般公共服务201组织事务32其他组织事务支出99</w:t>
      </w:r>
      <w:r>
        <w:rPr>
          <w:rFonts w:hint="eastAsia" w:ascii="仿宋_GB2312" w:eastAsia="仿宋_GB2312"/>
          <w:color w:val="000000"/>
          <w:sz w:val="32"/>
          <w:szCs w:val="32"/>
        </w:rPr>
        <w:t>：指反应除上述项目以外其他用于中国共产党组织部门的事务支出。</w:t>
      </w:r>
    </w:p>
    <w:p w14:paraId="65F0257F">
      <w:pPr>
        <w:pageBreakBefore w:val="0"/>
        <w:kinsoku/>
        <w:overflowPunct/>
        <w:topLinePunct w:val="0"/>
        <w:bidi w:val="0"/>
        <w:spacing w:line="576" w:lineRule="exact"/>
        <w:ind w:firstLine="640" w:firstLineChars="200"/>
        <w:rPr>
          <w:rFonts w:ascii="仿宋_GB2312" w:eastAsia="仿宋_GB2312"/>
          <w:bCs/>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社会保障和就业</w:t>
      </w:r>
      <w:r>
        <w:rPr>
          <w:rStyle w:val="16"/>
          <w:rFonts w:hint="eastAsia" w:ascii="仿宋" w:hAnsi="仿宋" w:eastAsia="仿宋"/>
          <w:b w:val="0"/>
          <w:color w:val="000000"/>
          <w:sz w:val="32"/>
          <w:szCs w:val="32"/>
        </w:rPr>
        <w:t>208行政事业单位离退休05机关事业单位基本养老保险缴费</w:t>
      </w:r>
      <w:r>
        <w:rPr>
          <w:rStyle w:val="16"/>
          <w:rFonts w:hint="eastAsia" w:ascii="仿宋" w:hAnsi="仿宋" w:eastAsia="仿宋"/>
          <w:b w:val="0"/>
          <w:bCs/>
          <w:color w:val="000000"/>
          <w:sz w:val="32"/>
          <w:szCs w:val="32"/>
        </w:rPr>
        <w:t>支出</w:t>
      </w:r>
      <w:r>
        <w:rPr>
          <w:rFonts w:hint="eastAsia" w:ascii="仿宋_GB2312" w:eastAsia="仿宋_GB2312"/>
          <w:bCs/>
          <w:color w:val="000000"/>
          <w:sz w:val="32"/>
          <w:szCs w:val="32"/>
        </w:rPr>
        <w:t>：指反映机关事业单位实施养老保险制度由单位缴纳的基本养老保险费支出。</w:t>
      </w:r>
      <w:r>
        <w:rPr>
          <w:rStyle w:val="16"/>
          <w:rFonts w:hint="eastAsia" w:ascii="仿宋" w:hAnsi="仿宋" w:eastAsia="仿宋"/>
          <w:b w:val="0"/>
          <w:bCs/>
          <w:color w:val="000000"/>
          <w:sz w:val="32"/>
          <w:szCs w:val="32"/>
        </w:rPr>
        <w:t>208其他社会保障和就业支出99其他社会保障和就业支出01</w:t>
      </w:r>
      <w:r>
        <w:rPr>
          <w:rFonts w:hint="eastAsia" w:ascii="仿宋_GB2312" w:eastAsia="仿宋_GB2312"/>
          <w:bCs/>
          <w:color w:val="000000"/>
          <w:sz w:val="32"/>
          <w:szCs w:val="32"/>
        </w:rPr>
        <w:t>支出：指</w:t>
      </w:r>
      <w:r>
        <w:rPr>
          <w:rFonts w:hint="eastAsia" w:ascii="仿宋_GB2312" w:eastAsia="仿宋_GB2312"/>
          <w:color w:val="000000"/>
          <w:sz w:val="32"/>
          <w:szCs w:val="32"/>
        </w:rPr>
        <w:t>反映除上述项目以外其他用于</w:t>
      </w:r>
      <w:r>
        <w:rPr>
          <w:rFonts w:hint="eastAsia" w:ascii="仿宋_GB2312" w:eastAsia="仿宋_GB2312"/>
          <w:bCs/>
          <w:color w:val="000000"/>
          <w:sz w:val="32"/>
          <w:szCs w:val="32"/>
        </w:rPr>
        <w:t>社会保障和就业方面的支出</w:t>
      </w:r>
    </w:p>
    <w:p w14:paraId="0FBA4204">
      <w:pPr>
        <w:pageBreakBefore w:val="0"/>
        <w:kinsoku/>
        <w:overflowPunct/>
        <w:topLinePunct w:val="0"/>
        <w:bidi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Style w:val="16"/>
          <w:rFonts w:hint="eastAsia" w:ascii="仿宋" w:hAnsi="仿宋" w:eastAsia="仿宋"/>
          <w:b w:val="0"/>
          <w:bCs/>
          <w:color w:val="000000"/>
          <w:sz w:val="32"/>
          <w:szCs w:val="32"/>
        </w:rPr>
        <w:t>医疗卫生与计划生育支出210行政事业单位医疗11事业单位医疗02</w:t>
      </w:r>
      <w:r>
        <w:rPr>
          <w:rFonts w:hint="eastAsia" w:ascii="仿宋" w:hAnsi="仿宋" w:eastAsia="仿宋"/>
          <w:b/>
          <w:sz w:val="32"/>
          <w:szCs w:val="32"/>
        </w:rPr>
        <w:t>：</w:t>
      </w:r>
      <w:r>
        <w:rPr>
          <w:rFonts w:hint="eastAsia" w:ascii="仿宋_GB2312" w:eastAsia="仿宋_GB2312"/>
          <w:color w:val="000000"/>
          <w:sz w:val="32"/>
          <w:szCs w:val="32"/>
        </w:rPr>
        <w:t>指反映财政部门集中安排的事业单位基本医疗保险缴费经费，未参加医疗保险的事业单位的公费医疗经费，按国家规定享受离休人员待遇人员的医疗经费。</w:t>
      </w:r>
    </w:p>
    <w:p w14:paraId="2BEE9023">
      <w:pPr>
        <w:pageBreakBefore w:val="0"/>
        <w:kinsoku/>
        <w:overflowPunct/>
        <w:topLinePunct w:val="0"/>
        <w:bidi w:val="0"/>
        <w:spacing w:line="576" w:lineRule="exact"/>
        <w:ind w:firstLine="640" w:firstLineChars="200"/>
        <w:rPr>
          <w:rFonts w:ascii="仿宋" w:hAnsi="仿宋" w:eastAsia="仿宋"/>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 w:hAnsi="仿宋" w:eastAsia="仿宋"/>
          <w:b/>
          <w:bCs/>
          <w:color w:val="000000"/>
          <w:sz w:val="32"/>
          <w:szCs w:val="32"/>
        </w:rPr>
        <w:t>节能环保支出</w:t>
      </w:r>
      <w:r>
        <w:rPr>
          <w:rFonts w:hint="eastAsia" w:ascii="仿宋" w:hAnsi="仿宋" w:eastAsia="仿宋"/>
          <w:color w:val="000000"/>
          <w:sz w:val="32"/>
          <w:szCs w:val="32"/>
        </w:rPr>
        <w:t>211自然生态保护04生态保护01</w:t>
      </w:r>
      <w:r>
        <w:rPr>
          <w:rStyle w:val="16"/>
          <w:rFonts w:hint="eastAsia" w:ascii="仿宋" w:hAnsi="仿宋" w:eastAsia="仿宋"/>
          <w:color w:val="000000"/>
          <w:sz w:val="32"/>
          <w:szCs w:val="32"/>
        </w:rPr>
        <w:t>：</w:t>
      </w:r>
      <w:r>
        <w:rPr>
          <w:rFonts w:hint="eastAsia" w:ascii="仿宋_GB2312" w:eastAsia="仿宋_GB2312"/>
          <w:color w:val="000000"/>
          <w:sz w:val="32"/>
          <w:szCs w:val="32"/>
        </w:rPr>
        <w:t>指反映用于生态保护区、生态示范区、生态省（市、县）管理及建设、日常管护、宣教、试点示范等支出，生态修复支出，资源开发生态监管等支出。</w:t>
      </w:r>
      <w:r>
        <w:rPr>
          <w:rFonts w:hint="eastAsia" w:ascii="仿宋" w:hAnsi="仿宋" w:eastAsia="仿宋"/>
          <w:color w:val="000000"/>
          <w:sz w:val="32"/>
          <w:szCs w:val="32"/>
        </w:rPr>
        <w:t>211自然生态保护04其他自然生态保护99</w:t>
      </w:r>
    </w:p>
    <w:p w14:paraId="6652736D">
      <w:pPr>
        <w:pageBreakBefore w:val="0"/>
        <w:kinsoku/>
        <w:overflowPunct/>
        <w:topLinePunct w:val="0"/>
        <w:bidi w:val="0"/>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3</w:t>
      </w:r>
      <w:r>
        <w:rPr>
          <w:rFonts w:ascii="仿宋_GB2312" w:eastAsia="仿宋_GB2312"/>
          <w:color w:val="000000"/>
          <w:sz w:val="32"/>
          <w:szCs w:val="32"/>
        </w:rPr>
        <w:t>.</w:t>
      </w:r>
      <w:r>
        <w:rPr>
          <w:rStyle w:val="16"/>
          <w:rFonts w:hint="eastAsia" w:ascii="仿宋" w:hAnsi="仿宋" w:eastAsia="仿宋"/>
          <w:color w:val="000000"/>
          <w:sz w:val="32"/>
          <w:szCs w:val="32"/>
        </w:rPr>
        <w:t>农林水支出</w:t>
      </w:r>
      <w:r>
        <w:rPr>
          <w:rStyle w:val="16"/>
          <w:rFonts w:hint="eastAsia" w:ascii="仿宋" w:hAnsi="仿宋" w:eastAsia="仿宋"/>
          <w:b w:val="0"/>
          <w:bCs/>
          <w:color w:val="000000"/>
          <w:sz w:val="32"/>
          <w:szCs w:val="32"/>
        </w:rPr>
        <w:t>213林业和草原02事业机构04</w:t>
      </w:r>
      <w:r>
        <w:rPr>
          <w:rStyle w:val="16"/>
          <w:rFonts w:hint="eastAsia" w:ascii="仿宋" w:hAnsi="仿宋" w:eastAsia="仿宋"/>
          <w:color w:val="000000"/>
          <w:sz w:val="32"/>
          <w:szCs w:val="32"/>
        </w:rPr>
        <w:t>：</w:t>
      </w:r>
      <w:r>
        <w:rPr>
          <w:rFonts w:hint="eastAsia" w:ascii="仿宋_GB2312" w:eastAsia="仿宋_GB2312"/>
          <w:color w:val="000000"/>
          <w:sz w:val="32"/>
          <w:szCs w:val="32"/>
        </w:rPr>
        <w:t>指反映用于林业事业单位的基本支出。213</w:t>
      </w:r>
      <w:r>
        <w:rPr>
          <w:rStyle w:val="16"/>
          <w:rFonts w:hint="eastAsia" w:ascii="仿宋" w:hAnsi="仿宋" w:eastAsia="仿宋"/>
          <w:b w:val="0"/>
          <w:bCs/>
          <w:color w:val="000000"/>
          <w:sz w:val="32"/>
          <w:szCs w:val="32"/>
        </w:rPr>
        <w:t>林业和草原</w:t>
      </w:r>
      <w:r>
        <w:rPr>
          <w:rFonts w:hint="eastAsia" w:ascii="仿宋_GB2312" w:eastAsia="仿宋_GB2312"/>
          <w:color w:val="000000"/>
          <w:sz w:val="32"/>
          <w:szCs w:val="32"/>
        </w:rPr>
        <w:t>02其他林业和草原支出99其他林业和草原支出：指反映除上述项目以外其他用于林业和草原方面的支出。</w:t>
      </w:r>
    </w:p>
    <w:p w14:paraId="68CAE61A">
      <w:pPr>
        <w:pageBreakBefore w:val="0"/>
        <w:kinsoku/>
        <w:overflowPunct/>
        <w:topLinePunct w:val="0"/>
        <w:bidi w:val="0"/>
        <w:spacing w:line="576" w:lineRule="exact"/>
        <w:ind w:firstLine="640" w:firstLineChars="200"/>
        <w:rPr>
          <w:rFonts w:ascii="仿宋" w:hAnsi="仿宋" w:eastAsia="仿宋"/>
          <w:b/>
          <w:bCs/>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住房保障</w:t>
      </w:r>
      <w:r>
        <w:rPr>
          <w:rStyle w:val="16"/>
          <w:rFonts w:hint="eastAsia" w:ascii="仿宋" w:hAnsi="仿宋" w:eastAsia="仿宋"/>
          <w:b w:val="0"/>
          <w:bCs/>
          <w:color w:val="000000"/>
          <w:sz w:val="32"/>
          <w:szCs w:val="32"/>
        </w:rPr>
        <w:t>支出</w:t>
      </w:r>
      <w:r>
        <w:rPr>
          <w:rStyle w:val="16"/>
          <w:rFonts w:hint="eastAsia" w:ascii="仿宋" w:hAnsi="仿宋" w:eastAsia="仿宋"/>
          <w:color w:val="000000"/>
          <w:sz w:val="32"/>
          <w:szCs w:val="32"/>
        </w:rPr>
        <w:t>住房保障支出</w:t>
      </w:r>
      <w:r>
        <w:rPr>
          <w:rStyle w:val="16"/>
          <w:rFonts w:hint="eastAsia" w:ascii="仿宋" w:hAnsi="仿宋" w:eastAsia="仿宋"/>
          <w:b w:val="0"/>
          <w:bCs/>
          <w:color w:val="000000"/>
          <w:sz w:val="32"/>
          <w:szCs w:val="32"/>
        </w:rPr>
        <w:t>221住房改革支出02住房公积金01：</w:t>
      </w:r>
      <w:r>
        <w:rPr>
          <w:rFonts w:hint="eastAsia" w:ascii="仿宋_GB2312" w:eastAsia="仿宋_GB2312"/>
          <w:color w:val="000000"/>
          <w:sz w:val="32"/>
          <w:szCs w:val="32"/>
        </w:rPr>
        <w:t>指反映行政事业单位按人力资源和社会保障部、财政部规定的基本工资和津贴补贴以及规定比例为职工缴纳的住房公积金。</w:t>
      </w:r>
    </w:p>
    <w:p w14:paraId="4CAA5671">
      <w:pPr>
        <w:pageBreakBefore w:val="0"/>
        <w:kinsoku/>
        <w:overflowPunct/>
        <w:topLinePunct w:val="0"/>
        <w:bidi w:val="0"/>
        <w:spacing w:line="576"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hint="eastAsia" w:ascii="仿宋" w:hAnsi="仿宋" w:eastAsia="仿宋"/>
          <w:b/>
          <w:color w:val="000000"/>
          <w:sz w:val="32"/>
          <w:szCs w:val="32"/>
          <w:lang w:eastAsia="zh-CN"/>
        </w:rPr>
        <w:t>2020年</w:t>
      </w:r>
      <w:r>
        <w:rPr>
          <w:rFonts w:hint="eastAsia" w:ascii="仿宋" w:hAnsi="仿宋" w:eastAsia="仿宋"/>
          <w:b/>
          <w:color w:val="000000"/>
          <w:sz w:val="32"/>
          <w:szCs w:val="32"/>
        </w:rPr>
        <w:t>政府收支分类科目》增减内容。）</w:t>
      </w:r>
    </w:p>
    <w:p w14:paraId="1A7048D3">
      <w:pPr>
        <w:pageBreakBefore w:val="0"/>
        <w:kinsoku/>
        <w:overflowPunct/>
        <w:topLinePunct w:val="0"/>
        <w:bidi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6B82268B">
      <w:pPr>
        <w:pageBreakBefore w:val="0"/>
        <w:kinsoku/>
        <w:overflowPunct/>
        <w:topLinePunct w:val="0"/>
        <w:bidi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2EBA5680">
      <w:pPr>
        <w:pageBreakBefore w:val="0"/>
        <w:kinsoku/>
        <w:overflowPunct/>
        <w:topLinePunct w:val="0"/>
        <w:bidi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2154A4AD">
      <w:pPr>
        <w:pStyle w:val="24"/>
        <w:pageBreakBefore w:val="0"/>
        <w:kinsoku/>
        <w:overflowPunct/>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FF3017E">
      <w:pPr>
        <w:pStyle w:val="24"/>
        <w:pageBreakBefore w:val="0"/>
        <w:kinsoku/>
        <w:overflowPunct/>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959C583">
      <w:pPr>
        <w:pStyle w:val="24"/>
        <w:pageBreakBefore w:val="0"/>
        <w:kinsoku/>
        <w:overflowPunct/>
        <w:topLinePunct w:val="0"/>
        <w:bidi w:val="0"/>
        <w:spacing w:line="576" w:lineRule="exact"/>
        <w:ind w:firstLine="640" w:firstLineChars="200"/>
        <w:rPr>
          <w:rFonts w:ascii="仿宋_GB2312" w:eastAsia="仿宋_GB2312" w:cs="黑体"/>
          <w:sz w:val="32"/>
          <w:szCs w:val="32"/>
        </w:rPr>
      </w:pPr>
    </w:p>
    <w:p w14:paraId="18B4BFC3">
      <w:pPr>
        <w:pageBreakBefore w:val="0"/>
        <w:kinsoku/>
        <w:overflowPunct/>
        <w:topLinePunct w:val="0"/>
        <w:bidi w:val="0"/>
        <w:spacing w:line="576" w:lineRule="exact"/>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14:paraId="65558CEC">
      <w:pPr>
        <w:pageBreakBefore w:val="0"/>
        <w:numPr>
          <w:ilvl w:val="0"/>
          <w:numId w:val="7"/>
        </w:numPr>
        <w:kinsoku/>
        <w:overflowPunct/>
        <w:topLinePunct w:val="0"/>
        <w:bidi w:val="0"/>
        <w:spacing w:line="576" w:lineRule="exact"/>
        <w:ind w:firstLine="663" w:firstLineChars="150"/>
        <w:jc w:val="center"/>
        <w:outlineLvl w:val="0"/>
        <w:rPr>
          <w:rStyle w:val="26"/>
          <w:rFonts w:ascii="黑体" w:hAnsi="黑体" w:eastAsia="黑体"/>
          <w:b w:val="0"/>
        </w:rPr>
      </w:pPr>
      <w:bookmarkStart w:id="55" w:name="_Toc15377226"/>
      <w:r>
        <w:rPr>
          <w:rFonts w:ascii="宋体"/>
          <w:b/>
          <w:color w:val="000000"/>
          <w:sz w:val="44"/>
          <w:szCs w:val="44"/>
        </w:rPr>
        <w:br w:type="page"/>
      </w:r>
      <w:bookmarkStart w:id="56" w:name="_Toc15396614"/>
      <w:r>
        <w:rPr>
          <w:rStyle w:val="26"/>
          <w:rFonts w:hint="eastAsia" w:ascii="黑体" w:hAnsi="黑体" w:eastAsia="黑体"/>
          <w:b w:val="0"/>
        </w:rPr>
        <w:t>附件</w:t>
      </w:r>
      <w:bookmarkEnd w:id="56"/>
      <w:bookmarkStart w:id="57" w:name="_Toc15396615"/>
    </w:p>
    <w:p w14:paraId="61679A50">
      <w:pPr>
        <w:pageBreakBefore w:val="0"/>
        <w:kinsoku/>
        <w:overflowPunct/>
        <w:topLinePunct w:val="0"/>
        <w:bidi w:val="0"/>
        <w:spacing w:line="576" w:lineRule="exact"/>
        <w:ind w:left="315" w:leftChars="150"/>
        <w:outlineLvl w:val="0"/>
        <w:rPr>
          <w:rStyle w:val="26"/>
          <w:rFonts w:ascii="仿宋" w:hAnsi="仿宋" w:eastAsia="仿宋"/>
          <w:b w:val="0"/>
          <w:bCs w:val="0"/>
          <w:sz w:val="32"/>
          <w:szCs w:val="32"/>
        </w:rPr>
      </w:pPr>
      <w:r>
        <w:rPr>
          <w:rStyle w:val="26"/>
          <w:rFonts w:hint="eastAsia" w:ascii="仿宋" w:hAnsi="仿宋" w:eastAsia="仿宋"/>
          <w:b w:val="0"/>
          <w:bCs w:val="0"/>
          <w:sz w:val="32"/>
          <w:szCs w:val="32"/>
        </w:rPr>
        <w:t>附件1</w:t>
      </w:r>
      <w:bookmarkEnd w:id="57"/>
    </w:p>
    <w:p w14:paraId="444F1762">
      <w:pPr>
        <w:pageBreakBefore w:val="0"/>
        <w:kinsoku/>
        <w:overflowPunct/>
        <w:topLinePunct w:val="0"/>
        <w:bidi w:val="0"/>
        <w:spacing w:line="576" w:lineRule="exact"/>
        <w:jc w:val="center"/>
        <w:outlineLvl w:val="0"/>
        <w:rPr>
          <w:rFonts w:ascii="黑体" w:hAnsi="黑体" w:eastAsia="黑体" w:cs="方正小标宋简体"/>
          <w:sz w:val="36"/>
          <w:szCs w:val="36"/>
        </w:rPr>
      </w:pPr>
      <w:bookmarkStart w:id="58" w:name="_Toc15396616"/>
      <w:r>
        <w:rPr>
          <w:rFonts w:hint="eastAsia" w:ascii="黑体" w:hAnsi="黑体" w:eastAsia="黑体" w:cs="方正小标宋简体"/>
          <w:sz w:val="36"/>
          <w:szCs w:val="36"/>
        </w:rPr>
        <w:t>九寨国家森林公园管理局</w:t>
      </w:r>
    </w:p>
    <w:p w14:paraId="6076B953">
      <w:pPr>
        <w:pageBreakBefore w:val="0"/>
        <w:kinsoku/>
        <w:overflowPunct/>
        <w:topLinePunct w:val="0"/>
        <w:bidi w:val="0"/>
        <w:spacing w:line="576" w:lineRule="exact"/>
        <w:jc w:val="center"/>
        <w:outlineLvl w:val="0"/>
        <w:rPr>
          <w:rFonts w:hint="eastAsia" w:ascii="黑体" w:hAnsi="黑体" w:eastAsia="黑体" w:cs="方正小标宋简体"/>
          <w:sz w:val="36"/>
          <w:szCs w:val="36"/>
        </w:rPr>
      </w:pPr>
      <w:r>
        <w:rPr>
          <w:rFonts w:hint="eastAsia" w:ascii="黑体" w:hAnsi="黑体" w:eastAsia="黑体" w:cs="方正小标宋简体"/>
          <w:sz w:val="36"/>
          <w:szCs w:val="36"/>
          <w:lang w:eastAsia="zh-CN"/>
        </w:rPr>
        <w:t>2020年</w:t>
      </w:r>
      <w:r>
        <w:rPr>
          <w:rFonts w:hint="eastAsia" w:ascii="黑体" w:hAnsi="黑体" w:eastAsia="黑体" w:cs="方正小标宋简体"/>
          <w:sz w:val="36"/>
          <w:szCs w:val="36"/>
        </w:rPr>
        <w:t>部门整体支出绩效评价报告</w:t>
      </w:r>
      <w:bookmarkEnd w:id="58"/>
    </w:p>
    <w:p w14:paraId="58166A3F">
      <w:pPr>
        <w:pStyle w:val="2"/>
      </w:pPr>
    </w:p>
    <w:p w14:paraId="11E44D7D">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bookmarkStart w:id="59" w:name="_Toc15396617"/>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6402154F">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14:paraId="03E53B0B">
      <w:pPr>
        <w:pageBreakBefore w:val="0"/>
        <w:kinsoku/>
        <w:overflowPunct/>
        <w:topLinePunct w:val="0"/>
        <w:bidi w:val="0"/>
        <w:spacing w:line="576" w:lineRule="exact"/>
        <w:ind w:firstLine="640" w:firstLineChars="200"/>
        <w:rPr>
          <w:rFonts w:hint="eastAsia" w:ascii="仿宋_GB2312" w:hAnsi="宋体" w:eastAsia="仿宋_GB2312" w:cs="宋体"/>
          <w:color w:val="000000"/>
          <w:kern w:val="0"/>
          <w:sz w:val="32"/>
          <w:szCs w:val="32"/>
          <w:shd w:val="clear" w:color="auto" w:fill="FFFFFF"/>
          <w:lang w:val="zh-CN"/>
        </w:rPr>
      </w:pPr>
      <w:r>
        <w:rPr>
          <w:rFonts w:hint="eastAsia" w:ascii="仿宋_GB2312" w:eastAsia="仿宋_GB2312"/>
          <w:sz w:val="32"/>
          <w:szCs w:val="32"/>
          <w:lang w:eastAsia="zh-CN"/>
        </w:rPr>
        <w:t>2020年</w:t>
      </w:r>
      <w:r>
        <w:rPr>
          <w:rFonts w:hint="eastAsia" w:ascii="仿宋_GB2312" w:eastAsia="仿宋_GB2312"/>
          <w:sz w:val="32"/>
          <w:szCs w:val="32"/>
        </w:rPr>
        <w:t>单位机构数为 1个，事业机构1个；</w:t>
      </w:r>
    </w:p>
    <w:p w14:paraId="200E611D">
      <w:pPr>
        <w:widowControl/>
        <w:numPr>
          <w:ilvl w:val="0"/>
          <w:numId w:val="8"/>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14:paraId="102837F0">
      <w:pPr>
        <w:pageBreakBefore w:val="0"/>
        <w:kinsoku/>
        <w:overflowPunct/>
        <w:topLinePunct w:val="0"/>
        <w:bidi w:val="0"/>
        <w:spacing w:line="576" w:lineRule="exact"/>
        <w:ind w:firstLine="640" w:firstLineChars="200"/>
        <w:rPr>
          <w:lang w:val="zh-CN"/>
        </w:rPr>
      </w:pPr>
      <w:r>
        <w:rPr>
          <w:rFonts w:hint="eastAsia" w:ascii="仿宋" w:hAnsi="仿宋" w:eastAsia="仿宋_GB2312" w:cs="宋体"/>
          <w:kern w:val="0"/>
          <w:sz w:val="32"/>
          <w:szCs w:val="32"/>
          <w:lang w:val="en-US" w:eastAsia="zh-CN"/>
        </w:rPr>
        <w:t>负责林业草原生态旅游资源开发利用，筹办各种生态旅游节会，组织实施林业草原生态环境保护与维护。为森林公园管理等相关事务性工作提供技术支持和服务保障，做好花卉、特色经济林、森林林下经济、森林康养和生态旅游产业发展。为林业和草原生态旅游提供产品开发、客源市场、招商引资和经营管理等方面的信息、技术咨询和人才培训服务。负责林业和草原生态旅游的社会宣传和网络建设服务。</w:t>
      </w:r>
    </w:p>
    <w:p w14:paraId="179DD4DC">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14:paraId="68C76D4C">
      <w:pPr>
        <w:pageBreakBefore w:val="0"/>
        <w:kinsoku/>
        <w:overflowPunct/>
        <w:topLinePunct w:val="0"/>
        <w:bidi w:val="0"/>
        <w:spacing w:line="576" w:lineRule="exact"/>
        <w:ind w:firstLine="640" w:firstLineChars="200"/>
        <w:rPr>
          <w:rFonts w:ascii="仿宋_GB2312" w:eastAsia="仿宋_GB2312"/>
          <w:b/>
          <w:sz w:val="32"/>
          <w:szCs w:val="32"/>
        </w:rPr>
      </w:pPr>
      <w:r>
        <w:rPr>
          <w:rFonts w:hint="eastAsia" w:ascii="仿宋_GB2312" w:eastAsia="仿宋_GB2312"/>
          <w:sz w:val="32"/>
          <w:szCs w:val="32"/>
          <w:lang w:eastAsia="zh-CN"/>
        </w:rPr>
        <w:t>2020年</w:t>
      </w:r>
      <w:r>
        <w:rPr>
          <w:rFonts w:hint="eastAsia" w:ascii="仿宋_GB2312" w:eastAsia="仿宋_GB2312"/>
          <w:sz w:val="32"/>
          <w:szCs w:val="32"/>
        </w:rPr>
        <w:t>财政供养人员编制为</w:t>
      </w:r>
      <w:r>
        <w:rPr>
          <w:rFonts w:hint="eastAsia" w:ascii="仿宋_GB2312" w:eastAsia="仿宋_GB2312"/>
          <w:sz w:val="32"/>
          <w:szCs w:val="32"/>
          <w:lang w:val="en-US" w:eastAsia="zh-CN"/>
        </w:rPr>
        <w:t>28</w:t>
      </w:r>
      <w:r>
        <w:rPr>
          <w:rFonts w:hint="eastAsia" w:ascii="仿宋_GB2312" w:eastAsia="仿宋_GB2312"/>
          <w:sz w:val="32"/>
          <w:szCs w:val="32"/>
        </w:rPr>
        <w:t>名，事业编制</w:t>
      </w:r>
      <w:r>
        <w:rPr>
          <w:rFonts w:hint="eastAsia" w:ascii="仿宋_GB2312" w:eastAsia="仿宋_GB2312"/>
          <w:sz w:val="32"/>
          <w:szCs w:val="32"/>
          <w:lang w:val="en-US" w:eastAsia="zh-CN"/>
        </w:rPr>
        <w:t>28</w:t>
      </w:r>
      <w:r>
        <w:rPr>
          <w:rFonts w:hint="eastAsia" w:ascii="仿宋_GB2312" w:eastAsia="仿宋_GB2312"/>
          <w:sz w:val="32"/>
          <w:szCs w:val="32"/>
        </w:rPr>
        <w:t>名；</w:t>
      </w:r>
      <w:r>
        <w:rPr>
          <w:rFonts w:hint="eastAsia" w:ascii="仿宋_GB2312" w:eastAsia="仿宋_GB2312" w:cs="仿宋_GB2312"/>
          <w:bCs/>
          <w:kern w:val="0"/>
          <w:sz w:val="32"/>
          <w:szCs w:val="32"/>
          <w:lang w:val="zh-CN"/>
        </w:rPr>
        <w:t>2020年实际财政供养人员</w:t>
      </w:r>
      <w:r>
        <w:rPr>
          <w:rFonts w:hint="eastAsia" w:ascii="仿宋_GB2312" w:eastAsia="仿宋_GB2312" w:cs="仿宋_GB2312"/>
          <w:bCs/>
          <w:kern w:val="0"/>
          <w:sz w:val="32"/>
          <w:szCs w:val="32"/>
          <w:lang w:val="en-US" w:eastAsia="zh-CN"/>
        </w:rPr>
        <w:t>28</w:t>
      </w:r>
      <w:r>
        <w:rPr>
          <w:rFonts w:hint="eastAsia" w:ascii="仿宋_GB2312" w:eastAsia="仿宋_GB2312" w:cs="仿宋_GB2312"/>
          <w:bCs/>
          <w:kern w:val="0"/>
          <w:sz w:val="32"/>
          <w:szCs w:val="32"/>
          <w:lang w:val="zh-CN"/>
        </w:rPr>
        <w:t>人，较上年增加</w:t>
      </w:r>
      <w:r>
        <w:rPr>
          <w:rFonts w:hint="eastAsia" w:ascii="仿宋_GB2312" w:eastAsia="仿宋_GB2312" w:cs="仿宋_GB2312"/>
          <w:bCs/>
          <w:kern w:val="0"/>
          <w:sz w:val="32"/>
          <w:szCs w:val="32"/>
        </w:rPr>
        <w:t>0</w:t>
      </w:r>
      <w:r>
        <w:rPr>
          <w:rFonts w:hint="eastAsia" w:ascii="仿宋_GB2312" w:eastAsia="仿宋_GB2312" w:cs="仿宋_GB2312"/>
          <w:bCs/>
          <w:kern w:val="0"/>
          <w:sz w:val="32"/>
          <w:szCs w:val="32"/>
          <w:lang w:val="zh-CN"/>
        </w:rPr>
        <w:t>人，其中：事业28人。</w:t>
      </w:r>
    </w:p>
    <w:p w14:paraId="0A2E72BB">
      <w:pPr>
        <w:pStyle w:val="2"/>
        <w:rPr>
          <w:lang w:val="zh-CN"/>
        </w:rPr>
      </w:pPr>
    </w:p>
    <w:p w14:paraId="154FB2D8">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5D217D3C">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14:paraId="2F20EE89">
      <w:pPr>
        <w:pageBreakBefore w:val="0"/>
        <w:kinsoku/>
        <w:overflowPunct/>
        <w:topLinePunct w:val="0"/>
        <w:bidi w:val="0"/>
        <w:spacing w:line="576" w:lineRule="exact"/>
        <w:ind w:firstLine="640" w:firstLineChars="200"/>
        <w:outlineLvl w:val="1"/>
        <w:rPr>
          <w:lang w:val="zh-CN"/>
        </w:rPr>
      </w:pPr>
      <w:r>
        <w:rPr>
          <w:rFonts w:hint="eastAsia" w:ascii="仿宋" w:hAnsi="仿宋" w:eastAsia="仿宋"/>
          <w:color w:val="000000"/>
          <w:sz w:val="32"/>
          <w:szCs w:val="32"/>
          <w:lang w:eastAsia="zh-CN"/>
        </w:rPr>
        <w:t>2020年</w:t>
      </w:r>
      <w:r>
        <w:rPr>
          <w:rFonts w:hint="eastAsia" w:ascii="仿宋" w:hAnsi="仿宋" w:eastAsia="仿宋"/>
          <w:color w:val="000000"/>
          <w:sz w:val="32"/>
          <w:szCs w:val="32"/>
        </w:rPr>
        <w:t>本年收入合计</w:t>
      </w:r>
      <w:r>
        <w:rPr>
          <w:rFonts w:hint="eastAsia" w:ascii="仿宋" w:hAnsi="仿宋" w:eastAsia="仿宋"/>
          <w:color w:val="000000"/>
          <w:sz w:val="32"/>
          <w:szCs w:val="32"/>
          <w:lang w:val="en-US" w:eastAsia="zh-CN"/>
        </w:rPr>
        <w:t>598.76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598.76</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14:paraId="75FDBCB2">
      <w:pPr>
        <w:widowControl/>
        <w:numPr>
          <w:ilvl w:val="0"/>
          <w:numId w:val="8"/>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14:paraId="38E3E498">
      <w:pPr>
        <w:pageBreakBefore w:val="0"/>
        <w:kinsoku/>
        <w:overflowPunct/>
        <w:topLinePunct w:val="0"/>
        <w:bidi w:val="0"/>
        <w:spacing w:line="576" w:lineRule="exact"/>
        <w:ind w:firstLine="640"/>
        <w:rPr>
          <w:rFonts w:hint="eastAsia" w:ascii="黑体" w:hAnsi="宋体" w:eastAsia="黑体" w:cs="宋体"/>
          <w:color w:val="000000"/>
          <w:kern w:val="0"/>
          <w:sz w:val="32"/>
          <w:szCs w:val="32"/>
          <w:shd w:val="clear" w:color="auto" w:fill="FFFFFF"/>
        </w:rPr>
      </w:pPr>
      <w:r>
        <w:rPr>
          <w:rFonts w:hint="eastAsia" w:ascii="仿宋" w:hAnsi="仿宋" w:eastAsia="仿宋"/>
          <w:color w:val="000000"/>
          <w:sz w:val="32"/>
          <w:szCs w:val="32"/>
          <w:lang w:eastAsia="zh-CN"/>
        </w:rPr>
        <w:t>2020年</w:t>
      </w:r>
      <w:r>
        <w:rPr>
          <w:rFonts w:hint="eastAsia" w:ascii="仿宋" w:hAnsi="仿宋" w:eastAsia="仿宋"/>
          <w:color w:val="000000"/>
          <w:sz w:val="32"/>
          <w:szCs w:val="32"/>
        </w:rPr>
        <w:t>本年支出合计</w:t>
      </w:r>
      <w:r>
        <w:rPr>
          <w:rFonts w:hint="eastAsia" w:ascii="仿宋" w:hAnsi="仿宋" w:eastAsia="仿宋"/>
          <w:color w:val="000000"/>
          <w:sz w:val="32"/>
          <w:szCs w:val="32"/>
          <w:lang w:val="en-US" w:eastAsia="zh-CN"/>
        </w:rPr>
        <w:t>2870.51</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442.96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15</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2427.55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85</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14:paraId="7E45CFB7">
      <w:pPr>
        <w:widowControl/>
        <w:numPr>
          <w:ilvl w:val="0"/>
          <w:numId w:val="0"/>
        </w:numPr>
        <w:adjustRightInd w:val="0"/>
        <w:snapToGrid w:val="0"/>
        <w:spacing w:line="580" w:lineRule="exact"/>
        <w:ind w:left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38EBCAE4">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14:paraId="74907B33">
      <w:pPr>
        <w:widowControl/>
        <w:adjustRightInd w:val="0"/>
        <w:snapToGrid w:val="0"/>
        <w:spacing w:line="580" w:lineRule="exact"/>
        <w:ind w:firstLine="640" w:firstLineChars="200"/>
        <w:contextualSpacing/>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2020年</w:t>
      </w:r>
      <w:r>
        <w:rPr>
          <w:rFonts w:hint="eastAsia" w:ascii="仿宋_GB2312" w:hAnsi="仿宋_GB2312" w:eastAsia="仿宋_GB2312" w:cs="仿宋_GB2312"/>
          <w:bCs/>
          <w:sz w:val="32"/>
          <w:szCs w:val="32"/>
        </w:rPr>
        <w:t>，我局积极履职，强化管理，较好的完成了年度工作目标。通过加强预算收支管理，不断建立健全内部管理制度，梳理内部管理流程，部门整体支出管理水平得到提升。根据部门整体支出绩效评价指标体系，我单位</w:t>
      </w:r>
      <w:r>
        <w:rPr>
          <w:rFonts w:hint="eastAsia" w:ascii="仿宋_GB2312" w:hAnsi="仿宋_GB2312" w:eastAsia="仿宋_GB2312" w:cs="仿宋_GB2312"/>
          <w:bCs/>
          <w:sz w:val="32"/>
          <w:szCs w:val="32"/>
          <w:lang w:eastAsia="zh-CN"/>
        </w:rPr>
        <w:t>2020年</w:t>
      </w:r>
      <w:r>
        <w:rPr>
          <w:rFonts w:hint="eastAsia" w:ascii="仿宋_GB2312" w:hAnsi="仿宋_GB2312" w:eastAsia="仿宋_GB2312" w:cs="仿宋_GB2312"/>
          <w:bCs/>
          <w:sz w:val="32"/>
          <w:szCs w:val="32"/>
        </w:rPr>
        <w:t>度评价得分为8</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分。</w:t>
      </w:r>
    </w:p>
    <w:p w14:paraId="41781865">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14:paraId="1857EB2C">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 预算配置控制较好得15分。其中：财政供养人员控制率：在职28人/编制</w:t>
      </w:r>
      <w:r>
        <w:rPr>
          <w:rFonts w:hint="eastAsia" w:ascii="仿宋_GB2312" w:hAnsi="仿宋_GB2312" w:eastAsia="仿宋_GB2312" w:cs="仿宋_GB2312"/>
          <w:bCs/>
          <w:sz w:val="32"/>
          <w:szCs w:val="32"/>
          <w:lang w:val="en-US" w:eastAsia="zh-CN"/>
        </w:rPr>
        <w:t>28</w:t>
      </w:r>
      <w:r>
        <w:rPr>
          <w:rFonts w:hint="eastAsia" w:ascii="仿宋_GB2312" w:hAnsi="仿宋_GB2312" w:eastAsia="仿宋_GB2312" w:cs="仿宋_GB2312"/>
          <w:bCs/>
          <w:sz w:val="32"/>
          <w:szCs w:val="32"/>
        </w:rPr>
        <w:t>人*100%=</w:t>
      </w:r>
      <w:r>
        <w:rPr>
          <w:rFonts w:hint="eastAsia" w:ascii="仿宋_GB2312" w:hAnsi="仿宋_GB2312" w:eastAsia="仿宋_GB2312" w:cs="仿宋_GB2312"/>
          <w:bCs/>
          <w:sz w:val="32"/>
          <w:szCs w:val="32"/>
          <w:lang w:val="en-US" w:eastAsia="zh-CN"/>
        </w:rPr>
        <w:t>100</w:t>
      </w:r>
      <w:r>
        <w:rPr>
          <w:rFonts w:hint="eastAsia" w:ascii="仿宋_GB2312" w:hAnsi="仿宋_GB2312" w:eastAsia="仿宋_GB2312" w:cs="仿宋_GB2312"/>
          <w:bCs/>
          <w:sz w:val="32"/>
          <w:szCs w:val="32"/>
        </w:rPr>
        <w:t>%，得</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分；“三公”经费预算数没变动，变动率等于0，得5分；重点支出安排率≥90%，得5分。</w:t>
      </w:r>
    </w:p>
    <w:p w14:paraId="0185F030">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 预算执行比较到位得13分。</w:t>
      </w:r>
    </w:p>
    <w:p w14:paraId="1C2F0E95">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（1）预算调整率大于10%，得2分。</w:t>
      </w:r>
    </w:p>
    <w:p w14:paraId="569278AC">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（2）支付进度：专项资金下达及时，按照正常进度进行支付，得3分。</w:t>
      </w:r>
    </w:p>
    <w:p w14:paraId="46B48850">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（3）结余资金：年初结余资金</w:t>
      </w:r>
      <w:r>
        <w:rPr>
          <w:rFonts w:hint="eastAsia" w:ascii="仿宋_GB2312" w:hAnsi="仿宋_GB2312" w:eastAsia="仿宋_GB2312" w:cs="仿宋_GB2312"/>
          <w:bCs/>
          <w:sz w:val="32"/>
          <w:szCs w:val="32"/>
          <w:lang w:val="en-US" w:eastAsia="zh-CN"/>
        </w:rPr>
        <w:t>2699.42</w:t>
      </w:r>
      <w:r>
        <w:rPr>
          <w:rFonts w:hint="eastAsia" w:ascii="仿宋_GB2312" w:hAnsi="仿宋_GB2312" w:eastAsia="仿宋_GB2312" w:cs="仿宋_GB2312"/>
          <w:bCs/>
          <w:sz w:val="32"/>
          <w:szCs w:val="32"/>
        </w:rPr>
        <w:t>万元，年末结余资金</w:t>
      </w:r>
      <w:r>
        <w:rPr>
          <w:rFonts w:hint="eastAsia" w:ascii="仿宋_GB2312" w:hAnsi="仿宋_GB2312" w:eastAsia="仿宋_GB2312" w:cs="仿宋_GB2312"/>
          <w:bCs/>
          <w:sz w:val="32"/>
          <w:szCs w:val="32"/>
          <w:lang w:val="en-US" w:eastAsia="zh-CN"/>
        </w:rPr>
        <w:t>427.68</w:t>
      </w:r>
      <w:r>
        <w:rPr>
          <w:rFonts w:hint="eastAsia" w:ascii="仿宋_GB2312" w:hAnsi="仿宋_GB2312" w:eastAsia="仿宋_GB2312" w:cs="仿宋_GB2312"/>
          <w:bCs/>
          <w:sz w:val="32"/>
          <w:szCs w:val="32"/>
        </w:rPr>
        <w:t>万元，未超过上年结余，得2分。</w:t>
      </w:r>
    </w:p>
    <w:p w14:paraId="5E296162">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（4）“三公经费”控制率：≤100%,得6分。</w:t>
      </w:r>
    </w:p>
    <w:p w14:paraId="625BEBF5">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 预算管理较理想，制度执行总体较为有效，但仍需进一步强化。得15分。</w:t>
      </w:r>
    </w:p>
    <w:p w14:paraId="5A154E16">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（1）管理制度健全性：得3分，</w:t>
      </w:r>
    </w:p>
    <w:p w14:paraId="7ABB2FA5">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①已制定或具有预算资金管理办法，内部财务管理制度、会计核算制度等管理制度，1分；</w:t>
      </w:r>
    </w:p>
    <w:p w14:paraId="65E8B717">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②相关管理制度合法、合规、完整，1分；</w:t>
      </w:r>
    </w:p>
    <w:p w14:paraId="1AB760AA">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③相关管理制度得到有效执行，1分。</w:t>
      </w:r>
    </w:p>
    <w:p w14:paraId="52E1FC43">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（2）资金使用合规性：得3分，</w:t>
      </w:r>
    </w:p>
    <w:p w14:paraId="226F7F90">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①支出符合国家财经法规和财务管理制度规定以及有关专项资金管理办法的规定；</w:t>
      </w:r>
    </w:p>
    <w:p w14:paraId="2351C14C">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②资金拨付有完整的审批程序和手续；</w:t>
      </w:r>
    </w:p>
    <w:p w14:paraId="42649D41">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③项目支出按规定经过评估论证；</w:t>
      </w:r>
    </w:p>
    <w:p w14:paraId="659F0504">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④支出符合部门预算批复的用途；</w:t>
      </w:r>
    </w:p>
    <w:p w14:paraId="5DFD3C49">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⑤资金使用无截留、挤占、挪用、虚列支出等情况。</w:t>
      </w:r>
    </w:p>
    <w:p w14:paraId="41B9D0DD">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（3）预决算信息公开性和完整性：得3分，</w:t>
      </w:r>
    </w:p>
    <w:p w14:paraId="28A0608D">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①按规定内容公开预决算信息，1分；</w:t>
      </w:r>
    </w:p>
    <w:p w14:paraId="58EFE287">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②按规定时限公开预决算信息，0.5分；</w:t>
      </w:r>
    </w:p>
    <w:p w14:paraId="78C827E7">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③基础数据信息和会计信息资料真实，0.5分；</w:t>
      </w:r>
    </w:p>
    <w:p w14:paraId="680EF25F">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④基础数据信息和会计信息资料完整，0.5分；</w:t>
      </w:r>
    </w:p>
    <w:p w14:paraId="422ACD15">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⑤基础数据信息和汇集信息资料准确，0.5分。                                            </w:t>
      </w:r>
    </w:p>
    <w:p w14:paraId="51F375AF">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（4）政府采购执行率=（实际政府采购金额与政府采购预算金额 一致）*100%=100%，得3分。</w:t>
      </w:r>
    </w:p>
    <w:p w14:paraId="724B6905">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（5）公务卡刷卡率：公务卡刷卡率达50%以上，得3分。</w:t>
      </w:r>
    </w:p>
    <w:p w14:paraId="32B4D38A">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4.资产管理：资产管理制度健全，符合规范，安全性好。利用率较高，得</w:t>
      </w:r>
      <w:r>
        <w:rPr>
          <w:rFonts w:hint="eastAsia" w:ascii="仿宋_GB2312" w:hAnsi="仿宋_GB2312" w:eastAsia="仿宋_GB2312" w:cs="仿宋_GB2312"/>
          <w:bCs/>
          <w:sz w:val="32"/>
          <w:szCs w:val="32"/>
          <w:lang w:val="en-US" w:eastAsia="zh-CN"/>
        </w:rPr>
        <w:t>10</w:t>
      </w:r>
      <w:r>
        <w:rPr>
          <w:rFonts w:hint="eastAsia" w:ascii="仿宋_GB2312" w:hAnsi="仿宋_GB2312" w:eastAsia="仿宋_GB2312" w:cs="仿宋_GB2312"/>
          <w:bCs/>
          <w:sz w:val="32"/>
          <w:szCs w:val="32"/>
        </w:rPr>
        <w:t>分。</w:t>
      </w:r>
    </w:p>
    <w:p w14:paraId="2B3F4827">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（1）管理制度健全性：得3分，</w:t>
      </w:r>
    </w:p>
    <w:p w14:paraId="79C99F14">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①已制定或具有资产管理制度，且相关资产管理制度合法、合规、完整，2分；</w:t>
      </w:r>
    </w:p>
    <w:p w14:paraId="3FCE801A">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②相关资产管理制度得到有效执行，1分。</w:t>
      </w:r>
    </w:p>
    <w:p w14:paraId="231FCDF0">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（2）资产管理安全性：得</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分，</w:t>
      </w:r>
    </w:p>
    <w:p w14:paraId="2118785F">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①资产保存完整；</w:t>
      </w:r>
    </w:p>
    <w:p w14:paraId="6C0415EA">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②资产配置合理；</w:t>
      </w:r>
    </w:p>
    <w:p w14:paraId="2553D9C9">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③资产处置规范； </w:t>
      </w:r>
    </w:p>
    <w:p w14:paraId="67CC4080">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④资产账务管理合规，帐实相符；</w:t>
      </w:r>
    </w:p>
    <w:p w14:paraId="26D8C6A1">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⑤不存在资产有偿使用及处置；</w:t>
      </w:r>
    </w:p>
    <w:p w14:paraId="47A9284F">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（3）固定产利用率：≥90%，得2分</w:t>
      </w:r>
    </w:p>
    <w:p w14:paraId="1299539C">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5.职责履行，得20分。</w:t>
      </w:r>
    </w:p>
    <w:p w14:paraId="4654B90F">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我局积极履职，强化管理，较好的完成了年度工作目标。通过加强预算收支管理，不断建立健全内部管理制度，梳理内部管理流程，部门整体支出管理水平得到提升，。</w:t>
      </w:r>
    </w:p>
    <w:p w14:paraId="5CB76300">
      <w:pPr>
        <w:pageBreakBefore w:val="0"/>
        <w:kinsoku/>
        <w:overflowPunct/>
        <w:topLinePunct w:val="0"/>
        <w:bidi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6.履职效益：得15分。各项工作有序开展，社会和谐稳定。</w:t>
      </w:r>
    </w:p>
    <w:p w14:paraId="2928049D">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0CE9548F">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14:paraId="573511F6">
      <w:pPr>
        <w:pageBreakBefore w:val="0"/>
        <w:kinsoku/>
        <w:overflowPunct/>
        <w:topLinePunct w:val="0"/>
        <w:bidi w:val="0"/>
        <w:spacing w:line="576" w:lineRule="exact"/>
        <w:ind w:firstLine="640" w:firstLineChars="200"/>
        <w:rPr>
          <w:rFonts w:hint="default"/>
          <w:lang w:val="en-US"/>
        </w:rPr>
      </w:pPr>
      <w:r>
        <w:rPr>
          <w:rFonts w:hint="eastAsia" w:ascii="仿宋_GB2312" w:hAnsi="仿宋_GB2312" w:eastAsia="仿宋_GB2312" w:cs="仿宋_GB2312"/>
          <w:color w:val="000000"/>
          <w:sz w:val="32"/>
          <w:szCs w:val="32"/>
        </w:rPr>
        <w:t>通过一年的努力，</w:t>
      </w:r>
      <w:r>
        <w:rPr>
          <w:rFonts w:hint="eastAsia" w:ascii="仿宋_GB2312" w:hAnsi="仿宋_GB2312" w:eastAsia="仿宋_GB2312" w:cs="仿宋_GB2312"/>
          <w:color w:val="000000"/>
          <w:sz w:val="32"/>
          <w:szCs w:val="32"/>
          <w:lang w:val="en-US" w:eastAsia="zh-CN"/>
        </w:rPr>
        <w:t>贫困户对干部、对落实政策等满意度大幅提升。我局4个灾后重建项目均已顺利完工。</w:t>
      </w:r>
    </w:p>
    <w:p w14:paraId="26251F52">
      <w:pPr>
        <w:widowControl/>
        <w:numPr>
          <w:ilvl w:val="0"/>
          <w:numId w:val="9"/>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14:paraId="0262B119">
      <w:pPr>
        <w:pageBreakBefore w:val="0"/>
        <w:kinsoku/>
        <w:overflowPunct/>
        <w:topLinePunct w:val="0"/>
        <w:bidi w:val="0"/>
        <w:spacing w:line="576" w:lineRule="exact"/>
        <w:ind w:firstLine="643" w:firstLineChars="200"/>
        <w:rPr>
          <w:lang w:val="zh-CN"/>
        </w:rPr>
      </w:pPr>
      <w:r>
        <w:rPr>
          <w:rFonts w:hint="eastAsia" w:ascii="仿宋_GB2312" w:hAnsi="仿宋_GB2312" w:eastAsia="仿宋_GB2312" w:cs="仿宋_GB2312"/>
          <w:b/>
          <w:bCs/>
          <w:color w:val="000000"/>
          <w:sz w:val="32"/>
          <w:szCs w:val="32"/>
          <w:lang w:val="en-US" w:eastAsia="zh-CN"/>
        </w:rPr>
        <w:t>一是</w:t>
      </w:r>
      <w:r>
        <w:rPr>
          <w:rFonts w:hint="eastAsia" w:ascii="仿宋_GB2312" w:hAnsi="仿宋_GB2312" w:eastAsia="仿宋_GB2312" w:cs="仿宋_GB2312"/>
          <w:color w:val="000000"/>
          <w:sz w:val="32"/>
          <w:szCs w:val="32"/>
        </w:rPr>
        <w:t>缺乏专业人才</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因</w:t>
      </w:r>
      <w:r>
        <w:rPr>
          <w:rFonts w:hint="eastAsia" w:ascii="仿宋_GB2312" w:hAnsi="仿宋_GB2312" w:eastAsia="仿宋_GB2312" w:cs="仿宋_GB2312"/>
          <w:color w:val="000000"/>
          <w:sz w:val="32"/>
          <w:szCs w:val="32"/>
          <w:lang w:val="en-US" w:eastAsia="zh-CN"/>
        </w:rPr>
        <w:t>我单位</w:t>
      </w:r>
      <w:r>
        <w:rPr>
          <w:rFonts w:hint="eastAsia" w:ascii="仿宋_GB2312" w:hAnsi="仿宋_GB2312" w:eastAsia="仿宋_GB2312" w:cs="仿宋_GB2312"/>
          <w:color w:val="000000"/>
          <w:sz w:val="32"/>
          <w:szCs w:val="32"/>
        </w:rPr>
        <w:t>灾后重建项目多，任务重，而我局没有项目管理的专业人才，仅靠单位非专业人员边摸索、边学习，难免多走弯路。</w:t>
      </w:r>
      <w:r>
        <w:rPr>
          <w:rFonts w:hint="eastAsia" w:ascii="仿宋_GB2312" w:hAnsi="仿宋_GB2312" w:eastAsia="仿宋_GB2312" w:cs="仿宋_GB2312"/>
          <w:b/>
          <w:bCs/>
          <w:color w:val="000000"/>
          <w:sz w:val="32"/>
          <w:szCs w:val="32"/>
          <w:lang w:val="en-US" w:eastAsia="zh-CN"/>
        </w:rPr>
        <w:t>二是</w:t>
      </w:r>
      <w:r>
        <w:rPr>
          <w:rFonts w:hint="eastAsia" w:ascii="仿宋_GB2312" w:hAnsi="仿宋_GB2312" w:eastAsia="仿宋_GB2312" w:cs="仿宋_GB2312"/>
          <w:sz w:val="32"/>
          <w:szCs w:val="32"/>
        </w:rPr>
        <w:t>神仙池景区沿线的通讯问题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上四寨至神仙池景区沿线无信号，处于通讯盲区，这对树立九寨旅游形象和景区资源保护、护林防火工作都极为不利</w:t>
      </w:r>
      <w:r>
        <w:rPr>
          <w:rFonts w:hint="eastAsia" w:ascii="仿宋_GB2312" w:hAnsi="仿宋_GB2312" w:eastAsia="仿宋_GB2312" w:cs="仿宋_GB2312"/>
          <w:color w:val="000000"/>
          <w:sz w:val="32"/>
          <w:szCs w:val="32"/>
        </w:rPr>
        <w:t>。</w:t>
      </w:r>
    </w:p>
    <w:p w14:paraId="7517D97C">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14:paraId="6067B2F0">
      <w:pPr>
        <w:spacing w:line="580" w:lineRule="exact"/>
        <w:ind w:firstLine="643"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
          <w:bCs w:val="0"/>
          <w:sz w:val="32"/>
          <w:szCs w:val="32"/>
          <w:lang w:val="en-US" w:eastAsia="zh-CN"/>
        </w:rPr>
        <w:t>一是</w:t>
      </w:r>
      <w:r>
        <w:rPr>
          <w:rFonts w:hint="eastAsia" w:ascii="仿宋_GB2312" w:hAnsi="仿宋_GB2312" w:eastAsia="仿宋_GB2312" w:cs="仿宋_GB2312"/>
          <w:bCs/>
          <w:sz w:val="32"/>
          <w:szCs w:val="32"/>
          <w:lang w:val="en-US" w:eastAsia="zh-CN"/>
        </w:rPr>
        <w:t>加强我单位灾后重建工作人才的培养，对当前专业技术人员进行锻炼，不断提升其专业技术水平及业务能力，另一方面积极引进急需的专业技术人才，改善现有专业技术人员构成，充分利用专业技术人才在灾后重建项目中的核心作用，确保工程进度与质量。</w:t>
      </w:r>
      <w:r>
        <w:rPr>
          <w:rFonts w:hint="eastAsia" w:ascii="仿宋_GB2312" w:hAnsi="仿宋_GB2312" w:eastAsia="仿宋_GB2312" w:cs="仿宋_GB2312"/>
          <w:b/>
          <w:bCs w:val="0"/>
          <w:sz w:val="32"/>
          <w:szCs w:val="32"/>
          <w:lang w:val="en-US" w:eastAsia="zh-CN"/>
        </w:rPr>
        <w:t>二是</w:t>
      </w:r>
      <w:r>
        <w:rPr>
          <w:rFonts w:hint="eastAsia" w:ascii="仿宋_GB2312" w:hAnsi="仿宋_GB2312" w:eastAsia="仿宋_GB2312" w:cs="仿宋_GB2312"/>
          <w:bCs/>
          <w:sz w:val="32"/>
          <w:szCs w:val="32"/>
          <w:lang w:val="en-US" w:eastAsia="zh-CN"/>
        </w:rPr>
        <w:t>积极与相关通信部门联系，确保景区通讯无盲区。</w:t>
      </w:r>
    </w:p>
    <w:p w14:paraId="69B20715">
      <w:pPr>
        <w:pStyle w:val="5"/>
        <w:pageBreakBefore w:val="0"/>
        <w:kinsoku/>
        <w:overflowPunct/>
        <w:topLinePunct w:val="0"/>
        <w:bidi w:val="0"/>
        <w:spacing w:line="576" w:lineRule="exact"/>
        <w:rPr>
          <w:rStyle w:val="26"/>
          <w:rFonts w:hint="eastAsia" w:ascii="仿宋" w:hAnsi="仿宋" w:eastAsia="仿宋"/>
          <w:b w:val="0"/>
          <w:bCs w:val="0"/>
          <w:sz w:val="32"/>
          <w:szCs w:val="32"/>
        </w:rPr>
      </w:pPr>
    </w:p>
    <w:p w14:paraId="47F39034">
      <w:pPr>
        <w:pStyle w:val="5"/>
        <w:pageBreakBefore w:val="0"/>
        <w:kinsoku/>
        <w:overflowPunct/>
        <w:topLinePunct w:val="0"/>
        <w:bidi w:val="0"/>
        <w:spacing w:line="576" w:lineRule="exact"/>
        <w:rPr>
          <w:rStyle w:val="26"/>
          <w:rFonts w:hint="eastAsia" w:ascii="仿宋" w:hAnsi="仿宋" w:eastAsia="仿宋"/>
          <w:b w:val="0"/>
          <w:bCs w:val="0"/>
          <w:sz w:val="32"/>
          <w:szCs w:val="32"/>
        </w:rPr>
      </w:pPr>
    </w:p>
    <w:p w14:paraId="0276AC86">
      <w:pPr>
        <w:rPr>
          <w:rStyle w:val="26"/>
          <w:rFonts w:hint="eastAsia" w:ascii="仿宋" w:hAnsi="仿宋" w:eastAsia="仿宋"/>
          <w:b w:val="0"/>
          <w:bCs w:val="0"/>
          <w:sz w:val="32"/>
          <w:szCs w:val="32"/>
        </w:rPr>
      </w:pPr>
    </w:p>
    <w:p w14:paraId="4534B819">
      <w:pPr>
        <w:pStyle w:val="2"/>
        <w:rPr>
          <w:rFonts w:hint="eastAsia"/>
        </w:rPr>
      </w:pPr>
    </w:p>
    <w:p w14:paraId="7C94EF4B">
      <w:pPr>
        <w:pStyle w:val="5"/>
        <w:pageBreakBefore w:val="0"/>
        <w:kinsoku/>
        <w:overflowPunct/>
        <w:topLinePunct w:val="0"/>
        <w:bidi w:val="0"/>
        <w:spacing w:line="576" w:lineRule="exact"/>
        <w:rPr>
          <w:rStyle w:val="26"/>
          <w:rFonts w:ascii="仿宋" w:hAnsi="仿宋" w:eastAsia="仿宋"/>
          <w:b w:val="0"/>
          <w:bCs w:val="0"/>
          <w:sz w:val="32"/>
          <w:szCs w:val="32"/>
        </w:rPr>
      </w:pPr>
      <w:r>
        <w:rPr>
          <w:rStyle w:val="26"/>
          <w:rFonts w:hint="eastAsia" w:ascii="仿宋" w:hAnsi="仿宋" w:eastAsia="仿宋"/>
          <w:b w:val="0"/>
          <w:bCs w:val="0"/>
          <w:sz w:val="32"/>
          <w:szCs w:val="32"/>
        </w:rPr>
        <w:t>附件2</w:t>
      </w:r>
      <w:bookmarkEnd w:id="59"/>
    </w:p>
    <w:p w14:paraId="40E3405F">
      <w:pPr>
        <w:pageBreakBefore w:val="0"/>
        <w:kinsoku/>
        <w:overflowPunct/>
        <w:topLinePunct w:val="0"/>
        <w:bidi w:val="0"/>
        <w:spacing w:line="576" w:lineRule="exact"/>
        <w:jc w:val="center"/>
        <w:rPr>
          <w:rStyle w:val="26"/>
        </w:rPr>
      </w:pPr>
      <w:r>
        <w:rPr>
          <w:rFonts w:hint="eastAsia" w:ascii="黑体" w:hAnsi="黑体" w:eastAsia="黑体" w:cs="方正小标宋简体"/>
          <w:sz w:val="44"/>
          <w:szCs w:val="44"/>
          <w:lang w:eastAsia="zh-CN"/>
        </w:rPr>
        <w:t>2020年</w:t>
      </w:r>
      <w:r>
        <w:rPr>
          <w:rStyle w:val="26"/>
          <w:rFonts w:hint="eastAsia"/>
        </w:rPr>
        <w:t>九寨沟县神仙池生态旅游区</w:t>
      </w:r>
    </w:p>
    <w:p w14:paraId="77229996">
      <w:pPr>
        <w:pageBreakBefore w:val="0"/>
        <w:kinsoku/>
        <w:overflowPunct/>
        <w:topLinePunct w:val="0"/>
        <w:bidi w:val="0"/>
        <w:spacing w:line="576" w:lineRule="exact"/>
        <w:jc w:val="center"/>
        <w:rPr>
          <w:rFonts w:ascii="黑体" w:hAnsi="黑体" w:eastAsia="黑体" w:cs="方正小标宋简体"/>
          <w:sz w:val="44"/>
          <w:szCs w:val="44"/>
        </w:rPr>
      </w:pPr>
      <w:r>
        <w:rPr>
          <w:rStyle w:val="26"/>
          <w:rFonts w:hint="eastAsia"/>
        </w:rPr>
        <w:t>建设项目</w:t>
      </w:r>
      <w:r>
        <w:rPr>
          <w:rFonts w:hint="eastAsia" w:ascii="黑体" w:hAnsi="黑体" w:eastAsia="黑体" w:cs="方正小标宋简体"/>
          <w:sz w:val="44"/>
          <w:szCs w:val="44"/>
        </w:rPr>
        <w:t>支出绩效评价报告</w:t>
      </w:r>
    </w:p>
    <w:p w14:paraId="5B023BFC">
      <w:pPr>
        <w:pageBreakBefore w:val="0"/>
        <w:kinsoku/>
        <w:overflowPunct/>
        <w:topLinePunct w:val="0"/>
        <w:bidi w:val="0"/>
        <w:spacing w:line="576" w:lineRule="exact"/>
        <w:rPr>
          <w:rFonts w:ascii="仿宋" w:hAnsi="仿宋" w:eastAsia="仿宋" w:cs="仿宋_GB2312"/>
          <w:sz w:val="32"/>
          <w:szCs w:val="32"/>
        </w:rPr>
      </w:pPr>
      <w:r>
        <w:rPr>
          <w:rFonts w:hint="eastAsia" w:ascii="仿宋" w:hAnsi="仿宋" w:eastAsia="仿宋" w:cs="仿宋_GB2312"/>
          <w:sz w:val="32"/>
          <w:szCs w:val="32"/>
        </w:rPr>
        <w:t>一</w:t>
      </w:r>
      <w:r>
        <w:rPr>
          <w:rFonts w:ascii="仿宋" w:hAnsi="仿宋" w:eastAsia="仿宋" w:cs="仿宋_GB2312"/>
          <w:sz w:val="32"/>
          <w:szCs w:val="32"/>
        </w:rPr>
        <w:t>、评价工作开展及项目情况</w:t>
      </w:r>
    </w:p>
    <w:p w14:paraId="098ABC98">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（一）项目基本概况：</w:t>
      </w:r>
    </w:p>
    <w:p w14:paraId="60EE4BA5">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神仙池核心景区：厕所改扩建150平方米；生态停车场（神仙池保护站）800平方米；神仙池保护站至仙女桥人行栈道3公里；智慧旅游配套设施系统1套。神仙池景区创4A软环境建设。2.神仙池管理中心周边区域配套设施：观光车停靠站3处；木屋式售票点、商业点、吸烟区、花台式隔离带；3.神仙池游客服务中心改造3000平方米；祥云堡（噶玛涛）10千伏输电线路建设共计5公里；</w:t>
      </w:r>
    </w:p>
    <w:p w14:paraId="49BCE074">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（二）项目资金使用及管理情况：</w:t>
      </w:r>
    </w:p>
    <w:p w14:paraId="30F857D5">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本项目总投资概算为8000万元，资金来源为：“8.8”九寨沟地震灾后专项资金。</w:t>
      </w:r>
      <w:r>
        <w:rPr>
          <w:rFonts w:hint="eastAsia" w:ascii="仿宋_GB2312" w:hAnsi="仿宋_GB2312" w:eastAsia="仿宋_GB2312" w:cs="仿宋_GB2312"/>
          <w:sz w:val="32"/>
          <w:szCs w:val="32"/>
          <w:lang w:eastAsia="zh-CN"/>
        </w:rPr>
        <w:t>截至目前</w:t>
      </w:r>
      <w:r>
        <w:rPr>
          <w:rFonts w:hint="eastAsia" w:ascii="仿宋_GB2312" w:hAnsi="仿宋_GB2312" w:eastAsia="仿宋_GB2312" w:cs="仿宋_GB2312"/>
          <w:sz w:val="32"/>
          <w:szCs w:val="32"/>
        </w:rPr>
        <w:t>已到位2000万元。截止</w:t>
      </w:r>
      <w:r>
        <w:rPr>
          <w:rFonts w:hint="eastAsia" w:ascii="仿宋_GB2312" w:hAnsi="仿宋_GB2312" w:eastAsia="仿宋_GB2312" w:cs="仿宋_GB2312"/>
          <w:sz w:val="32"/>
          <w:szCs w:val="32"/>
          <w:lang w:eastAsia="zh-CN"/>
        </w:rPr>
        <w:t>2020年</w:t>
      </w:r>
      <w:r>
        <w:rPr>
          <w:rFonts w:hint="eastAsia" w:ascii="仿宋_GB2312" w:hAnsi="仿宋_GB2312" w:eastAsia="仿宋_GB2312" w:cs="仿宋_GB2312"/>
          <w:sz w:val="32"/>
          <w:szCs w:val="32"/>
        </w:rPr>
        <w:t>12月支付项目工程进度款</w:t>
      </w:r>
      <w:r>
        <w:rPr>
          <w:rFonts w:hint="eastAsia" w:ascii="仿宋_GB2312" w:hAnsi="仿宋_GB2312" w:eastAsia="仿宋_GB2312" w:cs="仿宋_GB2312"/>
          <w:sz w:val="32"/>
          <w:szCs w:val="32"/>
          <w:lang w:val="en-US" w:eastAsia="zh-CN"/>
        </w:rPr>
        <w:t>2000</w:t>
      </w:r>
      <w:r>
        <w:rPr>
          <w:rFonts w:hint="eastAsia" w:ascii="仿宋_GB2312" w:hAnsi="仿宋_GB2312" w:eastAsia="仿宋_GB2312" w:cs="仿宋_GB2312"/>
          <w:sz w:val="32"/>
          <w:szCs w:val="32"/>
        </w:rPr>
        <w:t>万元，该项目资金的申报及批复情况是符合资金管理办法等相关规定。</w:t>
      </w:r>
    </w:p>
    <w:p w14:paraId="6363BBF7">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（三）项目组织实施情况</w:t>
      </w:r>
    </w:p>
    <w:p w14:paraId="00795FFD">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所有项目由施工方按照施工合同具体实施，整个项目的申报、实施等都严格执行招投标、政府采购、项目公示等相关管理制度，未出现违规现象。</w:t>
      </w:r>
    </w:p>
    <w:p w14:paraId="489AED85">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（四）综合评价情况及评价结论</w:t>
      </w:r>
    </w:p>
    <w:p w14:paraId="2B1936B1">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厕所改扩建150平方米；生态停车场（神仙池保护站）800平方米；神仙池保护站至仙女桥人行栈道3公里；智慧旅游配套设施系统1套。神仙池景区创4A软环境建设。2.神仙池管理中心周边区域配套设施：观光车停靠站3处；木屋式售票点、商业点、吸烟区、花台式隔离带；3.神仙池游客服务中心改造3000平方米；祥云堡（噶玛涛）10千伏输电线路建设共计5公里；</w:t>
      </w:r>
      <w:r>
        <w:rPr>
          <w:rFonts w:hint="eastAsia" w:ascii="仿宋_GB2312" w:hAnsi="仿宋_GB2312" w:eastAsia="仿宋_GB2312" w:cs="仿宋_GB2312"/>
          <w:sz w:val="32"/>
          <w:szCs w:val="32"/>
          <w:lang w:val="en-US" w:eastAsia="zh-CN"/>
        </w:rPr>
        <w:t>该项目已完工</w:t>
      </w:r>
      <w:r>
        <w:rPr>
          <w:rFonts w:hint="eastAsia" w:ascii="仿宋_GB2312" w:hAnsi="仿宋_GB2312" w:eastAsia="仿宋_GB2312" w:cs="仿宋_GB2312"/>
          <w:sz w:val="32"/>
          <w:szCs w:val="32"/>
        </w:rPr>
        <w:t>。有效保障生态建设与保护，维护生态安全、人民群众生命健康，综合评价结果优秀。</w:t>
      </w:r>
    </w:p>
    <w:p w14:paraId="31F1CE78">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（五）项目主要绩效情况分析</w:t>
      </w:r>
    </w:p>
    <w:p w14:paraId="153E7D0E">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1.项目决策：项目目标明确，决策过程公开透明，资金分配合理，得20分：</w:t>
      </w:r>
    </w:p>
    <w:p w14:paraId="6D6C043A">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（1）项目目标：有效保障生态建设与保护，提高森林防火控制能力，维护园区生态平衡，得4分。</w:t>
      </w:r>
    </w:p>
    <w:p w14:paraId="71604409">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（2）决策过程：公开透明，符合相关法律规定，得8分</w:t>
      </w:r>
    </w:p>
    <w:p w14:paraId="1350D0E4">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决策依据①符合法律法规（1分）；②符合经济社会发展规划（1分）；③部门年度工作计划（1分）；④针对某一实际问题和需求（1分）得4分；</w:t>
      </w:r>
    </w:p>
    <w:p w14:paraId="58F30DCC">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决策程序：①符合申报条件（2分）；②项目申报、批复程序符合管理办法（1分）；③项目调整履行了相应手续（1分），得4分。</w:t>
      </w:r>
    </w:p>
    <w:p w14:paraId="1C1B2ADB">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（3）资金分配：有相关资金管理办法，资金分配结果公平合理，得8分。</w:t>
      </w:r>
    </w:p>
    <w:p w14:paraId="74080275">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资金分配：①有相应的资金管理办法（1分）；②办法健全、规范（1分）；③因素全面合理（1分），得3分。</w:t>
      </w:r>
    </w:p>
    <w:p w14:paraId="15248A54">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分配结果：①符合分配办法（2分）；②分配公平合理（3分），得5分。</w:t>
      </w:r>
    </w:p>
    <w:p w14:paraId="3196F198">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2.项目管理：得25分。</w:t>
      </w:r>
    </w:p>
    <w:p w14:paraId="7CDE723C">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（1）资金到位：得5分；</w:t>
      </w:r>
    </w:p>
    <w:p w14:paraId="67925242">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资金到位率100%，得3分；到位及时得2分。</w:t>
      </w:r>
    </w:p>
    <w:p w14:paraId="5FEC7C87">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（2）资金管理：资金使用及财务管理规范，得10分；</w:t>
      </w:r>
    </w:p>
    <w:p w14:paraId="06ED9DEE">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资金使用：支出依据合规，无虚列项目支出情况；无截留挤占挪用情况；无超标准开支情况；无超预算情况，得7分；</w:t>
      </w:r>
    </w:p>
    <w:p w14:paraId="364547C4">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财务管理：资金管理、费用支出等制度健全；制度执行严格；会计核算规范，得3分。</w:t>
      </w:r>
    </w:p>
    <w:p w14:paraId="4B89672C">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（3）组织实施：机构健全、分工明确，具备人员、场地、设备条件，项目按计划开工完工，项目管理制度健全，并严格执行相关管理制度，得10分。</w:t>
      </w:r>
    </w:p>
    <w:p w14:paraId="108198F7">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3.项目绩效：得55分。</w:t>
      </w:r>
    </w:p>
    <w:p w14:paraId="418E90A0">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（1）项目产出：得15分。目标完成率100%，得5分；目标完成质量100%，得4分；项目在基金使用的预定目标如期完成，得3分；项目产出成本严格按照绩效目标控制，得3分。</w:t>
      </w:r>
    </w:p>
    <w:p w14:paraId="21E196AC">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（2）项目效果：得40分。</w:t>
      </w:r>
    </w:p>
    <w:p w14:paraId="4C48CEE3">
      <w:pPr>
        <w:rPr>
          <w:rFonts w:ascii="仿宋_GB2312" w:hAnsi="仿宋_GB2312" w:eastAsia="仿宋_GB2312" w:cs="仿宋_GB2312"/>
          <w:sz w:val="32"/>
          <w:szCs w:val="32"/>
        </w:rPr>
      </w:pPr>
      <w:r>
        <w:rPr>
          <w:rFonts w:hint="eastAsia" w:ascii="仿宋_GB2312" w:hAnsi="仿宋_GB2312" w:eastAsia="仿宋_GB2312" w:cs="仿宋_GB2312"/>
          <w:sz w:val="32"/>
          <w:szCs w:val="32"/>
        </w:rPr>
        <w:t>①经济效益：</w:t>
      </w:r>
      <w:r>
        <w:rPr>
          <w:rFonts w:hint="eastAsia" w:ascii="仿宋_GB2312" w:hAnsi="仿宋_GB2312" w:eastAsia="仿宋_GB2312" w:cs="仿宋_GB2312"/>
          <w:sz w:val="32"/>
          <w:szCs w:val="32"/>
          <w:lang w:val="en-US" w:eastAsia="zh-CN"/>
        </w:rPr>
        <w:t>该项目建设完成提高九寨沟县生态旅游竞争力、促进经济社会可持续发展有效保障生态建设与保护，维护生态安全。</w:t>
      </w:r>
      <w:r>
        <w:rPr>
          <w:rFonts w:hint="eastAsia" w:ascii="仿宋_GB2312" w:hAnsi="仿宋_GB2312" w:eastAsia="仿宋_GB2312" w:cs="仿宋_GB2312"/>
          <w:sz w:val="32"/>
          <w:szCs w:val="32"/>
        </w:rPr>
        <w:t>得8分。</w:t>
      </w:r>
    </w:p>
    <w:p w14:paraId="24EF349C">
      <w:pPr>
        <w:pageBreakBefore w:val="0"/>
        <w:kinsoku/>
        <w:overflowPunct/>
        <w:topLinePunct w:val="0"/>
        <w:bidi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②社会效益：该项目的建设，</w:t>
      </w:r>
      <w:r>
        <w:rPr>
          <w:rFonts w:hint="eastAsia" w:ascii="仿宋_GB2312" w:hAnsi="仿宋_GB2312" w:eastAsia="仿宋_GB2312" w:cs="仿宋_GB2312"/>
          <w:sz w:val="32"/>
          <w:szCs w:val="32"/>
          <w:lang w:val="en-US" w:eastAsia="zh-CN"/>
        </w:rPr>
        <w:t>有效</w:t>
      </w:r>
      <w:r>
        <w:rPr>
          <w:rFonts w:hint="eastAsia" w:ascii="仿宋_GB2312" w:hAnsi="仿宋_GB2312" w:eastAsia="仿宋_GB2312" w:cs="仿宋_GB2312"/>
          <w:sz w:val="32"/>
          <w:szCs w:val="32"/>
        </w:rPr>
        <w:t>保障人民群众生命健康和维护和谐稳定大局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得8分。</w:t>
      </w:r>
    </w:p>
    <w:p w14:paraId="260ACA85">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③环境效益：提高项目区森林防火控制能力，得8分。</w:t>
      </w:r>
    </w:p>
    <w:p w14:paraId="54CD39B6">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④可持续影响：该项目的实施切实解决了</w:t>
      </w:r>
      <w:r>
        <w:rPr>
          <w:rFonts w:hint="eastAsia" w:ascii="仿宋_GB2312" w:hAnsi="仿宋_GB2312" w:eastAsia="仿宋_GB2312" w:cs="仿宋_GB2312"/>
          <w:sz w:val="32"/>
          <w:szCs w:val="32"/>
          <w:lang w:val="en-US" w:eastAsia="zh-CN"/>
        </w:rPr>
        <w:t>森林防火</w:t>
      </w:r>
      <w:r>
        <w:rPr>
          <w:rFonts w:hint="eastAsia" w:ascii="仿宋_GB2312" w:hAnsi="仿宋_GB2312" w:eastAsia="仿宋_GB2312" w:cs="仿宋_GB2312"/>
          <w:sz w:val="32"/>
          <w:szCs w:val="32"/>
        </w:rPr>
        <w:t>安全</w:t>
      </w:r>
      <w:r>
        <w:rPr>
          <w:rFonts w:hint="eastAsia" w:ascii="仿宋_GB2312" w:hAnsi="仿宋_GB2312" w:eastAsia="仿宋_GB2312" w:cs="仿宋_GB2312"/>
          <w:sz w:val="32"/>
          <w:szCs w:val="32"/>
          <w:lang w:val="en-US" w:eastAsia="zh-CN"/>
        </w:rPr>
        <w:t>隐患</w:t>
      </w:r>
      <w:r>
        <w:rPr>
          <w:rFonts w:hint="eastAsia" w:ascii="仿宋_GB2312" w:hAnsi="仿宋_GB2312" w:eastAsia="仿宋_GB2312" w:cs="仿宋_GB2312"/>
          <w:sz w:val="32"/>
          <w:szCs w:val="32"/>
        </w:rPr>
        <w:t>的问题，对</w:t>
      </w:r>
      <w:r>
        <w:rPr>
          <w:rFonts w:hint="eastAsia" w:ascii="仿宋_GB2312" w:hAnsi="仿宋_GB2312" w:eastAsia="仿宋_GB2312" w:cs="仿宋_GB2312"/>
          <w:sz w:val="32"/>
          <w:szCs w:val="32"/>
          <w:lang w:val="en-US" w:eastAsia="zh-CN"/>
        </w:rPr>
        <w:t>群众安全</w:t>
      </w:r>
      <w:r>
        <w:rPr>
          <w:rFonts w:hint="eastAsia" w:ascii="仿宋_GB2312" w:hAnsi="仿宋_GB2312" w:eastAsia="仿宋_GB2312" w:cs="仿宋_GB2312"/>
          <w:sz w:val="32"/>
          <w:szCs w:val="32"/>
        </w:rPr>
        <w:t>带来了可持续影响，同时</w:t>
      </w:r>
      <w:r>
        <w:rPr>
          <w:rFonts w:hint="eastAsia" w:ascii="仿宋_GB2312" w:hAnsi="仿宋_GB2312" w:eastAsia="仿宋_GB2312" w:cs="仿宋_GB2312"/>
          <w:sz w:val="32"/>
          <w:szCs w:val="32"/>
          <w:lang w:val="en-US" w:eastAsia="zh-CN"/>
        </w:rPr>
        <w:t>栈道建设、输电线改造</w:t>
      </w:r>
      <w:r>
        <w:rPr>
          <w:rFonts w:hint="eastAsia" w:ascii="仿宋_GB2312" w:hAnsi="仿宋_GB2312" w:eastAsia="仿宋_GB2312" w:cs="仿宋_GB2312"/>
          <w:sz w:val="32"/>
          <w:szCs w:val="32"/>
        </w:rPr>
        <w:t>等建设对自然及资源带来可持续影响，得8分。</w:t>
      </w:r>
    </w:p>
    <w:p w14:paraId="5A7505BA">
      <w:pPr>
        <w:pageBreakBefore w:val="0"/>
        <w:kinsoku/>
        <w:overflowPunct/>
        <w:topLinePunct w:val="0"/>
        <w:bidi w:val="0"/>
        <w:spacing w:line="576" w:lineRule="exact"/>
        <w:ind w:firstLine="640" w:firstLineChars="200"/>
        <w:rPr>
          <w:rFonts w:ascii="仿宋_GB2312" w:hAnsi="仿宋_GB2312" w:eastAsia="仿宋_GB2312" w:cs="仿宋_GB2312"/>
          <w:color w:val="7F7F7F"/>
          <w:sz w:val="32"/>
          <w:szCs w:val="32"/>
        </w:rPr>
      </w:pPr>
      <w:r>
        <w:rPr>
          <w:rFonts w:hint="eastAsia" w:ascii="仿宋_GB2312" w:hAnsi="仿宋_GB2312" w:eastAsia="仿宋_GB2312" w:cs="仿宋_GB2312"/>
          <w:sz w:val="32"/>
          <w:szCs w:val="32"/>
        </w:rPr>
        <w:t>⑤服务对象满意度：该项目的建设完成，解决了</w:t>
      </w:r>
      <w:r>
        <w:rPr>
          <w:rFonts w:hint="eastAsia" w:ascii="仿宋_GB2312" w:hAnsi="仿宋_GB2312" w:eastAsia="仿宋_GB2312" w:cs="仿宋_GB2312"/>
          <w:sz w:val="32"/>
          <w:szCs w:val="32"/>
          <w:lang w:val="en-US" w:eastAsia="zh-CN"/>
        </w:rPr>
        <w:t>护林防火安全隐患等</w:t>
      </w:r>
      <w:r>
        <w:rPr>
          <w:rFonts w:hint="eastAsia" w:ascii="仿宋_GB2312" w:hAnsi="仿宋_GB2312" w:eastAsia="仿宋_GB2312" w:cs="仿宋_GB2312"/>
          <w:sz w:val="32"/>
          <w:szCs w:val="32"/>
        </w:rPr>
        <w:t>问题，群众满意度达100%，得8分。</w:t>
      </w:r>
    </w:p>
    <w:p w14:paraId="2456AED9">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（六）主要经验及做法、存在问题和建议</w:t>
      </w:r>
    </w:p>
    <w:p w14:paraId="76309455">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1.主要经验及做法：项目的确立要以有效保障生态建设与保护，维护生态安全为宗旨，以切实提高森林防火控制能力，维护园区生态平衡为目标，项目的申报、实施过程公开透明。</w:t>
      </w:r>
    </w:p>
    <w:p w14:paraId="7589A8B7">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2.存在的问题和建议：</w:t>
      </w:r>
    </w:p>
    <w:p w14:paraId="5FAB3EE5">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由于天气等自然条件的影响，项目在施工中，施工进度较为缓慢，建议在以后的项目规划中，充分考虑天气等客观原因对项目施工的影响，合理规划施工期限。</w:t>
      </w:r>
    </w:p>
    <w:p w14:paraId="049AF98F">
      <w:pPr>
        <w:pageBreakBefore w:val="0"/>
        <w:kinsoku/>
        <w:overflowPunct/>
        <w:topLinePunct w:val="0"/>
        <w:bidi w:val="0"/>
        <w:spacing w:line="576" w:lineRule="exact"/>
        <w:jc w:val="center"/>
        <w:rPr>
          <w:rFonts w:ascii="黑体" w:hAnsi="黑体" w:eastAsia="黑体" w:cs="方正小标宋简体"/>
          <w:sz w:val="44"/>
          <w:szCs w:val="44"/>
        </w:rPr>
      </w:pPr>
      <w:bookmarkStart w:id="60" w:name="_Toc15396618"/>
    </w:p>
    <w:p w14:paraId="16DD9142">
      <w:pPr>
        <w:pageBreakBefore w:val="0"/>
        <w:kinsoku/>
        <w:overflowPunct/>
        <w:topLinePunct w:val="0"/>
        <w:bidi w:val="0"/>
        <w:spacing w:line="576" w:lineRule="exact"/>
        <w:jc w:val="center"/>
        <w:rPr>
          <w:rFonts w:ascii="黑体" w:hAnsi="黑体" w:eastAsia="黑体" w:cs="方正小标宋简体"/>
          <w:sz w:val="44"/>
          <w:szCs w:val="44"/>
        </w:rPr>
      </w:pPr>
    </w:p>
    <w:p w14:paraId="647F3471">
      <w:pPr>
        <w:pageBreakBefore w:val="0"/>
        <w:kinsoku/>
        <w:overflowPunct/>
        <w:topLinePunct w:val="0"/>
        <w:bidi w:val="0"/>
        <w:spacing w:line="576" w:lineRule="exact"/>
        <w:jc w:val="center"/>
        <w:rPr>
          <w:rFonts w:hint="eastAsia" w:ascii="黑体" w:hAnsi="黑体" w:eastAsia="黑体" w:cs="方正小标宋简体"/>
          <w:sz w:val="44"/>
          <w:szCs w:val="44"/>
        </w:rPr>
      </w:pPr>
    </w:p>
    <w:p w14:paraId="0E30ABEA">
      <w:pPr>
        <w:pageBreakBefore w:val="0"/>
        <w:kinsoku/>
        <w:overflowPunct/>
        <w:topLinePunct w:val="0"/>
        <w:bidi w:val="0"/>
        <w:spacing w:line="576" w:lineRule="exact"/>
        <w:jc w:val="center"/>
        <w:rPr>
          <w:rFonts w:hint="eastAsia" w:ascii="黑体" w:hAnsi="黑体" w:eastAsia="黑体" w:cs="方正小标宋简体"/>
          <w:sz w:val="44"/>
          <w:szCs w:val="44"/>
        </w:rPr>
      </w:pPr>
    </w:p>
    <w:p w14:paraId="6A923E80">
      <w:pPr>
        <w:pageBreakBefore w:val="0"/>
        <w:kinsoku/>
        <w:overflowPunct/>
        <w:topLinePunct w:val="0"/>
        <w:bidi w:val="0"/>
        <w:spacing w:line="576" w:lineRule="exact"/>
        <w:jc w:val="center"/>
        <w:rPr>
          <w:rFonts w:hint="eastAsia" w:ascii="黑体" w:hAnsi="黑体" w:eastAsia="黑体" w:cs="方正小标宋简体"/>
          <w:sz w:val="44"/>
          <w:szCs w:val="44"/>
        </w:rPr>
      </w:pPr>
    </w:p>
    <w:p w14:paraId="1BEF61DA">
      <w:pPr>
        <w:pageBreakBefore w:val="0"/>
        <w:kinsoku/>
        <w:overflowPunct/>
        <w:topLinePunct w:val="0"/>
        <w:bidi w:val="0"/>
        <w:spacing w:line="576" w:lineRule="exact"/>
        <w:jc w:val="center"/>
        <w:rPr>
          <w:rFonts w:hint="eastAsia" w:ascii="黑体" w:hAnsi="黑体" w:eastAsia="黑体" w:cs="方正小标宋简体"/>
          <w:sz w:val="44"/>
          <w:szCs w:val="44"/>
        </w:rPr>
      </w:pPr>
    </w:p>
    <w:p w14:paraId="038C7B8C">
      <w:pPr>
        <w:pageBreakBefore w:val="0"/>
        <w:kinsoku/>
        <w:overflowPunct/>
        <w:topLinePunct w:val="0"/>
        <w:bidi w:val="0"/>
        <w:spacing w:line="576" w:lineRule="exact"/>
        <w:jc w:val="both"/>
        <w:rPr>
          <w:rFonts w:hint="eastAsia" w:ascii="黑体" w:hAnsi="黑体" w:eastAsia="黑体" w:cs="方正小标宋简体"/>
          <w:sz w:val="44"/>
          <w:szCs w:val="44"/>
        </w:rPr>
      </w:pPr>
    </w:p>
    <w:p w14:paraId="71920372">
      <w:pPr>
        <w:pageBreakBefore w:val="0"/>
        <w:kinsoku/>
        <w:overflowPunct/>
        <w:topLinePunct w:val="0"/>
        <w:bidi w:val="0"/>
        <w:spacing w:line="576" w:lineRule="exact"/>
        <w:jc w:val="center"/>
        <w:rPr>
          <w:rStyle w:val="26"/>
        </w:rPr>
      </w:pPr>
      <w:r>
        <w:rPr>
          <w:rFonts w:hint="eastAsia" w:ascii="黑体" w:hAnsi="黑体" w:eastAsia="黑体" w:cs="方正小标宋简体"/>
          <w:sz w:val="44"/>
          <w:szCs w:val="44"/>
        </w:rPr>
        <w:t>20</w:t>
      </w:r>
      <w:r>
        <w:rPr>
          <w:rFonts w:hint="eastAsia" w:ascii="黑体" w:hAnsi="黑体" w:eastAsia="黑体" w:cs="方正小标宋简体"/>
          <w:sz w:val="44"/>
          <w:szCs w:val="44"/>
          <w:lang w:val="en-US" w:eastAsia="zh-CN"/>
        </w:rPr>
        <w:t>20</w:t>
      </w:r>
      <w:r>
        <w:rPr>
          <w:rFonts w:hint="eastAsia" w:ascii="黑体" w:hAnsi="黑体" w:eastAsia="黑体" w:cs="方正小标宋简体"/>
          <w:sz w:val="44"/>
          <w:szCs w:val="44"/>
        </w:rPr>
        <w:t>年</w:t>
      </w:r>
      <w:r>
        <w:rPr>
          <w:rStyle w:val="26"/>
          <w:rFonts w:hint="eastAsia"/>
        </w:rPr>
        <w:t>九寨国家森林公园林区道路恢复重</w:t>
      </w:r>
    </w:p>
    <w:p w14:paraId="350ACDF9">
      <w:pPr>
        <w:pageBreakBefore w:val="0"/>
        <w:kinsoku/>
        <w:overflowPunct/>
        <w:topLinePunct w:val="0"/>
        <w:bidi w:val="0"/>
        <w:spacing w:line="576" w:lineRule="exact"/>
        <w:jc w:val="center"/>
        <w:rPr>
          <w:rFonts w:ascii="黑体" w:hAnsi="黑体" w:eastAsia="黑体" w:cs="方正小标宋简体"/>
          <w:sz w:val="44"/>
          <w:szCs w:val="44"/>
        </w:rPr>
      </w:pPr>
      <w:r>
        <w:rPr>
          <w:rStyle w:val="26"/>
          <w:rFonts w:hint="eastAsia"/>
        </w:rPr>
        <w:t>建设项目</w:t>
      </w:r>
      <w:r>
        <w:rPr>
          <w:rFonts w:hint="eastAsia" w:ascii="黑体" w:hAnsi="黑体" w:eastAsia="黑体" w:cs="方正小标宋简体"/>
          <w:sz w:val="44"/>
          <w:szCs w:val="44"/>
        </w:rPr>
        <w:t>支出绩效评价报告</w:t>
      </w:r>
    </w:p>
    <w:p w14:paraId="61DD5F80">
      <w:pPr>
        <w:pageBreakBefore w:val="0"/>
        <w:kinsoku/>
        <w:overflowPunct/>
        <w:topLinePunct w:val="0"/>
        <w:bidi w:val="0"/>
        <w:spacing w:line="576" w:lineRule="exact"/>
        <w:rPr>
          <w:rFonts w:ascii="仿宋" w:hAnsi="仿宋" w:eastAsia="仿宋" w:cs="仿宋_GB2312"/>
          <w:sz w:val="32"/>
          <w:szCs w:val="32"/>
        </w:rPr>
      </w:pPr>
      <w:r>
        <w:rPr>
          <w:rFonts w:hint="eastAsia" w:ascii="仿宋" w:hAnsi="仿宋" w:eastAsia="仿宋" w:cs="仿宋_GB2312"/>
          <w:sz w:val="32"/>
          <w:szCs w:val="32"/>
        </w:rPr>
        <w:t>一</w:t>
      </w:r>
      <w:r>
        <w:rPr>
          <w:rFonts w:ascii="仿宋" w:hAnsi="仿宋" w:eastAsia="仿宋" w:cs="仿宋_GB2312"/>
          <w:sz w:val="32"/>
          <w:szCs w:val="32"/>
        </w:rPr>
        <w:t>、</w:t>
      </w:r>
      <w:r>
        <w:rPr>
          <w:rFonts w:hint="eastAsia" w:ascii="仿宋_GB2312" w:hAnsi="仿宋_GB2312" w:eastAsia="仿宋_GB2312" w:cs="仿宋_GB2312"/>
          <w:sz w:val="32"/>
          <w:szCs w:val="32"/>
        </w:rPr>
        <w:t>评价工作开展及项目情况</w:t>
      </w:r>
    </w:p>
    <w:p w14:paraId="1186BEDA">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（一）项目基本概况：</w:t>
      </w:r>
    </w:p>
    <w:p w14:paraId="7DEE47C6">
      <w:pPr>
        <w:pageBreakBefore w:val="0"/>
        <w:kinsoku/>
        <w:overflowPunct/>
        <w:topLinePunct w:val="0"/>
        <w:bidi w:val="0"/>
        <w:spacing w:line="576" w:lineRule="exact"/>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1.重建林区道路全长4175米；2.补修水泥混</w:t>
      </w:r>
      <w:r>
        <w:rPr>
          <w:rFonts w:hint="eastAsia" w:ascii="仿宋_GB2312" w:hAnsi="仿宋_GB2312" w:eastAsia="仿宋_GB2312" w:cs="仿宋_GB2312"/>
          <w:sz w:val="32"/>
          <w:szCs w:val="32"/>
          <w:lang w:val="en-US" w:eastAsia="zh-CN"/>
        </w:rPr>
        <w:t>凝</w:t>
      </w:r>
      <w:r>
        <w:rPr>
          <w:rFonts w:hint="eastAsia" w:ascii="仿宋_GB2312" w:hAnsi="仿宋_GB2312" w:eastAsia="仿宋_GB2312" w:cs="仿宋_GB2312"/>
          <w:sz w:val="32"/>
          <w:szCs w:val="32"/>
        </w:rPr>
        <w:t>土路面全长1890米；3.重建砾石路面护林防火通道3950米。</w:t>
      </w:r>
    </w:p>
    <w:p w14:paraId="1F597B25">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（二）项目资金使用及管理情况：</w:t>
      </w:r>
    </w:p>
    <w:p w14:paraId="7FFA1539">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本项目总投资概算为650万元，资金来源为：“8.8”九寨沟地震灾后专项资金。</w:t>
      </w:r>
      <w:r>
        <w:rPr>
          <w:rFonts w:hint="eastAsia" w:ascii="仿宋_GB2312" w:hAnsi="仿宋_GB2312" w:eastAsia="仿宋_GB2312" w:cs="仿宋_GB2312"/>
          <w:sz w:val="32"/>
          <w:szCs w:val="32"/>
          <w:lang w:eastAsia="zh-CN"/>
        </w:rPr>
        <w:t>截至目前</w:t>
      </w:r>
      <w:r>
        <w:rPr>
          <w:rFonts w:hint="eastAsia" w:ascii="仿宋_GB2312" w:hAnsi="仿宋_GB2312" w:eastAsia="仿宋_GB2312" w:cs="仿宋_GB2312"/>
          <w:sz w:val="32"/>
          <w:szCs w:val="32"/>
        </w:rPr>
        <w:t>已到位600万元。截止</w:t>
      </w:r>
      <w:r>
        <w:rPr>
          <w:rFonts w:hint="eastAsia" w:ascii="仿宋_GB2312" w:hAnsi="仿宋_GB2312" w:eastAsia="仿宋_GB2312" w:cs="仿宋_GB2312"/>
          <w:sz w:val="32"/>
          <w:szCs w:val="32"/>
          <w:lang w:eastAsia="zh-CN"/>
        </w:rPr>
        <w:t>2020年</w:t>
      </w:r>
      <w:r>
        <w:rPr>
          <w:rFonts w:hint="eastAsia" w:ascii="仿宋_GB2312" w:hAnsi="仿宋_GB2312" w:eastAsia="仿宋_GB2312" w:cs="仿宋_GB2312"/>
          <w:sz w:val="32"/>
          <w:szCs w:val="32"/>
        </w:rPr>
        <w:t>12月支付项目工程进度款</w:t>
      </w:r>
      <w:r>
        <w:rPr>
          <w:rFonts w:hint="eastAsia" w:ascii="仿宋_GB2312" w:hAnsi="仿宋_GB2312" w:eastAsia="仿宋_GB2312" w:cs="仿宋_GB2312"/>
          <w:sz w:val="32"/>
          <w:szCs w:val="32"/>
          <w:lang w:val="en-US" w:eastAsia="zh-CN"/>
        </w:rPr>
        <w:t>600</w:t>
      </w:r>
      <w:r>
        <w:rPr>
          <w:rFonts w:hint="eastAsia" w:ascii="仿宋_GB2312" w:hAnsi="仿宋_GB2312" w:eastAsia="仿宋_GB2312" w:cs="仿宋_GB2312"/>
          <w:sz w:val="32"/>
          <w:szCs w:val="32"/>
        </w:rPr>
        <w:t>万元，前期费用61.35万元，该项目资金的申报及批复情况是符合资金管理办法等相关规定。</w:t>
      </w:r>
    </w:p>
    <w:p w14:paraId="4B81B88E">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（三）项目组织实施情况</w:t>
      </w:r>
    </w:p>
    <w:p w14:paraId="01BE7B76">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所有项目由施工方按照施工合同具体实施，整个项目的申报、实施等都严格执行招投标、政府采购、项目公示等相关管理制度，未出现违规现象。</w:t>
      </w:r>
    </w:p>
    <w:p w14:paraId="78F45CEA">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（四）综合评价情况及评价结论</w:t>
      </w:r>
    </w:p>
    <w:p w14:paraId="5A814D87">
      <w:pPr>
        <w:pageBreakBefore w:val="0"/>
        <w:kinsoku/>
        <w:overflowPunct/>
        <w:topLinePunct w:val="0"/>
        <w:bidi w:val="0"/>
        <w:spacing w:line="576"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10公里林区道路施工工程顺利进行为提高九寨沟县生态旅游竞争力、促进经济社会可持续发展，保障人民群众生命健康和维护和谐稳定大局，提高项目区森林防火控制能力。综合评价结果优秀。</w:t>
      </w:r>
    </w:p>
    <w:p w14:paraId="7050B992">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（五）项目主要绩效情况分析</w:t>
      </w:r>
    </w:p>
    <w:p w14:paraId="6798A970">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1.项目决策：项目目标明确，决策过程公开透明，资金分配合理，得20分：</w:t>
      </w:r>
    </w:p>
    <w:p w14:paraId="154264E2">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（1）项目目标：有效保障生态建设与保护，提高森林防火控制能力，维护园区生态平衡，得4分。</w:t>
      </w:r>
    </w:p>
    <w:p w14:paraId="768B4456">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（2）决策过程：公开透明，符合相关法律规定，得8分</w:t>
      </w:r>
    </w:p>
    <w:p w14:paraId="187F1F97">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决策依据①符合法律法规（1分）；②符合经济社会发展规划（1分）；③部门年度工作计划（1分）；④针对某一实际问题和需求（1分）得4分；</w:t>
      </w:r>
    </w:p>
    <w:p w14:paraId="612A37A4">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决策程序：①符合申报条件（2分）；②项目申报、批复程序符合管理办法（1分）；③项目调整履行了相应手续（1分），得4分。</w:t>
      </w:r>
    </w:p>
    <w:p w14:paraId="1937002E">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（3）资金分配：有相关资金管理办法，资金分配结果公平合理，得8分。</w:t>
      </w:r>
    </w:p>
    <w:p w14:paraId="55AA17EA">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资金分配：①有相应的资金管理办法（1分）；②办法健全、规范（1分）；③因素全面合理（1分），得3分。</w:t>
      </w:r>
    </w:p>
    <w:p w14:paraId="780F5B61">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分配结果：①符合分配办法（2分）；②分配公平合理（3分），得5分。</w:t>
      </w:r>
    </w:p>
    <w:p w14:paraId="360378A2">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2.项目管理：得25分。</w:t>
      </w:r>
    </w:p>
    <w:p w14:paraId="5750CD0E">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（1）资金到位：得5分；</w:t>
      </w:r>
    </w:p>
    <w:p w14:paraId="3AAD66AD">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资金到位率100%，得3分；到位及时得2分。</w:t>
      </w:r>
    </w:p>
    <w:p w14:paraId="40C286EB">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（2）资金管理：资金使用及财务管理规范，得10分；</w:t>
      </w:r>
    </w:p>
    <w:p w14:paraId="2A33B046">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资金使用：支出依据合规，无虚列项目支出情况；无截留挤占挪用情况；无超标准开支情况；无超预算情况，得7分；</w:t>
      </w:r>
    </w:p>
    <w:p w14:paraId="223A8B44">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财务管理：资金管理、费用支出等制度健全；制度执行严格；会计核算规范，得3分。</w:t>
      </w:r>
    </w:p>
    <w:p w14:paraId="4BAB4CAB">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（3）组织实施：机构健全、分工明确，具备人员、场地、设备条件，项目按计划开工完工，项目管理制度健全，并严格执行相关管理制度，得10分。</w:t>
      </w:r>
    </w:p>
    <w:p w14:paraId="76F4847E">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3.项目绩效：得55分。</w:t>
      </w:r>
    </w:p>
    <w:p w14:paraId="48D2E66B">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（1）项目产出：得15分。目标完成率100%，得5分；目标完成质量100%，得4分；项目在基金使用的预定目标如期完成，得3分；项目产出成本严格按照绩效目标控制，得3分。</w:t>
      </w:r>
    </w:p>
    <w:p w14:paraId="711E1DAE">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（2）项目效果：得40分。</w:t>
      </w:r>
    </w:p>
    <w:p w14:paraId="5CB41BAC">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①经济效益：</w:t>
      </w:r>
      <w:r>
        <w:rPr>
          <w:rFonts w:hint="eastAsia" w:ascii="仿宋_GB2312" w:hAnsi="仿宋_GB2312" w:eastAsia="仿宋_GB2312" w:cs="仿宋_GB2312"/>
          <w:sz w:val="32"/>
          <w:szCs w:val="32"/>
          <w:lang w:val="en-US" w:eastAsia="zh-CN"/>
        </w:rPr>
        <w:t>该项目的</w:t>
      </w:r>
      <w:r>
        <w:rPr>
          <w:rFonts w:hint="eastAsia" w:ascii="仿宋_GB2312" w:hAnsi="仿宋_GB2312" w:eastAsia="仿宋_GB2312" w:cs="仿宋_GB2312"/>
          <w:sz w:val="32"/>
          <w:szCs w:val="32"/>
        </w:rPr>
        <w:t>建设完成有利于</w:t>
      </w:r>
      <w:r>
        <w:rPr>
          <w:rFonts w:hint="eastAsia" w:ascii="仿宋_GB2312" w:hAnsi="仿宋_GB2312" w:eastAsia="仿宋_GB2312" w:cs="仿宋_GB2312"/>
          <w:sz w:val="32"/>
          <w:szCs w:val="32"/>
          <w:lang w:val="en-US" w:eastAsia="zh-CN"/>
        </w:rPr>
        <w:t>森林防火安全隐患的排查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有效保障群众生命安全</w:t>
      </w:r>
      <w:r>
        <w:rPr>
          <w:rFonts w:hint="eastAsia" w:ascii="仿宋_GB2312" w:hAnsi="仿宋_GB2312" w:eastAsia="仿宋_GB2312" w:cs="仿宋_GB2312"/>
          <w:sz w:val="32"/>
          <w:szCs w:val="32"/>
        </w:rPr>
        <w:t>，得8分。</w:t>
      </w:r>
    </w:p>
    <w:p w14:paraId="752D1832">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②社会效益：该项目的建设，有利于稳定村民情绪，稳定全村的和谐稳定，得8分。</w:t>
      </w:r>
    </w:p>
    <w:p w14:paraId="1D17166C">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③环境效益：该项目的建设等，有利于防止</w:t>
      </w:r>
      <w:r>
        <w:rPr>
          <w:rFonts w:hint="eastAsia" w:ascii="仿宋_GB2312" w:hAnsi="仿宋_GB2312" w:eastAsia="仿宋_GB2312" w:cs="仿宋_GB2312"/>
          <w:sz w:val="32"/>
          <w:szCs w:val="32"/>
          <w:lang w:val="en-US" w:eastAsia="zh-CN"/>
        </w:rPr>
        <w:t>森林</w:t>
      </w:r>
      <w:r>
        <w:rPr>
          <w:rFonts w:hint="eastAsia" w:ascii="仿宋_GB2312" w:hAnsi="仿宋_GB2312" w:eastAsia="仿宋_GB2312" w:cs="仿宋_GB2312"/>
          <w:sz w:val="32"/>
          <w:szCs w:val="32"/>
        </w:rPr>
        <w:t>水土流失，对环境产生了积极的影响，得8分。</w:t>
      </w:r>
    </w:p>
    <w:p w14:paraId="27405E88">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④可持续影响：该项目的实施切实解决了</w:t>
      </w:r>
      <w:r>
        <w:rPr>
          <w:rFonts w:hint="eastAsia" w:ascii="仿宋_GB2312" w:hAnsi="仿宋_GB2312" w:eastAsia="仿宋_GB2312" w:cs="仿宋_GB2312"/>
          <w:sz w:val="32"/>
          <w:szCs w:val="32"/>
          <w:lang w:val="en-US" w:eastAsia="zh-CN"/>
        </w:rPr>
        <w:t>森林防火安全隐患</w:t>
      </w:r>
      <w:r>
        <w:rPr>
          <w:rFonts w:hint="eastAsia" w:ascii="仿宋_GB2312" w:hAnsi="仿宋_GB2312" w:eastAsia="仿宋_GB2312" w:cs="仿宋_GB2312"/>
          <w:sz w:val="32"/>
          <w:szCs w:val="32"/>
        </w:rPr>
        <w:t>问题，对</w:t>
      </w:r>
      <w:r>
        <w:rPr>
          <w:rFonts w:hint="eastAsia" w:ascii="仿宋_GB2312" w:hAnsi="仿宋_GB2312" w:eastAsia="仿宋_GB2312" w:cs="仿宋_GB2312"/>
          <w:sz w:val="32"/>
          <w:szCs w:val="32"/>
          <w:lang w:val="en-US" w:eastAsia="zh-CN"/>
        </w:rPr>
        <w:t>群众</w:t>
      </w:r>
      <w:r>
        <w:rPr>
          <w:rFonts w:hint="eastAsia" w:ascii="仿宋_GB2312" w:hAnsi="仿宋_GB2312" w:eastAsia="仿宋_GB2312" w:cs="仿宋_GB2312"/>
          <w:sz w:val="32"/>
          <w:szCs w:val="32"/>
        </w:rPr>
        <w:t>带来了可持续影响，同时对自然及资源带来可持续影响，得8分。</w:t>
      </w:r>
    </w:p>
    <w:p w14:paraId="5BA7B31C">
      <w:pPr>
        <w:pageBreakBefore w:val="0"/>
        <w:kinsoku/>
        <w:overflowPunct/>
        <w:topLinePunct w:val="0"/>
        <w:bidi w:val="0"/>
        <w:spacing w:line="576" w:lineRule="exact"/>
        <w:ind w:firstLine="640" w:firstLineChars="200"/>
        <w:rPr>
          <w:rFonts w:ascii="仿宋_GB2312" w:hAnsi="仿宋_GB2312" w:eastAsia="仿宋_GB2312" w:cs="仿宋_GB2312"/>
          <w:color w:val="7F7F7F"/>
          <w:sz w:val="32"/>
          <w:szCs w:val="32"/>
        </w:rPr>
      </w:pPr>
      <w:r>
        <w:rPr>
          <w:rFonts w:hint="eastAsia" w:ascii="仿宋_GB2312" w:hAnsi="仿宋_GB2312" w:eastAsia="仿宋_GB2312" w:cs="仿宋_GB2312"/>
          <w:sz w:val="32"/>
          <w:szCs w:val="32"/>
        </w:rPr>
        <w:t>⑤服务对象满意度：该项目的建设完成，解决了</w:t>
      </w:r>
      <w:r>
        <w:rPr>
          <w:rFonts w:hint="eastAsia" w:ascii="仿宋_GB2312" w:hAnsi="仿宋_GB2312" w:eastAsia="仿宋_GB2312" w:cs="仿宋_GB2312"/>
          <w:sz w:val="32"/>
          <w:szCs w:val="32"/>
          <w:lang w:val="en-US" w:eastAsia="zh-CN"/>
        </w:rPr>
        <w:t>森林防火安全隐患问题，</w:t>
      </w:r>
      <w:r>
        <w:rPr>
          <w:rFonts w:hint="eastAsia" w:ascii="仿宋_GB2312" w:hAnsi="仿宋_GB2312" w:eastAsia="仿宋_GB2312" w:cs="仿宋_GB2312"/>
          <w:sz w:val="32"/>
          <w:szCs w:val="32"/>
        </w:rPr>
        <w:t>群众满意度达100%，得8分。</w:t>
      </w:r>
    </w:p>
    <w:p w14:paraId="5296563B">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（六）主要经验及做法、存在问题和建议</w:t>
      </w:r>
    </w:p>
    <w:p w14:paraId="0C59A246">
      <w:pPr>
        <w:pageBreakBefore w:val="0"/>
        <w:kinsoku/>
        <w:wordWrap w:val="0"/>
        <w:overflowPunct/>
        <w:topLinePunct w:val="0"/>
        <w:bidi w:val="0"/>
        <w:spacing w:line="576" w:lineRule="exact"/>
        <w:ind w:firstLine="640" w:firstLineChars="2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1.主要经验及做法：项目的确立要以有效保障生态建设与保护，维护生态安全为宗旨，以切实提高森林防火控制能力，维护园区生态平衡为目标，项目的申报、实施过程公开透明。                                              </w:t>
      </w:r>
    </w:p>
    <w:p w14:paraId="55297554">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2.存在的问题和建议：</w:t>
      </w:r>
    </w:p>
    <w:p w14:paraId="1DE8BBD4">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由于天气等自然条件的影响，项目在施工中，施工进度较为缓慢，建议在以后的项目规划中，充分考虑天气等客观原因对项目施工的影响，合理规划施工期限</w:t>
      </w:r>
    </w:p>
    <w:p w14:paraId="7B3C9F06">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p>
    <w:p w14:paraId="4313D6A5">
      <w:pPr>
        <w:pageBreakBefore w:val="0"/>
        <w:kinsoku/>
        <w:overflowPunct/>
        <w:topLinePunct w:val="0"/>
        <w:bidi w:val="0"/>
        <w:spacing w:line="576" w:lineRule="exact"/>
        <w:jc w:val="center"/>
        <w:rPr>
          <w:rFonts w:ascii="黑体" w:hAnsi="黑体" w:eastAsia="黑体" w:cs="方正小标宋简体"/>
          <w:sz w:val="44"/>
          <w:szCs w:val="44"/>
        </w:rPr>
      </w:pPr>
    </w:p>
    <w:p w14:paraId="06D4B7B6">
      <w:pPr>
        <w:pageBreakBefore w:val="0"/>
        <w:kinsoku/>
        <w:overflowPunct/>
        <w:topLinePunct w:val="0"/>
        <w:bidi w:val="0"/>
        <w:spacing w:line="576" w:lineRule="exact"/>
        <w:jc w:val="center"/>
        <w:rPr>
          <w:rFonts w:hint="eastAsia" w:ascii="黑体" w:hAnsi="黑体" w:eastAsia="黑体" w:cs="方正小标宋简体"/>
          <w:sz w:val="44"/>
          <w:szCs w:val="44"/>
        </w:rPr>
      </w:pPr>
    </w:p>
    <w:p w14:paraId="7AB52585">
      <w:pPr>
        <w:pageBreakBefore w:val="0"/>
        <w:kinsoku/>
        <w:overflowPunct/>
        <w:topLinePunct w:val="0"/>
        <w:bidi w:val="0"/>
        <w:spacing w:line="576" w:lineRule="exact"/>
        <w:jc w:val="center"/>
        <w:rPr>
          <w:rFonts w:hint="eastAsia" w:ascii="黑体" w:hAnsi="黑体" w:eastAsia="黑体" w:cs="方正小标宋简体"/>
          <w:sz w:val="44"/>
          <w:szCs w:val="44"/>
        </w:rPr>
      </w:pPr>
    </w:p>
    <w:p w14:paraId="03134648">
      <w:pPr>
        <w:pageBreakBefore w:val="0"/>
        <w:kinsoku/>
        <w:overflowPunct/>
        <w:topLinePunct w:val="0"/>
        <w:bidi w:val="0"/>
        <w:spacing w:line="576" w:lineRule="exact"/>
        <w:jc w:val="center"/>
        <w:rPr>
          <w:rFonts w:hint="eastAsia" w:ascii="黑体" w:hAnsi="黑体" w:eastAsia="黑体" w:cs="方正小标宋简体"/>
          <w:sz w:val="44"/>
          <w:szCs w:val="44"/>
        </w:rPr>
      </w:pPr>
    </w:p>
    <w:p w14:paraId="418EFA2F">
      <w:pPr>
        <w:pageBreakBefore w:val="0"/>
        <w:kinsoku/>
        <w:overflowPunct/>
        <w:topLinePunct w:val="0"/>
        <w:bidi w:val="0"/>
        <w:spacing w:line="576" w:lineRule="exact"/>
        <w:jc w:val="center"/>
        <w:rPr>
          <w:rFonts w:hint="eastAsia" w:ascii="黑体" w:hAnsi="黑体" w:eastAsia="黑体" w:cs="方正小标宋简体"/>
          <w:sz w:val="44"/>
          <w:szCs w:val="44"/>
        </w:rPr>
      </w:pPr>
    </w:p>
    <w:p w14:paraId="0C860E8F">
      <w:pPr>
        <w:pageBreakBefore w:val="0"/>
        <w:kinsoku/>
        <w:overflowPunct/>
        <w:topLinePunct w:val="0"/>
        <w:bidi w:val="0"/>
        <w:spacing w:line="576" w:lineRule="exact"/>
        <w:jc w:val="center"/>
        <w:rPr>
          <w:rFonts w:hint="eastAsia" w:ascii="黑体" w:hAnsi="黑体" w:eastAsia="黑体" w:cs="方正小标宋简体"/>
          <w:sz w:val="44"/>
          <w:szCs w:val="44"/>
        </w:rPr>
      </w:pPr>
    </w:p>
    <w:p w14:paraId="01278BF1">
      <w:pPr>
        <w:pageBreakBefore w:val="0"/>
        <w:kinsoku/>
        <w:overflowPunct/>
        <w:topLinePunct w:val="0"/>
        <w:bidi w:val="0"/>
        <w:spacing w:line="576" w:lineRule="exact"/>
        <w:jc w:val="center"/>
        <w:rPr>
          <w:rFonts w:hint="eastAsia" w:ascii="黑体" w:hAnsi="黑体" w:eastAsia="黑体" w:cs="方正小标宋简体"/>
          <w:sz w:val="44"/>
          <w:szCs w:val="44"/>
        </w:rPr>
      </w:pPr>
    </w:p>
    <w:p w14:paraId="743670A3">
      <w:pPr>
        <w:pageBreakBefore w:val="0"/>
        <w:kinsoku/>
        <w:overflowPunct/>
        <w:topLinePunct w:val="0"/>
        <w:bidi w:val="0"/>
        <w:spacing w:line="576" w:lineRule="exact"/>
        <w:jc w:val="center"/>
        <w:rPr>
          <w:rFonts w:hint="eastAsia" w:ascii="黑体" w:hAnsi="黑体" w:eastAsia="黑体" w:cs="方正小标宋简体"/>
          <w:sz w:val="44"/>
          <w:szCs w:val="44"/>
        </w:rPr>
      </w:pPr>
    </w:p>
    <w:p w14:paraId="3D78C362">
      <w:pPr>
        <w:pageBreakBefore w:val="0"/>
        <w:kinsoku/>
        <w:overflowPunct/>
        <w:topLinePunct w:val="0"/>
        <w:bidi w:val="0"/>
        <w:spacing w:line="576" w:lineRule="exact"/>
        <w:jc w:val="center"/>
        <w:rPr>
          <w:rFonts w:hint="eastAsia" w:ascii="黑体" w:hAnsi="黑体" w:eastAsia="黑体" w:cs="方正小标宋简体"/>
          <w:sz w:val="44"/>
          <w:szCs w:val="44"/>
        </w:rPr>
      </w:pPr>
    </w:p>
    <w:p w14:paraId="00D87C32">
      <w:pPr>
        <w:pageBreakBefore w:val="0"/>
        <w:kinsoku/>
        <w:overflowPunct/>
        <w:topLinePunct w:val="0"/>
        <w:bidi w:val="0"/>
        <w:spacing w:line="576" w:lineRule="exact"/>
        <w:jc w:val="center"/>
        <w:rPr>
          <w:rFonts w:hint="eastAsia" w:ascii="黑体" w:hAnsi="黑体" w:eastAsia="黑体" w:cs="方正小标宋简体"/>
          <w:sz w:val="44"/>
          <w:szCs w:val="44"/>
        </w:rPr>
      </w:pPr>
    </w:p>
    <w:p w14:paraId="6E71EBA3">
      <w:pPr>
        <w:pageBreakBefore w:val="0"/>
        <w:kinsoku/>
        <w:overflowPunct/>
        <w:topLinePunct w:val="0"/>
        <w:bidi w:val="0"/>
        <w:spacing w:line="576" w:lineRule="exact"/>
        <w:jc w:val="center"/>
        <w:rPr>
          <w:rFonts w:hint="eastAsia" w:ascii="黑体" w:hAnsi="黑体" w:eastAsia="黑体" w:cs="方正小标宋简体"/>
          <w:sz w:val="44"/>
          <w:szCs w:val="44"/>
        </w:rPr>
      </w:pPr>
    </w:p>
    <w:p w14:paraId="4AD3472B">
      <w:pPr>
        <w:pageBreakBefore w:val="0"/>
        <w:kinsoku/>
        <w:overflowPunct/>
        <w:topLinePunct w:val="0"/>
        <w:bidi w:val="0"/>
        <w:spacing w:line="576" w:lineRule="exact"/>
        <w:jc w:val="center"/>
        <w:rPr>
          <w:rFonts w:hint="eastAsia" w:ascii="黑体" w:hAnsi="黑体" w:eastAsia="黑体" w:cs="方正小标宋简体"/>
          <w:sz w:val="44"/>
          <w:szCs w:val="44"/>
        </w:rPr>
      </w:pPr>
    </w:p>
    <w:p w14:paraId="0D041B86">
      <w:pPr>
        <w:pageBreakBefore w:val="0"/>
        <w:kinsoku/>
        <w:overflowPunct/>
        <w:topLinePunct w:val="0"/>
        <w:bidi w:val="0"/>
        <w:spacing w:line="576" w:lineRule="exact"/>
        <w:jc w:val="center"/>
        <w:rPr>
          <w:rFonts w:hint="eastAsia" w:ascii="黑体" w:hAnsi="黑体" w:eastAsia="黑体" w:cs="方正小标宋简体"/>
          <w:sz w:val="44"/>
          <w:szCs w:val="44"/>
        </w:rPr>
      </w:pPr>
    </w:p>
    <w:p w14:paraId="13309D77">
      <w:pPr>
        <w:pageBreakBefore w:val="0"/>
        <w:kinsoku/>
        <w:overflowPunct/>
        <w:topLinePunct w:val="0"/>
        <w:bidi w:val="0"/>
        <w:spacing w:line="576" w:lineRule="exact"/>
        <w:jc w:val="center"/>
        <w:rPr>
          <w:rFonts w:hint="eastAsia" w:ascii="黑体" w:hAnsi="黑体" w:eastAsia="黑体" w:cs="方正小标宋简体"/>
          <w:sz w:val="44"/>
          <w:szCs w:val="44"/>
        </w:rPr>
      </w:pPr>
    </w:p>
    <w:p w14:paraId="1472296D">
      <w:pPr>
        <w:pStyle w:val="2"/>
        <w:rPr>
          <w:rFonts w:hint="eastAsia" w:ascii="黑体" w:hAnsi="黑体" w:eastAsia="黑体" w:cs="方正小标宋简体"/>
          <w:sz w:val="44"/>
          <w:szCs w:val="44"/>
        </w:rPr>
      </w:pPr>
    </w:p>
    <w:p w14:paraId="1EDC85C0">
      <w:pPr>
        <w:pStyle w:val="2"/>
        <w:rPr>
          <w:rFonts w:hint="eastAsia" w:ascii="黑体" w:hAnsi="黑体" w:eastAsia="黑体" w:cs="方正小标宋简体"/>
          <w:sz w:val="44"/>
          <w:szCs w:val="44"/>
        </w:rPr>
      </w:pPr>
    </w:p>
    <w:p w14:paraId="7962EF28">
      <w:pPr>
        <w:pageBreakBefore w:val="0"/>
        <w:kinsoku/>
        <w:overflowPunct/>
        <w:topLinePunct w:val="0"/>
        <w:bidi w:val="0"/>
        <w:spacing w:line="576" w:lineRule="exact"/>
        <w:jc w:val="center"/>
        <w:rPr>
          <w:rFonts w:hint="eastAsia" w:ascii="黑体" w:hAnsi="黑体" w:eastAsia="黑体" w:cs="方正小标宋简体"/>
          <w:sz w:val="44"/>
          <w:szCs w:val="44"/>
        </w:rPr>
      </w:pPr>
    </w:p>
    <w:p w14:paraId="4DCE92C8">
      <w:pPr>
        <w:pageBreakBefore w:val="0"/>
        <w:kinsoku/>
        <w:overflowPunct/>
        <w:topLinePunct w:val="0"/>
        <w:bidi w:val="0"/>
        <w:spacing w:line="576" w:lineRule="exact"/>
        <w:jc w:val="center"/>
        <w:rPr>
          <w:rStyle w:val="26"/>
        </w:rPr>
      </w:pPr>
      <w:r>
        <w:rPr>
          <w:rFonts w:hint="eastAsia" w:ascii="黑体" w:hAnsi="黑体" w:eastAsia="黑体" w:cs="方正小标宋简体"/>
          <w:sz w:val="44"/>
          <w:szCs w:val="44"/>
        </w:rPr>
        <w:t>20</w:t>
      </w:r>
      <w:r>
        <w:rPr>
          <w:rFonts w:hint="eastAsia" w:ascii="黑体" w:hAnsi="黑体" w:eastAsia="黑体" w:cs="方正小标宋简体"/>
          <w:sz w:val="44"/>
          <w:szCs w:val="44"/>
          <w:lang w:val="en-US" w:eastAsia="zh-CN"/>
        </w:rPr>
        <w:t>20</w:t>
      </w:r>
      <w:r>
        <w:rPr>
          <w:rFonts w:hint="eastAsia" w:ascii="黑体" w:hAnsi="黑体" w:eastAsia="黑体" w:cs="方正小标宋简体"/>
          <w:sz w:val="44"/>
          <w:szCs w:val="44"/>
        </w:rPr>
        <w:t>年神仙池管理中心供排水</w:t>
      </w:r>
      <w:r>
        <w:rPr>
          <w:rStyle w:val="26"/>
          <w:rFonts w:hint="eastAsia"/>
        </w:rPr>
        <w:t>建设项目</w:t>
      </w:r>
    </w:p>
    <w:p w14:paraId="140944D0">
      <w:pPr>
        <w:pageBreakBefore w:val="0"/>
        <w:kinsoku/>
        <w:overflowPunct/>
        <w:topLinePunct w:val="0"/>
        <w:bidi w:val="0"/>
        <w:spacing w:line="576" w:lineRule="exact"/>
        <w:jc w:val="center"/>
        <w:rPr>
          <w:rFonts w:ascii="黑体" w:hAnsi="黑体" w:eastAsia="黑体" w:cs="方正小标宋简体"/>
          <w:sz w:val="44"/>
          <w:szCs w:val="44"/>
        </w:rPr>
      </w:pPr>
      <w:r>
        <w:rPr>
          <w:rFonts w:hint="eastAsia" w:ascii="黑体" w:hAnsi="黑体" w:eastAsia="黑体" w:cs="方正小标宋简体"/>
          <w:sz w:val="44"/>
          <w:szCs w:val="44"/>
        </w:rPr>
        <w:t>支出绩效评价报告</w:t>
      </w:r>
    </w:p>
    <w:p w14:paraId="7B5A6F93">
      <w:pPr>
        <w:pageBreakBefore w:val="0"/>
        <w:kinsoku/>
        <w:overflowPunct/>
        <w:topLinePunct w:val="0"/>
        <w:bidi w:val="0"/>
        <w:spacing w:line="576" w:lineRule="exact"/>
        <w:rPr>
          <w:rFonts w:ascii="仿宋" w:hAnsi="仿宋" w:eastAsia="仿宋" w:cs="仿宋_GB2312"/>
          <w:sz w:val="32"/>
          <w:szCs w:val="32"/>
        </w:rPr>
      </w:pPr>
    </w:p>
    <w:p w14:paraId="10824EBD">
      <w:pPr>
        <w:pageBreakBefore w:val="0"/>
        <w:kinsoku/>
        <w:overflowPunct/>
        <w:topLinePunct w:val="0"/>
        <w:bidi w:val="0"/>
        <w:spacing w:line="576" w:lineRule="exact"/>
        <w:rPr>
          <w:rFonts w:ascii="仿宋" w:hAnsi="仿宋" w:eastAsia="仿宋" w:cs="仿宋_GB2312"/>
          <w:sz w:val="32"/>
          <w:szCs w:val="32"/>
        </w:rPr>
      </w:pPr>
      <w:r>
        <w:rPr>
          <w:rFonts w:hint="eastAsia" w:ascii="仿宋" w:hAnsi="仿宋" w:eastAsia="仿宋" w:cs="仿宋_GB2312"/>
          <w:sz w:val="32"/>
          <w:szCs w:val="32"/>
        </w:rPr>
        <w:t>一</w:t>
      </w:r>
      <w:r>
        <w:rPr>
          <w:rFonts w:ascii="仿宋" w:hAnsi="仿宋" w:eastAsia="仿宋" w:cs="仿宋_GB2312"/>
          <w:sz w:val="32"/>
          <w:szCs w:val="32"/>
        </w:rPr>
        <w:t>、</w:t>
      </w:r>
      <w:r>
        <w:rPr>
          <w:rFonts w:hint="eastAsia" w:ascii="仿宋_GB2312" w:hAnsi="仿宋_GB2312" w:eastAsia="仿宋_GB2312" w:cs="仿宋_GB2312"/>
          <w:sz w:val="32"/>
          <w:szCs w:val="32"/>
        </w:rPr>
        <w:t>评价工作开展及项目情况</w:t>
      </w:r>
    </w:p>
    <w:p w14:paraId="1A826148">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（一）项目基本概况：</w:t>
      </w:r>
    </w:p>
    <w:p w14:paraId="5D7B2FCE">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1.新建水源地饮用水管道2500米、消防管道200米及消防桩4套；2.改建小型污水处理站1座及配套附属设施，该改造一座员工厕所给排水及电气系统项目。</w:t>
      </w:r>
    </w:p>
    <w:p w14:paraId="4BD564D9">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（二）项目资金使用及管理情况：</w:t>
      </w:r>
    </w:p>
    <w:p w14:paraId="1221080E">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本项目总投资概算为160万元，资金来源为：“8.8”九寨沟地震灾后专项资金。</w:t>
      </w:r>
      <w:r>
        <w:rPr>
          <w:rFonts w:hint="eastAsia" w:ascii="仿宋_GB2312" w:hAnsi="仿宋_GB2312" w:eastAsia="仿宋_GB2312" w:cs="仿宋_GB2312"/>
          <w:sz w:val="32"/>
          <w:szCs w:val="32"/>
          <w:lang w:eastAsia="zh-CN"/>
        </w:rPr>
        <w:t>截至目前</w:t>
      </w:r>
      <w:r>
        <w:rPr>
          <w:rFonts w:hint="eastAsia" w:ascii="仿宋_GB2312" w:hAnsi="仿宋_GB2312" w:eastAsia="仿宋_GB2312" w:cs="仿宋_GB2312"/>
          <w:sz w:val="32"/>
          <w:szCs w:val="32"/>
        </w:rPr>
        <w:t>已到位140万元。截止2018年12月支付项目工程进度款</w:t>
      </w:r>
      <w:r>
        <w:rPr>
          <w:rFonts w:hint="eastAsia" w:ascii="仿宋_GB2312" w:hAnsi="仿宋_GB2312" w:eastAsia="仿宋_GB2312" w:cs="仿宋_GB2312"/>
          <w:sz w:val="32"/>
          <w:szCs w:val="32"/>
          <w:lang w:val="en-US" w:eastAsia="zh-CN"/>
        </w:rPr>
        <w:t>140</w:t>
      </w:r>
      <w:r>
        <w:rPr>
          <w:rFonts w:hint="eastAsia" w:ascii="仿宋_GB2312" w:hAnsi="仿宋_GB2312" w:eastAsia="仿宋_GB2312" w:cs="仿宋_GB2312"/>
          <w:sz w:val="32"/>
          <w:szCs w:val="32"/>
        </w:rPr>
        <w:t>万元，前期费用11.51万元，该项目资金的申报及批复情况是符合资金管理办法等相关规定。</w:t>
      </w:r>
    </w:p>
    <w:p w14:paraId="68A711C9">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（三）项目组织实施情况</w:t>
      </w:r>
    </w:p>
    <w:p w14:paraId="796D53B1">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所有项目由施工方按照施工合同具体实施，整个项目的申报、实施等都严格执行招投标、政府采购、项目公示等相关管理制度，未出现违规现象。</w:t>
      </w:r>
    </w:p>
    <w:p w14:paraId="1D048463">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（四）综合评价情况及评价结论</w:t>
      </w:r>
    </w:p>
    <w:p w14:paraId="5CAB1591">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完成新建水源地饮用水管道2500米、消防管道200米及消防桩4套；改建小型污水处理站1座及配套附属设施，该改造一座员工厕所给排水及电气系统项目。项目有效保障生态建设与保护，维护生态安全、人民群众生命健康，综合评价结果优秀。</w:t>
      </w:r>
    </w:p>
    <w:p w14:paraId="742FE601">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（五）项目主要绩效情况分析</w:t>
      </w:r>
    </w:p>
    <w:p w14:paraId="1EDD1883">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1.项目决策：项目目标明确，决策过程公开透明，资金分配合理，得20分：</w:t>
      </w:r>
    </w:p>
    <w:p w14:paraId="167ACE3A">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（1）项目目标：有效保障生态建设与保护，提高森林防火控制能力，维护园区生态平衡，得4分。</w:t>
      </w:r>
    </w:p>
    <w:p w14:paraId="1D48FA4E">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（2）决策过程：公开透明，符合相关法律规定，得8分</w:t>
      </w:r>
    </w:p>
    <w:p w14:paraId="2E975F20">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决策依据①符合法律法规（1分）；②符合经济社会发展规划（1分）；③部门年度工作计划（1分）；④针对某一实际问题和需求（1分）得4分；</w:t>
      </w:r>
    </w:p>
    <w:p w14:paraId="46823CEF">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决策程序：①符合申报条件（2分）；②项目申报、批复程序符合管理办法（1分）；③项目调整履行了相应手续（1分），得4分。</w:t>
      </w:r>
    </w:p>
    <w:p w14:paraId="19D30EF5">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（3）资金分配：有相关资金管理办法，资金分配结果公平合理，得8分。</w:t>
      </w:r>
    </w:p>
    <w:p w14:paraId="76B3EC5B">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资金分配：①有相应的资金管理办法（1分）；②办法健全、规范（1分）；③因素全面合理（1分），得3分。</w:t>
      </w:r>
    </w:p>
    <w:p w14:paraId="3F67521A">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分配结果：①符合分配办法（2分）；②分配公平合理（3分），得5分。</w:t>
      </w:r>
    </w:p>
    <w:p w14:paraId="6CA82E59">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2.项目管理：得25分。</w:t>
      </w:r>
    </w:p>
    <w:p w14:paraId="008F8D10">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（1）资金到位：得5分；</w:t>
      </w:r>
    </w:p>
    <w:p w14:paraId="38E874A0">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资金到位率100%，得3分；到位及时得2分。</w:t>
      </w:r>
    </w:p>
    <w:p w14:paraId="3DA084DF">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（2）资金管理：资金使用及财务管理规范，得10分；</w:t>
      </w:r>
    </w:p>
    <w:p w14:paraId="4E37FE07">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资金使用：支出依据合规，无虚列项目支出情况；无截留挤占挪用情况；无超标准开支情况；无超预算情况，得7分；</w:t>
      </w:r>
    </w:p>
    <w:p w14:paraId="22246438">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财务管理：资金管理、费用支出等制度健全；制度执行严格；会计核算规范，得3分。</w:t>
      </w:r>
    </w:p>
    <w:p w14:paraId="63197CD6">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（3）组织实施：机构健全、分工明确，具备人员、场地、设备条件，项目按计划开工完工，项目管理制度健全，并严格执行相关管理制度，得10分。</w:t>
      </w:r>
    </w:p>
    <w:p w14:paraId="799BDBC4">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3.项目绩效：得55分。</w:t>
      </w:r>
    </w:p>
    <w:p w14:paraId="74B6FC43">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（1）项目产出：得15分。目标完成率100%，得5分；目标完成质量100%，得4分；项目在基金使用的预定目标如期完成，得3分；项目产出成本严格按照绩效目标控制，得3分。</w:t>
      </w:r>
    </w:p>
    <w:p w14:paraId="7C1F2F26">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（2）项目效果：得40分。</w:t>
      </w:r>
    </w:p>
    <w:p w14:paraId="57C5EDFD">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①经济效益：</w:t>
      </w:r>
      <w:r>
        <w:rPr>
          <w:rFonts w:hint="eastAsia" w:ascii="仿宋_GB2312" w:hAnsi="仿宋_GB2312" w:eastAsia="仿宋_GB2312" w:cs="仿宋_GB2312"/>
          <w:sz w:val="32"/>
          <w:szCs w:val="32"/>
          <w:lang w:val="en-US" w:eastAsia="zh-CN"/>
        </w:rPr>
        <w:t>该项目</w:t>
      </w:r>
      <w:r>
        <w:rPr>
          <w:rFonts w:hint="eastAsia" w:ascii="仿宋_GB2312" w:hAnsi="仿宋_GB2312" w:eastAsia="仿宋_GB2312" w:cs="仿宋_GB2312"/>
          <w:sz w:val="32"/>
          <w:szCs w:val="32"/>
        </w:rPr>
        <w:t>的建成有利于村民生产发展，对提高</w:t>
      </w:r>
      <w:r>
        <w:rPr>
          <w:rFonts w:hint="eastAsia" w:ascii="仿宋_GB2312" w:hAnsi="仿宋_GB2312" w:eastAsia="仿宋_GB2312" w:cs="仿宋_GB2312"/>
          <w:sz w:val="32"/>
          <w:szCs w:val="32"/>
          <w:lang w:val="en-US" w:eastAsia="zh-CN"/>
        </w:rPr>
        <w:t>村民</w:t>
      </w:r>
      <w:r>
        <w:rPr>
          <w:rFonts w:hint="eastAsia" w:ascii="仿宋_GB2312" w:hAnsi="仿宋_GB2312" w:eastAsia="仿宋_GB2312" w:cs="仿宋_GB2312"/>
          <w:sz w:val="32"/>
          <w:szCs w:val="32"/>
        </w:rPr>
        <w:t>的经济收入提供了有利条件，得8分。</w:t>
      </w:r>
    </w:p>
    <w:p w14:paraId="5DE0F5BD">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②社会效益：该项目的建设，有利于稳定村民和谐</w:t>
      </w:r>
      <w:r>
        <w:rPr>
          <w:rFonts w:hint="eastAsia" w:ascii="仿宋_GB2312" w:hAnsi="仿宋_GB2312" w:eastAsia="仿宋_GB2312" w:cs="仿宋_GB2312"/>
          <w:sz w:val="32"/>
          <w:szCs w:val="32"/>
          <w:lang w:val="en-US" w:eastAsia="zh-CN"/>
        </w:rPr>
        <w:t>发展</w:t>
      </w:r>
      <w:r>
        <w:rPr>
          <w:rFonts w:hint="eastAsia" w:ascii="仿宋_GB2312" w:hAnsi="仿宋_GB2312" w:eastAsia="仿宋_GB2312" w:cs="仿宋_GB2312"/>
          <w:sz w:val="32"/>
          <w:szCs w:val="32"/>
        </w:rPr>
        <w:t>，得8分。</w:t>
      </w:r>
    </w:p>
    <w:p w14:paraId="5B001737">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③环境效益：该项目的建设</w:t>
      </w:r>
      <w:r>
        <w:rPr>
          <w:rFonts w:hint="eastAsia"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rPr>
        <w:t>环境</w:t>
      </w:r>
      <w:r>
        <w:rPr>
          <w:rFonts w:hint="eastAsia" w:ascii="仿宋_GB2312" w:hAnsi="仿宋_GB2312" w:eastAsia="仿宋_GB2312" w:cs="仿宋_GB2312"/>
          <w:sz w:val="32"/>
          <w:szCs w:val="32"/>
          <w:lang w:val="en-US" w:eastAsia="zh-CN"/>
        </w:rPr>
        <w:t>保护</w:t>
      </w:r>
      <w:r>
        <w:rPr>
          <w:rFonts w:hint="eastAsia" w:ascii="仿宋_GB2312" w:hAnsi="仿宋_GB2312" w:eastAsia="仿宋_GB2312" w:cs="仿宋_GB2312"/>
          <w:sz w:val="32"/>
          <w:szCs w:val="32"/>
        </w:rPr>
        <w:t>产生了积极的影响，得8分。</w:t>
      </w:r>
    </w:p>
    <w:p w14:paraId="3037D956">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④可持续影响：该项目的实施切实解决了</w:t>
      </w:r>
      <w:r>
        <w:rPr>
          <w:rFonts w:hint="eastAsia" w:ascii="仿宋_GB2312" w:hAnsi="仿宋_GB2312" w:eastAsia="仿宋_GB2312" w:cs="仿宋_GB2312"/>
          <w:sz w:val="32"/>
          <w:szCs w:val="32"/>
          <w:lang w:val="en-US" w:eastAsia="zh-CN"/>
        </w:rPr>
        <w:t>群众安全饮水</w:t>
      </w:r>
      <w:r>
        <w:rPr>
          <w:rFonts w:hint="eastAsia" w:ascii="仿宋_GB2312" w:hAnsi="仿宋_GB2312" w:eastAsia="仿宋_GB2312" w:cs="仿宋_GB2312"/>
          <w:sz w:val="32"/>
          <w:szCs w:val="32"/>
        </w:rPr>
        <w:t>问题，对</w:t>
      </w:r>
      <w:r>
        <w:rPr>
          <w:rFonts w:hint="eastAsia" w:ascii="仿宋_GB2312" w:hAnsi="仿宋_GB2312" w:eastAsia="仿宋_GB2312" w:cs="仿宋_GB2312"/>
          <w:sz w:val="32"/>
          <w:szCs w:val="32"/>
          <w:lang w:val="en-US" w:eastAsia="zh-CN"/>
        </w:rPr>
        <w:t>群众</w:t>
      </w:r>
      <w:r>
        <w:rPr>
          <w:rFonts w:hint="eastAsia" w:ascii="仿宋_GB2312" w:hAnsi="仿宋_GB2312" w:eastAsia="仿宋_GB2312" w:cs="仿宋_GB2312"/>
          <w:sz w:val="32"/>
          <w:szCs w:val="32"/>
        </w:rPr>
        <w:t>带来了可持续影响，同时对自然及资源带来可持续影响，得8分。</w:t>
      </w:r>
    </w:p>
    <w:p w14:paraId="3BD2D15A">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⑤服务对象满意度：该项目的建设完成，解决了群众</w:t>
      </w:r>
      <w:r>
        <w:rPr>
          <w:rFonts w:hint="eastAsia" w:ascii="仿宋_GB2312" w:hAnsi="仿宋_GB2312" w:eastAsia="仿宋_GB2312" w:cs="仿宋_GB2312"/>
          <w:sz w:val="32"/>
          <w:szCs w:val="32"/>
          <w:lang w:val="en-US" w:eastAsia="zh-CN"/>
        </w:rPr>
        <w:t>安全饮水等</w:t>
      </w:r>
      <w:r>
        <w:rPr>
          <w:rFonts w:hint="eastAsia" w:ascii="仿宋_GB2312" w:hAnsi="仿宋_GB2312" w:eastAsia="仿宋_GB2312" w:cs="仿宋_GB2312"/>
          <w:sz w:val="32"/>
          <w:szCs w:val="32"/>
        </w:rPr>
        <w:t>问题，群众满意度达100%，得8分</w:t>
      </w:r>
    </w:p>
    <w:p w14:paraId="6CF7A9F4">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（六）主要经验及做法、存在问题和建议</w:t>
      </w:r>
    </w:p>
    <w:p w14:paraId="2A3126A5">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1.主要经验及做法：项目的确立要以有效保障生态建设与保护，维护生态安全为宗旨，以切实提高森林防火控制能力，维护园区生态平衡为目标，项目的申报、实施过程公开透明。</w:t>
      </w:r>
    </w:p>
    <w:p w14:paraId="787F21E1">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2.存在的问题和建议：</w:t>
      </w:r>
    </w:p>
    <w:p w14:paraId="25A43FF9">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由于天气等自然条件的影响，项目在施工中，施工进度较为缓慢，建议在以后的项目规划中，充分考虑天气等客观原因对项目施工的影响，合理规划施工期限</w:t>
      </w:r>
    </w:p>
    <w:p w14:paraId="52DFEF00">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p>
    <w:p w14:paraId="2C38F338">
      <w:pPr>
        <w:pageBreakBefore w:val="0"/>
        <w:kinsoku/>
        <w:overflowPunct/>
        <w:topLinePunct w:val="0"/>
        <w:bidi w:val="0"/>
        <w:spacing w:before="156" w:beforeLines="50" w:line="576" w:lineRule="exact"/>
        <w:ind w:left="1978" w:leftChars="418" w:hanging="1100" w:hangingChars="250"/>
        <w:rPr>
          <w:rFonts w:hint="eastAsia" w:ascii="黑体" w:hAnsi="黑体" w:eastAsia="黑体" w:cs="方正小标宋简体"/>
          <w:sz w:val="44"/>
          <w:szCs w:val="44"/>
          <w:lang w:eastAsia="zh-CN"/>
        </w:rPr>
      </w:pPr>
    </w:p>
    <w:p w14:paraId="3D22E3BE">
      <w:pPr>
        <w:pageBreakBefore w:val="0"/>
        <w:kinsoku/>
        <w:overflowPunct/>
        <w:topLinePunct w:val="0"/>
        <w:bidi w:val="0"/>
        <w:spacing w:before="156" w:beforeLines="50" w:line="576" w:lineRule="exact"/>
        <w:ind w:left="1978" w:leftChars="418" w:hanging="1100" w:hangingChars="250"/>
        <w:rPr>
          <w:rFonts w:hint="eastAsia" w:ascii="黑体" w:hAnsi="黑体" w:eastAsia="黑体" w:cs="方正小标宋简体"/>
          <w:sz w:val="44"/>
          <w:szCs w:val="44"/>
          <w:lang w:eastAsia="zh-CN"/>
        </w:rPr>
      </w:pPr>
    </w:p>
    <w:p w14:paraId="167A7025">
      <w:pPr>
        <w:pageBreakBefore w:val="0"/>
        <w:kinsoku/>
        <w:overflowPunct/>
        <w:topLinePunct w:val="0"/>
        <w:bidi w:val="0"/>
        <w:spacing w:before="156" w:beforeLines="50" w:line="576" w:lineRule="exact"/>
        <w:ind w:left="1978" w:leftChars="418" w:hanging="1100" w:hangingChars="250"/>
        <w:rPr>
          <w:rFonts w:hint="eastAsia" w:ascii="黑体" w:hAnsi="黑体" w:eastAsia="黑体" w:cs="方正小标宋简体"/>
          <w:sz w:val="44"/>
          <w:szCs w:val="44"/>
          <w:lang w:eastAsia="zh-CN"/>
        </w:rPr>
      </w:pPr>
    </w:p>
    <w:p w14:paraId="53F1F8B9">
      <w:pPr>
        <w:pStyle w:val="2"/>
        <w:rPr>
          <w:rFonts w:hint="eastAsia" w:ascii="黑体" w:hAnsi="黑体" w:eastAsia="黑体" w:cs="方正小标宋简体"/>
          <w:sz w:val="44"/>
          <w:szCs w:val="44"/>
          <w:lang w:eastAsia="zh-CN"/>
        </w:rPr>
      </w:pPr>
    </w:p>
    <w:p w14:paraId="58662084">
      <w:pPr>
        <w:pStyle w:val="2"/>
        <w:rPr>
          <w:rFonts w:hint="eastAsia" w:ascii="黑体" w:hAnsi="黑体" w:eastAsia="黑体" w:cs="方正小标宋简体"/>
          <w:sz w:val="44"/>
          <w:szCs w:val="44"/>
          <w:lang w:eastAsia="zh-CN"/>
        </w:rPr>
      </w:pPr>
    </w:p>
    <w:p w14:paraId="364870FC">
      <w:pPr>
        <w:pageBreakBefore w:val="0"/>
        <w:kinsoku/>
        <w:overflowPunct/>
        <w:topLinePunct w:val="0"/>
        <w:bidi w:val="0"/>
        <w:spacing w:before="156" w:beforeLines="50" w:line="576" w:lineRule="exact"/>
        <w:ind w:left="1978" w:leftChars="418" w:hanging="1100" w:hangingChars="250"/>
        <w:rPr>
          <w:rFonts w:hint="eastAsia" w:ascii="黑体" w:hAnsi="黑体" w:eastAsia="黑体" w:cs="方正小标宋简体"/>
          <w:sz w:val="44"/>
          <w:szCs w:val="44"/>
          <w:lang w:eastAsia="zh-CN"/>
        </w:rPr>
      </w:pPr>
    </w:p>
    <w:p w14:paraId="094571BB">
      <w:pPr>
        <w:pageBreakBefore w:val="0"/>
        <w:kinsoku/>
        <w:overflowPunct/>
        <w:topLinePunct w:val="0"/>
        <w:bidi w:val="0"/>
        <w:spacing w:before="156" w:beforeLines="50" w:line="576" w:lineRule="exact"/>
        <w:ind w:left="1978" w:leftChars="418" w:hanging="1100" w:hangingChars="250"/>
        <w:rPr>
          <w:rFonts w:hint="eastAsia" w:ascii="黑体" w:hAnsi="黑体" w:eastAsia="黑体" w:cs="方正小标宋简体"/>
          <w:sz w:val="44"/>
          <w:szCs w:val="44"/>
          <w:lang w:eastAsia="zh-CN"/>
        </w:rPr>
      </w:pPr>
    </w:p>
    <w:p w14:paraId="5B93FE44">
      <w:pPr>
        <w:pageBreakBefore w:val="0"/>
        <w:kinsoku/>
        <w:overflowPunct/>
        <w:topLinePunct w:val="0"/>
        <w:bidi w:val="0"/>
        <w:spacing w:before="156" w:beforeLines="50" w:line="576" w:lineRule="exact"/>
        <w:ind w:left="1978" w:leftChars="418" w:hanging="1100" w:hangingChars="250"/>
        <w:rPr>
          <w:rFonts w:hint="eastAsia" w:ascii="黑体" w:hAnsi="黑体" w:eastAsia="黑体" w:cs="方正小标宋简体"/>
          <w:sz w:val="44"/>
          <w:szCs w:val="44"/>
          <w:lang w:eastAsia="zh-CN"/>
        </w:rPr>
      </w:pPr>
    </w:p>
    <w:p w14:paraId="01AD1EBA">
      <w:pPr>
        <w:pageBreakBefore w:val="0"/>
        <w:kinsoku/>
        <w:overflowPunct/>
        <w:topLinePunct w:val="0"/>
        <w:bidi w:val="0"/>
        <w:spacing w:before="156" w:beforeLines="50" w:line="576" w:lineRule="exact"/>
        <w:ind w:left="1978" w:leftChars="418" w:hanging="1100" w:hangingChars="250"/>
        <w:rPr>
          <w:rFonts w:hint="eastAsia" w:ascii="黑体" w:hAnsi="黑体" w:eastAsia="黑体" w:cs="方正小标宋简体"/>
          <w:sz w:val="44"/>
          <w:szCs w:val="44"/>
          <w:lang w:eastAsia="zh-CN"/>
        </w:rPr>
      </w:pPr>
    </w:p>
    <w:p w14:paraId="69D982AA">
      <w:pPr>
        <w:pageBreakBefore w:val="0"/>
        <w:kinsoku/>
        <w:overflowPunct/>
        <w:topLinePunct w:val="0"/>
        <w:bidi w:val="0"/>
        <w:spacing w:before="156" w:beforeLines="50" w:line="576" w:lineRule="exact"/>
        <w:ind w:left="1978" w:leftChars="418" w:hanging="1100" w:hangingChars="250"/>
        <w:rPr>
          <w:rFonts w:hint="eastAsia" w:ascii="黑体" w:hAnsi="黑体" w:eastAsia="黑体" w:cs="方正小标宋简体"/>
          <w:sz w:val="44"/>
          <w:szCs w:val="44"/>
          <w:lang w:eastAsia="zh-CN"/>
        </w:rPr>
      </w:pPr>
    </w:p>
    <w:p w14:paraId="31255E35">
      <w:pPr>
        <w:pageBreakBefore w:val="0"/>
        <w:kinsoku/>
        <w:overflowPunct/>
        <w:topLinePunct w:val="0"/>
        <w:bidi w:val="0"/>
        <w:spacing w:before="156" w:beforeLines="50" w:line="576" w:lineRule="exact"/>
        <w:ind w:left="1978" w:leftChars="418" w:hanging="1100" w:hangingChars="250"/>
        <w:rPr>
          <w:rFonts w:hint="eastAsia" w:ascii="黑体" w:hAnsi="黑体" w:eastAsia="黑体" w:cs="方正小标宋简体"/>
          <w:sz w:val="44"/>
          <w:szCs w:val="44"/>
          <w:lang w:eastAsia="zh-CN"/>
        </w:rPr>
      </w:pPr>
    </w:p>
    <w:p w14:paraId="47D7A8CB">
      <w:pPr>
        <w:pageBreakBefore w:val="0"/>
        <w:kinsoku/>
        <w:overflowPunct/>
        <w:topLinePunct w:val="0"/>
        <w:bidi w:val="0"/>
        <w:spacing w:before="156" w:beforeLines="50" w:line="576" w:lineRule="exact"/>
        <w:ind w:left="1978" w:leftChars="418" w:hanging="1100" w:hangingChars="250"/>
        <w:rPr>
          <w:rFonts w:ascii="黑体" w:hAnsi="黑体" w:eastAsia="黑体" w:cs="方正小标宋简体"/>
          <w:sz w:val="44"/>
          <w:szCs w:val="44"/>
        </w:rPr>
      </w:pPr>
      <w:r>
        <w:rPr>
          <w:rFonts w:hint="eastAsia" w:ascii="黑体" w:hAnsi="黑体" w:eastAsia="黑体" w:cs="方正小标宋简体"/>
          <w:sz w:val="44"/>
          <w:szCs w:val="44"/>
          <w:lang w:eastAsia="zh-CN"/>
        </w:rPr>
        <w:t>2020年</w:t>
      </w:r>
      <w:r>
        <w:rPr>
          <w:rStyle w:val="26"/>
          <w:rFonts w:hint="eastAsia"/>
        </w:rPr>
        <w:t>保护站业务用房及防火基础设施建项目</w:t>
      </w:r>
      <w:r>
        <w:rPr>
          <w:rFonts w:hint="eastAsia" w:ascii="黑体" w:hAnsi="黑体" w:eastAsia="黑体" w:cs="方正小标宋简体"/>
          <w:sz w:val="44"/>
          <w:szCs w:val="44"/>
        </w:rPr>
        <w:t>支出绩效评价报告</w:t>
      </w:r>
    </w:p>
    <w:p w14:paraId="11101009">
      <w:pPr>
        <w:pageBreakBefore w:val="0"/>
        <w:kinsoku/>
        <w:overflowPunct/>
        <w:topLinePunct w:val="0"/>
        <w:bidi w:val="0"/>
        <w:spacing w:line="576" w:lineRule="exact"/>
        <w:rPr>
          <w:rFonts w:ascii="仿宋" w:hAnsi="仿宋" w:eastAsia="仿宋" w:cs="仿宋_GB2312"/>
          <w:sz w:val="32"/>
          <w:szCs w:val="32"/>
        </w:rPr>
      </w:pPr>
      <w:r>
        <w:rPr>
          <w:rFonts w:hint="eastAsia" w:ascii="仿宋" w:hAnsi="仿宋" w:eastAsia="仿宋" w:cs="仿宋_GB2312"/>
          <w:sz w:val="32"/>
          <w:szCs w:val="32"/>
        </w:rPr>
        <w:t>一</w:t>
      </w:r>
      <w:r>
        <w:rPr>
          <w:rFonts w:ascii="仿宋" w:hAnsi="仿宋" w:eastAsia="仿宋" w:cs="仿宋_GB2312"/>
          <w:sz w:val="32"/>
          <w:szCs w:val="32"/>
        </w:rPr>
        <w:t>、</w:t>
      </w:r>
      <w:r>
        <w:rPr>
          <w:rFonts w:hint="eastAsia" w:ascii="仿宋_GB2312" w:hAnsi="仿宋_GB2312" w:eastAsia="仿宋_GB2312" w:cs="仿宋_GB2312"/>
          <w:sz w:val="32"/>
          <w:szCs w:val="32"/>
        </w:rPr>
        <w:t>评价工作开展及项目情况</w:t>
      </w:r>
    </w:p>
    <w:p w14:paraId="2116C2D9">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（一）项目基本概况：</w:t>
      </w:r>
    </w:p>
    <w:p w14:paraId="6F541737">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项目为甘海子景区、神仙池景区的保护站和业务用房及其配套的附属设施重建维修工程，其中维修加固业务用房及配套附属设施面积4264平方米，其中维修上寺寨保护站467平方米，维修上寺寨车库159平方米，维修神仙池保护站400平方米、维修神仙池景区业务用房3238平方米；重建甘海子保护站及物资储备库公一幢，总建筑面积2100平方米和其配套的室外附属，其中重建甘海子保护站1400平方米，重建物资储备库700平方米。</w:t>
      </w:r>
    </w:p>
    <w:p w14:paraId="7EC1C125">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（二）项目资金使用及管理情况：</w:t>
      </w:r>
    </w:p>
    <w:p w14:paraId="3726FFC4">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本项目总投资概算为1035万元，资金来源为：“8.8”九寨沟地震灾后专项资金。</w:t>
      </w:r>
      <w:r>
        <w:rPr>
          <w:rFonts w:hint="eastAsia" w:ascii="仿宋_GB2312" w:hAnsi="仿宋_GB2312" w:eastAsia="仿宋_GB2312" w:cs="仿宋_GB2312"/>
          <w:sz w:val="32"/>
          <w:szCs w:val="32"/>
          <w:lang w:eastAsia="zh-CN"/>
        </w:rPr>
        <w:t>截至目前</w:t>
      </w:r>
      <w:r>
        <w:rPr>
          <w:rFonts w:hint="eastAsia" w:ascii="仿宋_GB2312" w:hAnsi="仿宋_GB2312" w:eastAsia="仿宋_GB2312" w:cs="仿宋_GB2312"/>
          <w:sz w:val="32"/>
          <w:szCs w:val="32"/>
        </w:rPr>
        <w:t>已到位1035万元。截止</w:t>
      </w:r>
      <w:r>
        <w:rPr>
          <w:rFonts w:hint="eastAsia" w:ascii="仿宋_GB2312" w:hAnsi="仿宋_GB2312" w:eastAsia="仿宋_GB2312" w:cs="仿宋_GB2312"/>
          <w:sz w:val="32"/>
          <w:szCs w:val="32"/>
          <w:lang w:eastAsia="zh-CN"/>
        </w:rPr>
        <w:t>2020年</w:t>
      </w:r>
      <w:r>
        <w:rPr>
          <w:rFonts w:hint="eastAsia" w:ascii="仿宋_GB2312" w:hAnsi="仿宋_GB2312" w:eastAsia="仿宋_GB2312" w:cs="仿宋_GB2312"/>
          <w:sz w:val="32"/>
          <w:szCs w:val="32"/>
        </w:rPr>
        <w:t>12月支付项目工程进度款</w:t>
      </w:r>
      <w:r>
        <w:rPr>
          <w:rFonts w:hint="eastAsia" w:ascii="仿宋_GB2312" w:hAnsi="仿宋_GB2312" w:eastAsia="仿宋_GB2312" w:cs="仿宋_GB2312"/>
          <w:sz w:val="32"/>
          <w:szCs w:val="32"/>
          <w:lang w:val="en-US" w:eastAsia="zh-CN"/>
        </w:rPr>
        <w:t>1035</w:t>
      </w:r>
      <w:r>
        <w:rPr>
          <w:rFonts w:hint="eastAsia" w:ascii="仿宋_GB2312" w:hAnsi="仿宋_GB2312" w:eastAsia="仿宋_GB2312" w:cs="仿宋_GB2312"/>
          <w:sz w:val="32"/>
          <w:szCs w:val="32"/>
        </w:rPr>
        <w:t>万元，前期费用57.01万元，该项目资金的申报及批复情况是符合资金管理办法等相关规定。</w:t>
      </w:r>
    </w:p>
    <w:p w14:paraId="1605B714">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（三）项目组织实施情况</w:t>
      </w:r>
    </w:p>
    <w:p w14:paraId="2834668B">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所有项目由施工方按照施工合同具体实施，整个项目的申报、实施等都严格执行招投标、政府采购、项目公示等相关管理制度，未出现违规现象。</w:t>
      </w:r>
    </w:p>
    <w:p w14:paraId="50B1F41E">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（四）综合评价情况及评价结论</w:t>
      </w:r>
    </w:p>
    <w:p w14:paraId="66D043BC">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完成维修维修上寺寨保护站467平方米，维修上寺寨车库159平方米，维修神仙池保护站400平方米、维修神仙池景区业务用房3238平方米；重建甘海子保护站及物资储备库公一幢，总建筑面积2100平方米和其配套的室外附属，其中重建甘海子保护站1400平方米，重建物资储备库700平方米。有效保障生态建设与保护，维护生态安全、人民群众生命健康，综合评价结果优秀。</w:t>
      </w:r>
    </w:p>
    <w:p w14:paraId="2B3AD7E7">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（五）项目主要绩效情况分析</w:t>
      </w:r>
    </w:p>
    <w:p w14:paraId="05DEB54D">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1.项目决策：项目目标明确，决策过程公开透明，资金分配合理，得20分：</w:t>
      </w:r>
    </w:p>
    <w:p w14:paraId="1F8935D1">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（1）项目目标：有效保障生态建设与保护，提高森林防火控制能力，维护园区生态平衡，得4分。</w:t>
      </w:r>
    </w:p>
    <w:p w14:paraId="6175DA3E">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（2）决策过程：公开透明，符合相关法律规定，得8分</w:t>
      </w:r>
    </w:p>
    <w:p w14:paraId="31E8AE1F">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决策依据①符合法律法规（1分）；②符合经济社会发展规划（1分）；③部门年度工作计划（1分）；④针对某一实际问题和需求（1分）得4分；</w:t>
      </w:r>
    </w:p>
    <w:p w14:paraId="384091EE">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决策程序：①符合申报条件（2分）；②项目申报、批复程序符合管理办法（1分）；③项目调整履行了相应手续（1分），得4分。</w:t>
      </w:r>
    </w:p>
    <w:p w14:paraId="1A3E4476">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（3）资金分配：有相关资金管理办法，资金分配结果公平合理，得8分。</w:t>
      </w:r>
    </w:p>
    <w:p w14:paraId="56AEF26D">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资金分配：①有相应的资金管理办法（1分）；②办法健全、规范（1分）；③因素全面合理（1分），得3分。</w:t>
      </w:r>
    </w:p>
    <w:p w14:paraId="3ECABE3B">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分配结果：①符合分配办法（2分）；②分配公平合理（3分），得5分。</w:t>
      </w:r>
    </w:p>
    <w:p w14:paraId="2D20F2CE">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2.项目管理：得25分。</w:t>
      </w:r>
    </w:p>
    <w:p w14:paraId="1E3ACDCF">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（1）资金到位：得5分；</w:t>
      </w:r>
    </w:p>
    <w:p w14:paraId="07EAD084">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资金到位率100%，得3分；到位及时得2分。</w:t>
      </w:r>
    </w:p>
    <w:p w14:paraId="3948D9D5">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（2）资金管理：资金使用及财务管理规范，得10分；</w:t>
      </w:r>
    </w:p>
    <w:p w14:paraId="5EE5D064">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资金使用：支出依据合规，无虚列项目支出情况；无截留挤占挪用情况；无超标准开支情况；无超预算情况，得7分；</w:t>
      </w:r>
    </w:p>
    <w:p w14:paraId="2F70F492">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财务管理：资金管理、费用支出等制度健全；制度执行严格；会计核算规范，得3分。</w:t>
      </w:r>
    </w:p>
    <w:p w14:paraId="5A0986EB">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（3）组织实施：机构健全、分工明确，具备人员、场地、设备条件，项目按计划开工完工，项目管理制度健全，并严格执行相关管理制度，得10分。</w:t>
      </w:r>
    </w:p>
    <w:p w14:paraId="34410430">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3.项目绩效：得55分。</w:t>
      </w:r>
    </w:p>
    <w:p w14:paraId="4C87AE38">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（1）项目产出：得15分。目标完成率100%，得5分；目标完成质量100%，得4分；项目在基金使用的预定目标如期完成，得3分；项目产出成本严格按照绩效目标控制，得3分。</w:t>
      </w:r>
    </w:p>
    <w:p w14:paraId="54CD807D">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（2）项目效果：得40分。</w:t>
      </w:r>
    </w:p>
    <w:p w14:paraId="3CE2E742">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①经济效益：</w:t>
      </w:r>
      <w:r>
        <w:rPr>
          <w:rFonts w:hint="eastAsia" w:ascii="仿宋_GB2312" w:hAnsi="仿宋_GB2312" w:eastAsia="仿宋_GB2312" w:cs="仿宋_GB2312"/>
          <w:sz w:val="32"/>
          <w:szCs w:val="32"/>
          <w:lang w:val="en-US" w:eastAsia="zh-CN"/>
        </w:rPr>
        <w:t>该项目的</w:t>
      </w:r>
      <w:r>
        <w:rPr>
          <w:rFonts w:hint="eastAsia" w:ascii="仿宋_GB2312" w:hAnsi="仿宋_GB2312" w:eastAsia="仿宋_GB2312" w:cs="仿宋_GB2312"/>
          <w:sz w:val="32"/>
          <w:szCs w:val="32"/>
        </w:rPr>
        <w:t>建设完成有利于</w:t>
      </w:r>
      <w:r>
        <w:rPr>
          <w:rFonts w:hint="eastAsia" w:ascii="仿宋_GB2312" w:hAnsi="仿宋_GB2312" w:eastAsia="仿宋_GB2312" w:cs="仿宋_GB2312"/>
          <w:sz w:val="32"/>
          <w:szCs w:val="32"/>
          <w:lang w:val="en-US" w:eastAsia="zh-CN"/>
        </w:rPr>
        <w:t>森林防火物资储备有处放</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森林防会后勤有保障。</w:t>
      </w:r>
      <w:r>
        <w:rPr>
          <w:rFonts w:hint="eastAsia" w:ascii="仿宋_GB2312" w:hAnsi="仿宋_GB2312" w:eastAsia="仿宋_GB2312" w:cs="仿宋_GB2312"/>
          <w:sz w:val="32"/>
          <w:szCs w:val="32"/>
        </w:rPr>
        <w:t>得8分。</w:t>
      </w:r>
    </w:p>
    <w:p w14:paraId="550DFDD3">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②社会效益：该项目的建设，有利于</w:t>
      </w:r>
      <w:r>
        <w:rPr>
          <w:rFonts w:hint="eastAsia" w:ascii="仿宋_GB2312" w:hAnsi="仿宋_GB2312" w:eastAsia="仿宋_GB2312" w:cs="仿宋_GB2312"/>
          <w:sz w:val="32"/>
          <w:szCs w:val="32"/>
          <w:lang w:val="en-US" w:eastAsia="zh-CN"/>
        </w:rPr>
        <w:t>保障群众生命安全</w:t>
      </w:r>
      <w:r>
        <w:rPr>
          <w:rFonts w:hint="eastAsia" w:ascii="仿宋_GB2312" w:hAnsi="仿宋_GB2312" w:eastAsia="仿宋_GB2312" w:cs="仿宋_GB2312"/>
          <w:sz w:val="32"/>
          <w:szCs w:val="32"/>
        </w:rPr>
        <w:t>，得8分。</w:t>
      </w:r>
    </w:p>
    <w:p w14:paraId="5EC933F9">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③环境效益：该项目</w:t>
      </w:r>
      <w:r>
        <w:rPr>
          <w:rFonts w:hint="eastAsia" w:ascii="仿宋_GB2312" w:hAnsi="仿宋_GB2312" w:eastAsia="仿宋_GB2312" w:cs="仿宋_GB2312"/>
          <w:sz w:val="32"/>
          <w:szCs w:val="32"/>
          <w:lang w:val="en-US" w:eastAsia="zh-CN"/>
        </w:rPr>
        <w:t>的建设</w:t>
      </w:r>
      <w:r>
        <w:rPr>
          <w:rFonts w:hint="eastAsia" w:ascii="仿宋_GB2312" w:hAnsi="仿宋_GB2312" w:eastAsia="仿宋_GB2312" w:cs="仿宋_GB2312"/>
          <w:sz w:val="32"/>
          <w:szCs w:val="32"/>
        </w:rPr>
        <w:t>对环境产生了积极的影响，得8分。</w:t>
      </w:r>
    </w:p>
    <w:p w14:paraId="2866D440">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④可持续影响：该项目的实施切实解决了</w:t>
      </w:r>
      <w:r>
        <w:rPr>
          <w:rFonts w:hint="eastAsia" w:ascii="仿宋_GB2312" w:hAnsi="仿宋_GB2312" w:eastAsia="仿宋_GB2312" w:cs="仿宋_GB2312"/>
          <w:sz w:val="32"/>
          <w:szCs w:val="32"/>
          <w:lang w:val="en-US" w:eastAsia="zh-CN"/>
        </w:rPr>
        <w:t>森林防火物资储备，对森林防火隐患提供了有效保障，</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群众</w:t>
      </w:r>
      <w:r>
        <w:rPr>
          <w:rFonts w:hint="eastAsia" w:ascii="仿宋_GB2312" w:hAnsi="仿宋_GB2312" w:eastAsia="仿宋_GB2312" w:cs="仿宋_GB2312"/>
          <w:sz w:val="32"/>
          <w:szCs w:val="32"/>
        </w:rPr>
        <w:t>带来了可持续影响，对自然及资源带来可持续影响，得8分。</w:t>
      </w:r>
    </w:p>
    <w:p w14:paraId="601E6248">
      <w:pPr>
        <w:pageBreakBefore w:val="0"/>
        <w:kinsoku/>
        <w:overflowPunct/>
        <w:topLinePunct w:val="0"/>
        <w:bidi w:val="0"/>
        <w:spacing w:line="576" w:lineRule="exact"/>
        <w:ind w:firstLine="640" w:firstLineChars="200"/>
        <w:rPr>
          <w:rFonts w:ascii="仿宋_GB2312" w:hAnsi="仿宋_GB2312" w:eastAsia="仿宋_GB2312" w:cs="仿宋_GB2312"/>
          <w:color w:val="7F7F7F"/>
          <w:sz w:val="32"/>
          <w:szCs w:val="32"/>
        </w:rPr>
      </w:pPr>
      <w:r>
        <w:rPr>
          <w:rFonts w:hint="eastAsia" w:ascii="仿宋_GB2312" w:hAnsi="仿宋_GB2312" w:eastAsia="仿宋_GB2312" w:cs="仿宋_GB2312"/>
          <w:sz w:val="32"/>
          <w:szCs w:val="32"/>
        </w:rPr>
        <w:t>⑤服务对象满意度：该项目的建设完成，解决了</w:t>
      </w:r>
      <w:r>
        <w:rPr>
          <w:rFonts w:hint="eastAsia" w:ascii="仿宋_GB2312" w:hAnsi="仿宋_GB2312" w:eastAsia="仿宋_GB2312" w:cs="仿宋_GB2312"/>
          <w:sz w:val="32"/>
          <w:szCs w:val="32"/>
          <w:lang w:val="en-US" w:eastAsia="zh-CN"/>
        </w:rPr>
        <w:t>森林防火物资储备问题</w:t>
      </w:r>
      <w:r>
        <w:rPr>
          <w:rFonts w:hint="eastAsia" w:ascii="仿宋_GB2312" w:hAnsi="仿宋_GB2312" w:eastAsia="仿宋_GB2312" w:cs="仿宋_GB2312"/>
          <w:sz w:val="32"/>
          <w:szCs w:val="32"/>
        </w:rPr>
        <w:t>，群众满意度达100%，得8分。</w:t>
      </w:r>
    </w:p>
    <w:p w14:paraId="19DD69C0">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（六）主要经验及做法、存在问题和建议</w:t>
      </w:r>
    </w:p>
    <w:p w14:paraId="36DF77C9">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1.主要经验及做法：项目的确立要以有效保障生态建设与保护，维护生态安全为宗旨，以切实提高森林防火控制能力，维护园区生态平衡为目标，项目的申报、实施过程公开透明。</w:t>
      </w:r>
    </w:p>
    <w:p w14:paraId="1ACE5183">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2.存在的问题和建议：</w:t>
      </w:r>
    </w:p>
    <w:p w14:paraId="05CBDCF2">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由于天气等自然条件的影响，项目在施工中，施工进度较为缓慢，建议在以后的项目规划中，充分考虑天气等客观原因对项目施工的影响，合理规划施工期限</w:t>
      </w:r>
    </w:p>
    <w:bookmarkEnd w:id="55"/>
    <w:bookmarkEnd w:id="60"/>
    <w:p w14:paraId="38941558">
      <w:pPr>
        <w:pageBreakBefore w:val="0"/>
        <w:kinsoku/>
        <w:overflowPunct/>
        <w:topLinePunct w:val="0"/>
        <w:bidi w:val="0"/>
        <w:spacing w:line="576" w:lineRule="exact"/>
        <w:jc w:val="center"/>
        <w:outlineLvl w:val="0"/>
        <w:rPr>
          <w:rFonts w:ascii="仿宋" w:hAnsi="仿宋" w:eastAsia="仿宋"/>
          <w:b/>
          <w:color w:val="000000"/>
          <w:sz w:val="44"/>
          <w:szCs w:val="44"/>
        </w:rPr>
      </w:pPr>
    </w:p>
    <w:p w14:paraId="0A13F678">
      <w:pPr>
        <w:spacing w:line="600" w:lineRule="exact"/>
        <w:jc w:val="center"/>
        <w:outlineLvl w:val="0"/>
        <w:rPr>
          <w:rFonts w:hint="eastAsia" w:ascii="黑体" w:hAnsi="黑体" w:eastAsia="黑体"/>
          <w:color w:val="000000"/>
          <w:sz w:val="44"/>
          <w:szCs w:val="44"/>
        </w:rPr>
      </w:pPr>
      <w:bookmarkStart w:id="61" w:name="_Toc79163885"/>
      <w:bookmarkStart w:id="62" w:name="_Toc79163635"/>
      <w:bookmarkStart w:id="63" w:name="_Toc15396619"/>
    </w:p>
    <w:p w14:paraId="000A1828">
      <w:pPr>
        <w:spacing w:line="600" w:lineRule="exact"/>
        <w:jc w:val="center"/>
        <w:outlineLvl w:val="0"/>
        <w:rPr>
          <w:rFonts w:hint="eastAsia" w:ascii="黑体" w:hAnsi="黑体" w:eastAsia="黑体"/>
          <w:color w:val="000000"/>
          <w:sz w:val="44"/>
          <w:szCs w:val="44"/>
        </w:rPr>
      </w:pPr>
    </w:p>
    <w:p w14:paraId="10B15FA8">
      <w:pPr>
        <w:spacing w:line="600" w:lineRule="exact"/>
        <w:jc w:val="center"/>
        <w:outlineLvl w:val="0"/>
        <w:rPr>
          <w:rFonts w:hint="eastAsia" w:ascii="黑体" w:hAnsi="黑体" w:eastAsia="黑体"/>
          <w:color w:val="000000"/>
          <w:sz w:val="44"/>
          <w:szCs w:val="44"/>
        </w:rPr>
      </w:pPr>
    </w:p>
    <w:p w14:paraId="691F9C04">
      <w:pPr>
        <w:spacing w:line="600" w:lineRule="exact"/>
        <w:jc w:val="center"/>
        <w:outlineLvl w:val="0"/>
        <w:rPr>
          <w:rFonts w:hint="eastAsia" w:ascii="黑体" w:hAnsi="黑体" w:eastAsia="黑体"/>
          <w:color w:val="000000"/>
          <w:sz w:val="44"/>
          <w:szCs w:val="44"/>
        </w:rPr>
      </w:pPr>
    </w:p>
    <w:p w14:paraId="20DA5362">
      <w:pPr>
        <w:spacing w:line="600" w:lineRule="exact"/>
        <w:jc w:val="center"/>
        <w:outlineLvl w:val="0"/>
        <w:rPr>
          <w:rFonts w:hint="eastAsia" w:ascii="黑体" w:hAnsi="黑体" w:eastAsia="黑体"/>
          <w:color w:val="000000"/>
          <w:sz w:val="44"/>
          <w:szCs w:val="44"/>
        </w:rPr>
      </w:pPr>
    </w:p>
    <w:p w14:paraId="3AC641E1">
      <w:pPr>
        <w:spacing w:line="600" w:lineRule="exact"/>
        <w:jc w:val="center"/>
        <w:outlineLvl w:val="0"/>
        <w:rPr>
          <w:rFonts w:hint="eastAsia" w:ascii="黑体" w:hAnsi="黑体" w:eastAsia="黑体"/>
          <w:color w:val="000000"/>
          <w:sz w:val="44"/>
          <w:szCs w:val="44"/>
        </w:rPr>
      </w:pPr>
    </w:p>
    <w:p w14:paraId="67F37040">
      <w:pPr>
        <w:spacing w:line="600" w:lineRule="exact"/>
        <w:jc w:val="center"/>
        <w:outlineLvl w:val="0"/>
        <w:rPr>
          <w:rFonts w:hint="eastAsia" w:ascii="黑体" w:hAnsi="黑体" w:eastAsia="黑体"/>
          <w:color w:val="000000"/>
          <w:sz w:val="44"/>
          <w:szCs w:val="44"/>
        </w:rPr>
      </w:pPr>
    </w:p>
    <w:p w14:paraId="3400F584">
      <w:pPr>
        <w:spacing w:line="600" w:lineRule="exact"/>
        <w:jc w:val="center"/>
        <w:outlineLvl w:val="0"/>
        <w:rPr>
          <w:rFonts w:hint="eastAsia" w:ascii="黑体" w:hAnsi="黑体" w:eastAsia="黑体"/>
          <w:color w:val="000000"/>
          <w:sz w:val="44"/>
          <w:szCs w:val="44"/>
        </w:rPr>
      </w:pPr>
    </w:p>
    <w:p w14:paraId="51F8CE4C">
      <w:pPr>
        <w:spacing w:line="600" w:lineRule="exact"/>
        <w:jc w:val="center"/>
        <w:outlineLvl w:val="0"/>
        <w:rPr>
          <w:rStyle w:val="31"/>
          <w:rFonts w:ascii="黑体" w:hAnsi="黑体" w:eastAsia="黑体"/>
          <w:b w:val="0"/>
        </w:rPr>
      </w:pPr>
      <w:r>
        <w:rPr>
          <w:rFonts w:hint="eastAsia" w:ascii="黑体" w:hAnsi="黑体" w:eastAsia="黑体"/>
          <w:color w:val="000000"/>
          <w:sz w:val="44"/>
          <w:szCs w:val="44"/>
        </w:rPr>
        <w:t>第</w:t>
      </w:r>
      <w:r>
        <w:rPr>
          <w:rStyle w:val="31"/>
          <w:rFonts w:hint="eastAsia" w:ascii="黑体" w:hAnsi="黑体" w:eastAsia="黑体"/>
          <w:b w:val="0"/>
        </w:rPr>
        <w:t>五部分</w:t>
      </w:r>
      <w:r>
        <w:rPr>
          <w:rStyle w:val="31"/>
          <w:rFonts w:ascii="黑体" w:hAnsi="黑体" w:eastAsia="黑体"/>
          <w:b w:val="0"/>
        </w:rPr>
        <w:t xml:space="preserve"> </w:t>
      </w:r>
      <w:r>
        <w:rPr>
          <w:rStyle w:val="31"/>
          <w:rFonts w:hint="eastAsia" w:ascii="黑体" w:hAnsi="黑体" w:eastAsia="黑体"/>
          <w:b w:val="0"/>
        </w:rPr>
        <w:t>附表</w:t>
      </w:r>
      <w:bookmarkEnd w:id="61"/>
      <w:bookmarkEnd w:id="62"/>
    </w:p>
    <w:p w14:paraId="5A6B1180">
      <w:pPr>
        <w:pStyle w:val="5"/>
        <w:rPr>
          <w:rFonts w:ascii="仿宋" w:hAnsi="仿宋" w:eastAsia="仿宋"/>
          <w:color w:val="000000"/>
        </w:rPr>
      </w:pPr>
      <w:bookmarkStart w:id="64" w:name="_Toc79163886"/>
      <w:bookmarkStart w:id="65" w:name="_Toc79163636"/>
      <w:r>
        <w:rPr>
          <w:rFonts w:hint="eastAsia" w:ascii="仿宋" w:hAnsi="仿宋" w:eastAsia="仿宋"/>
          <w:b w:val="0"/>
          <w:color w:val="000000"/>
        </w:rPr>
        <w:t>一、收</w:t>
      </w:r>
      <w:r>
        <w:rPr>
          <w:rStyle w:val="32"/>
          <w:rFonts w:hint="eastAsia" w:ascii="仿宋" w:hAnsi="仿宋" w:eastAsia="仿宋"/>
          <w:b w:val="0"/>
          <w:bCs w:val="0"/>
        </w:rPr>
        <w:t>入支出决算总表</w:t>
      </w:r>
      <w:bookmarkEnd w:id="64"/>
      <w:bookmarkEnd w:id="65"/>
    </w:p>
    <w:p w14:paraId="1555B0F0">
      <w:pPr>
        <w:pStyle w:val="5"/>
        <w:rPr>
          <w:rFonts w:ascii="仿宋" w:hAnsi="仿宋" w:eastAsia="仿宋"/>
          <w:color w:val="000000"/>
        </w:rPr>
      </w:pPr>
      <w:bookmarkStart w:id="66" w:name="_Toc79163887"/>
      <w:bookmarkStart w:id="67" w:name="_Toc79163637"/>
      <w:r>
        <w:rPr>
          <w:rFonts w:hint="eastAsia" w:ascii="仿宋" w:hAnsi="仿宋" w:eastAsia="仿宋"/>
          <w:b w:val="0"/>
          <w:color w:val="000000"/>
        </w:rPr>
        <w:t>二、收</w:t>
      </w:r>
      <w:r>
        <w:rPr>
          <w:rStyle w:val="32"/>
          <w:rFonts w:hint="eastAsia" w:ascii="仿宋" w:hAnsi="仿宋" w:eastAsia="仿宋"/>
          <w:b w:val="0"/>
          <w:bCs w:val="0"/>
        </w:rPr>
        <w:t>入决算表</w:t>
      </w:r>
      <w:bookmarkEnd w:id="66"/>
      <w:bookmarkEnd w:id="67"/>
    </w:p>
    <w:p w14:paraId="1BB827B7">
      <w:pPr>
        <w:pStyle w:val="5"/>
        <w:rPr>
          <w:rFonts w:ascii="仿宋" w:hAnsi="仿宋" w:eastAsia="仿宋"/>
          <w:color w:val="000000"/>
        </w:rPr>
      </w:pPr>
      <w:bookmarkStart w:id="68" w:name="_Toc79163638"/>
      <w:bookmarkStart w:id="69" w:name="_Toc79163888"/>
      <w:r>
        <w:rPr>
          <w:rStyle w:val="32"/>
          <w:rFonts w:hint="eastAsia" w:ascii="仿宋" w:hAnsi="仿宋" w:eastAsia="仿宋"/>
          <w:b w:val="0"/>
          <w:bCs w:val="0"/>
        </w:rPr>
        <w:t>三、</w:t>
      </w:r>
      <w:r>
        <w:rPr>
          <w:rFonts w:hint="eastAsia" w:ascii="仿宋" w:hAnsi="仿宋" w:eastAsia="仿宋"/>
          <w:b w:val="0"/>
          <w:color w:val="000000"/>
        </w:rPr>
        <w:t>支</w:t>
      </w:r>
      <w:r>
        <w:rPr>
          <w:rStyle w:val="32"/>
          <w:rFonts w:hint="eastAsia" w:ascii="仿宋" w:hAnsi="仿宋" w:eastAsia="仿宋"/>
          <w:b w:val="0"/>
          <w:bCs w:val="0"/>
        </w:rPr>
        <w:t>出决算表</w:t>
      </w:r>
      <w:bookmarkEnd w:id="68"/>
      <w:bookmarkEnd w:id="69"/>
    </w:p>
    <w:p w14:paraId="117875E0">
      <w:pPr>
        <w:pStyle w:val="5"/>
        <w:rPr>
          <w:rFonts w:ascii="仿宋" w:hAnsi="仿宋" w:eastAsia="仿宋"/>
          <w:b w:val="0"/>
          <w:color w:val="000000"/>
        </w:rPr>
      </w:pPr>
      <w:bookmarkStart w:id="70" w:name="_Toc79163889"/>
      <w:bookmarkStart w:id="71" w:name="_Toc79163639"/>
      <w:r>
        <w:rPr>
          <w:rStyle w:val="32"/>
          <w:rFonts w:hint="eastAsia" w:ascii="仿宋" w:hAnsi="仿宋" w:eastAsia="仿宋"/>
          <w:b w:val="0"/>
          <w:bCs w:val="0"/>
        </w:rPr>
        <w:t>四、</w:t>
      </w:r>
      <w:r>
        <w:rPr>
          <w:rFonts w:hint="eastAsia" w:ascii="仿宋" w:hAnsi="仿宋" w:eastAsia="仿宋"/>
          <w:b w:val="0"/>
          <w:color w:val="000000"/>
        </w:rPr>
        <w:t>财</w:t>
      </w:r>
      <w:r>
        <w:rPr>
          <w:rStyle w:val="32"/>
          <w:rFonts w:hint="eastAsia" w:ascii="仿宋" w:hAnsi="仿宋" w:eastAsia="仿宋"/>
          <w:b w:val="0"/>
          <w:bCs w:val="0"/>
        </w:rPr>
        <w:t>政拨款收入支出决算总表</w:t>
      </w:r>
      <w:bookmarkEnd w:id="70"/>
      <w:bookmarkEnd w:id="71"/>
    </w:p>
    <w:p w14:paraId="4D451E2E">
      <w:pPr>
        <w:pStyle w:val="5"/>
        <w:rPr>
          <w:rStyle w:val="32"/>
          <w:rFonts w:ascii="仿宋" w:hAnsi="仿宋" w:eastAsia="仿宋"/>
          <w:b w:val="0"/>
          <w:bCs w:val="0"/>
        </w:rPr>
      </w:pPr>
      <w:bookmarkStart w:id="72" w:name="_Toc79163890"/>
      <w:bookmarkStart w:id="73" w:name="_Toc79163640"/>
      <w:r>
        <w:rPr>
          <w:rStyle w:val="32"/>
          <w:rFonts w:hint="eastAsia" w:ascii="仿宋" w:hAnsi="仿宋" w:eastAsia="仿宋"/>
          <w:b w:val="0"/>
          <w:bCs w:val="0"/>
        </w:rPr>
        <w:t>五、</w:t>
      </w:r>
      <w:r>
        <w:rPr>
          <w:rFonts w:hint="eastAsia" w:ascii="仿宋" w:hAnsi="仿宋" w:eastAsia="仿宋"/>
          <w:b w:val="0"/>
          <w:color w:val="000000"/>
        </w:rPr>
        <w:t>财</w:t>
      </w:r>
      <w:r>
        <w:rPr>
          <w:rStyle w:val="32"/>
          <w:rFonts w:hint="eastAsia" w:ascii="仿宋" w:hAnsi="仿宋" w:eastAsia="仿宋"/>
          <w:b w:val="0"/>
          <w:bCs w:val="0"/>
        </w:rPr>
        <w:t>政拨款支出决算明细表</w:t>
      </w:r>
      <w:bookmarkEnd w:id="72"/>
      <w:bookmarkEnd w:id="73"/>
    </w:p>
    <w:p w14:paraId="66E13311">
      <w:pPr>
        <w:pStyle w:val="5"/>
        <w:rPr>
          <w:rFonts w:ascii="仿宋" w:hAnsi="仿宋" w:eastAsia="仿宋"/>
          <w:color w:val="000000"/>
        </w:rPr>
      </w:pPr>
      <w:bookmarkStart w:id="74" w:name="_Toc79163641"/>
      <w:bookmarkStart w:id="75" w:name="_Toc79163891"/>
      <w:r>
        <w:rPr>
          <w:rStyle w:val="32"/>
          <w:rFonts w:hint="eastAsia" w:ascii="仿宋" w:hAnsi="仿宋" w:eastAsia="仿宋"/>
          <w:b w:val="0"/>
          <w:bCs w:val="0"/>
        </w:rPr>
        <w:t>六、</w:t>
      </w:r>
      <w:r>
        <w:rPr>
          <w:rFonts w:hint="eastAsia" w:ascii="仿宋" w:hAnsi="仿宋" w:eastAsia="仿宋"/>
          <w:b w:val="0"/>
          <w:color w:val="000000"/>
        </w:rPr>
        <w:t>一</w:t>
      </w:r>
      <w:r>
        <w:rPr>
          <w:rStyle w:val="32"/>
          <w:rFonts w:hint="eastAsia" w:ascii="仿宋" w:hAnsi="仿宋" w:eastAsia="仿宋"/>
          <w:b w:val="0"/>
          <w:bCs w:val="0"/>
        </w:rPr>
        <w:t>般公共预算财政拨款支出决算表</w:t>
      </w:r>
      <w:bookmarkEnd w:id="74"/>
      <w:bookmarkEnd w:id="75"/>
    </w:p>
    <w:p w14:paraId="18A525DF">
      <w:pPr>
        <w:pStyle w:val="5"/>
        <w:rPr>
          <w:rFonts w:ascii="仿宋" w:hAnsi="仿宋" w:eastAsia="仿宋"/>
          <w:color w:val="000000"/>
        </w:rPr>
      </w:pPr>
      <w:bookmarkStart w:id="76" w:name="_Toc79163642"/>
      <w:bookmarkStart w:id="77" w:name="_Toc79163892"/>
      <w:r>
        <w:rPr>
          <w:rStyle w:val="32"/>
          <w:rFonts w:hint="eastAsia" w:ascii="仿宋" w:hAnsi="仿宋" w:eastAsia="仿宋"/>
          <w:b w:val="0"/>
          <w:bCs w:val="0"/>
        </w:rPr>
        <w:t>七、</w:t>
      </w:r>
      <w:r>
        <w:rPr>
          <w:rFonts w:hint="eastAsia" w:ascii="仿宋" w:hAnsi="仿宋" w:eastAsia="仿宋"/>
          <w:b w:val="0"/>
          <w:color w:val="000000"/>
        </w:rPr>
        <w:t>一</w:t>
      </w:r>
      <w:r>
        <w:rPr>
          <w:rStyle w:val="32"/>
          <w:rFonts w:hint="eastAsia" w:ascii="仿宋" w:hAnsi="仿宋" w:eastAsia="仿宋"/>
          <w:b w:val="0"/>
          <w:bCs w:val="0"/>
        </w:rPr>
        <w:t>般公共预算财政拨款支出决算明细表</w:t>
      </w:r>
      <w:bookmarkEnd w:id="76"/>
      <w:bookmarkEnd w:id="77"/>
    </w:p>
    <w:p w14:paraId="23A9528B">
      <w:pPr>
        <w:pStyle w:val="5"/>
        <w:rPr>
          <w:rFonts w:ascii="仿宋" w:hAnsi="仿宋" w:eastAsia="仿宋"/>
          <w:color w:val="000000"/>
        </w:rPr>
      </w:pPr>
      <w:bookmarkStart w:id="78" w:name="_Toc79163893"/>
      <w:bookmarkStart w:id="79" w:name="_Toc79163643"/>
      <w:r>
        <w:rPr>
          <w:rStyle w:val="32"/>
          <w:rFonts w:hint="eastAsia" w:ascii="仿宋" w:hAnsi="仿宋" w:eastAsia="仿宋"/>
          <w:b w:val="0"/>
          <w:bCs w:val="0"/>
        </w:rPr>
        <w:t>八、</w:t>
      </w:r>
      <w:r>
        <w:rPr>
          <w:rFonts w:hint="eastAsia" w:ascii="仿宋" w:hAnsi="仿宋" w:eastAsia="仿宋"/>
          <w:b w:val="0"/>
          <w:color w:val="000000"/>
        </w:rPr>
        <w:t>一</w:t>
      </w:r>
      <w:r>
        <w:rPr>
          <w:rStyle w:val="32"/>
          <w:rFonts w:hint="eastAsia" w:ascii="仿宋" w:hAnsi="仿宋" w:eastAsia="仿宋"/>
          <w:b w:val="0"/>
          <w:bCs w:val="0"/>
        </w:rPr>
        <w:t>般公共预算财政拨款基本支出决算表</w:t>
      </w:r>
      <w:bookmarkEnd w:id="78"/>
      <w:bookmarkEnd w:id="79"/>
    </w:p>
    <w:p w14:paraId="1271AEED">
      <w:pPr>
        <w:pStyle w:val="5"/>
        <w:rPr>
          <w:rFonts w:ascii="仿宋" w:hAnsi="仿宋" w:eastAsia="仿宋"/>
          <w:color w:val="000000"/>
        </w:rPr>
      </w:pPr>
      <w:bookmarkStart w:id="80" w:name="_Toc79163644"/>
      <w:bookmarkStart w:id="81" w:name="_Toc79163894"/>
      <w:r>
        <w:rPr>
          <w:rStyle w:val="32"/>
          <w:rFonts w:hint="eastAsia" w:ascii="仿宋" w:hAnsi="仿宋" w:eastAsia="仿宋"/>
          <w:b w:val="0"/>
          <w:bCs w:val="0"/>
        </w:rPr>
        <w:t>九、</w:t>
      </w:r>
      <w:r>
        <w:rPr>
          <w:rFonts w:hint="eastAsia" w:ascii="仿宋" w:hAnsi="仿宋" w:eastAsia="仿宋"/>
          <w:b w:val="0"/>
          <w:color w:val="000000"/>
        </w:rPr>
        <w:t>一</w:t>
      </w:r>
      <w:r>
        <w:rPr>
          <w:rStyle w:val="32"/>
          <w:rFonts w:hint="eastAsia" w:ascii="仿宋" w:hAnsi="仿宋" w:eastAsia="仿宋"/>
          <w:b w:val="0"/>
          <w:bCs w:val="0"/>
        </w:rPr>
        <w:t>般公共预算财政拨款项目支出决算表</w:t>
      </w:r>
      <w:bookmarkEnd w:id="80"/>
      <w:bookmarkEnd w:id="81"/>
    </w:p>
    <w:p w14:paraId="1B598AF0">
      <w:pPr>
        <w:pStyle w:val="5"/>
        <w:rPr>
          <w:rFonts w:ascii="仿宋" w:hAnsi="仿宋" w:eastAsia="仿宋"/>
          <w:color w:val="000000"/>
        </w:rPr>
      </w:pPr>
      <w:bookmarkStart w:id="82" w:name="_Toc79163895"/>
      <w:bookmarkStart w:id="83" w:name="_Toc79163645"/>
      <w:r>
        <w:rPr>
          <w:rStyle w:val="32"/>
          <w:rFonts w:hint="eastAsia" w:ascii="仿宋" w:hAnsi="仿宋" w:eastAsia="仿宋"/>
          <w:b w:val="0"/>
          <w:bCs w:val="0"/>
        </w:rPr>
        <w:t>十、</w:t>
      </w:r>
      <w:r>
        <w:rPr>
          <w:rFonts w:hint="eastAsia" w:ascii="仿宋" w:hAnsi="仿宋" w:eastAsia="仿宋"/>
          <w:b w:val="0"/>
          <w:color w:val="000000"/>
        </w:rPr>
        <w:t>一</w:t>
      </w:r>
      <w:r>
        <w:rPr>
          <w:rStyle w:val="32"/>
          <w:rFonts w:hint="eastAsia" w:ascii="仿宋" w:hAnsi="仿宋" w:eastAsia="仿宋"/>
          <w:b w:val="0"/>
          <w:bCs w:val="0"/>
        </w:rPr>
        <w:t>般公共预算财政拨款“三公”经费支出决算表</w:t>
      </w:r>
      <w:bookmarkEnd w:id="82"/>
      <w:bookmarkEnd w:id="83"/>
    </w:p>
    <w:p w14:paraId="710D7AD6">
      <w:pPr>
        <w:pStyle w:val="5"/>
        <w:rPr>
          <w:rFonts w:ascii="仿宋" w:hAnsi="仿宋" w:eastAsia="仿宋"/>
          <w:color w:val="000000"/>
        </w:rPr>
      </w:pPr>
      <w:bookmarkStart w:id="84" w:name="_Toc79163646"/>
      <w:bookmarkStart w:id="85" w:name="_Toc79163896"/>
      <w:r>
        <w:rPr>
          <w:rStyle w:val="32"/>
          <w:rFonts w:hint="eastAsia" w:ascii="仿宋" w:hAnsi="仿宋" w:eastAsia="仿宋"/>
          <w:b w:val="0"/>
          <w:bCs w:val="0"/>
        </w:rPr>
        <w:t>十一、</w:t>
      </w:r>
      <w:r>
        <w:rPr>
          <w:rFonts w:hint="eastAsia" w:ascii="仿宋" w:hAnsi="仿宋" w:eastAsia="仿宋"/>
          <w:b w:val="0"/>
          <w:color w:val="000000"/>
        </w:rPr>
        <w:t>政</w:t>
      </w:r>
      <w:r>
        <w:rPr>
          <w:rStyle w:val="32"/>
          <w:rFonts w:hint="eastAsia" w:ascii="仿宋" w:hAnsi="仿宋" w:eastAsia="仿宋"/>
          <w:b w:val="0"/>
          <w:bCs w:val="0"/>
        </w:rPr>
        <w:t>府性基金预算财政拨款收入支出决算表</w:t>
      </w:r>
      <w:bookmarkEnd w:id="84"/>
      <w:bookmarkEnd w:id="85"/>
    </w:p>
    <w:p w14:paraId="5F990904">
      <w:pPr>
        <w:pStyle w:val="5"/>
        <w:rPr>
          <w:rFonts w:ascii="仿宋" w:hAnsi="仿宋" w:eastAsia="仿宋"/>
          <w:color w:val="000000"/>
        </w:rPr>
      </w:pPr>
      <w:bookmarkStart w:id="86" w:name="_Toc79163647"/>
      <w:bookmarkStart w:id="87" w:name="_Toc79163897"/>
      <w:r>
        <w:rPr>
          <w:rStyle w:val="32"/>
          <w:rFonts w:hint="eastAsia" w:ascii="仿宋" w:hAnsi="仿宋" w:eastAsia="仿宋"/>
          <w:b w:val="0"/>
          <w:bCs w:val="0"/>
        </w:rPr>
        <w:t>十二、</w:t>
      </w:r>
      <w:r>
        <w:rPr>
          <w:rFonts w:hint="eastAsia" w:ascii="仿宋" w:hAnsi="仿宋" w:eastAsia="仿宋"/>
          <w:b w:val="0"/>
          <w:color w:val="000000"/>
        </w:rPr>
        <w:t>政</w:t>
      </w:r>
      <w:r>
        <w:rPr>
          <w:rStyle w:val="32"/>
          <w:rFonts w:hint="eastAsia" w:ascii="仿宋" w:hAnsi="仿宋" w:eastAsia="仿宋"/>
          <w:b w:val="0"/>
          <w:bCs w:val="0"/>
        </w:rPr>
        <w:t>府性基金预算财政拨款“三公”经费支出决算表</w:t>
      </w:r>
      <w:bookmarkEnd w:id="86"/>
      <w:bookmarkEnd w:id="87"/>
    </w:p>
    <w:p w14:paraId="5AF730AC">
      <w:pPr>
        <w:pStyle w:val="5"/>
        <w:rPr>
          <w:rStyle w:val="32"/>
          <w:rFonts w:ascii="仿宋" w:hAnsi="仿宋" w:eastAsia="仿宋"/>
          <w:b w:val="0"/>
          <w:bCs w:val="0"/>
        </w:rPr>
      </w:pPr>
      <w:bookmarkStart w:id="88" w:name="_Toc79163648"/>
      <w:bookmarkStart w:id="89" w:name="_Toc79163898"/>
      <w:r>
        <w:rPr>
          <w:rStyle w:val="32"/>
          <w:rFonts w:hint="eastAsia" w:ascii="仿宋" w:hAnsi="仿宋" w:eastAsia="仿宋"/>
          <w:b w:val="0"/>
          <w:bCs w:val="0"/>
        </w:rPr>
        <w:t>十三、</w:t>
      </w:r>
      <w:r>
        <w:rPr>
          <w:rFonts w:hint="eastAsia" w:ascii="仿宋" w:hAnsi="仿宋" w:eastAsia="仿宋"/>
          <w:b w:val="0"/>
          <w:color w:val="000000"/>
        </w:rPr>
        <w:t>国</w:t>
      </w:r>
      <w:r>
        <w:rPr>
          <w:rStyle w:val="32"/>
          <w:rFonts w:hint="eastAsia" w:ascii="仿宋" w:hAnsi="仿宋" w:eastAsia="仿宋"/>
          <w:b w:val="0"/>
          <w:bCs w:val="0"/>
        </w:rPr>
        <w:t>有资本经营预算财政拨款支出决算表</w:t>
      </w:r>
      <w:bookmarkEnd w:id="88"/>
      <w:bookmarkEnd w:id="89"/>
    </w:p>
    <w:p w14:paraId="61D16D61">
      <w:pPr>
        <w:pStyle w:val="5"/>
        <w:rPr>
          <w:rFonts w:ascii="仿宋" w:hAnsi="仿宋" w:eastAsia="仿宋"/>
          <w:color w:val="000000" w:themeColor="text1"/>
          <w14:textFill>
            <w14:solidFill>
              <w14:schemeClr w14:val="tx1"/>
            </w14:solidFill>
          </w14:textFill>
        </w:rPr>
      </w:pPr>
      <w:bookmarkStart w:id="90" w:name="_Toc79163899"/>
      <w:bookmarkStart w:id="91" w:name="_Toc79163649"/>
      <w:r>
        <w:rPr>
          <w:rStyle w:val="32"/>
          <w:rFonts w:hint="eastAsia" w:ascii="仿宋" w:hAnsi="仿宋" w:eastAsia="仿宋"/>
          <w:b w:val="0"/>
          <w:bCs w:val="0"/>
        </w:rPr>
        <w:t>十四、国有资本经营预算财政拨款支出决算表</w:t>
      </w:r>
      <w:bookmarkEnd w:id="63"/>
      <w:bookmarkEnd w:id="90"/>
      <w:bookmarkEnd w:id="9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68E64DC8">
        <w:pPr>
          <w:pStyle w:val="10"/>
          <w:jc w:val="center"/>
        </w:pPr>
        <w:r>
          <w:fldChar w:fldCharType="begin"/>
        </w:r>
        <w:r>
          <w:instrText xml:space="preserve">PAGE   \* MERGEFORMAT</w:instrText>
        </w:r>
        <w:r>
          <w:fldChar w:fldCharType="separate"/>
        </w:r>
        <w:r>
          <w:rPr>
            <w:lang w:val="zh-CN"/>
          </w:rPr>
          <w:t>6</w:t>
        </w:r>
        <w:r>
          <w:fldChar w:fldCharType="end"/>
        </w:r>
      </w:p>
    </w:sdtContent>
  </w:sdt>
  <w:p w14:paraId="24FF5C2C">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F14F9">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B3889E"/>
    <w:multiLevelType w:val="singleLevel"/>
    <w:tmpl w:val="86B3889E"/>
    <w:lvl w:ilvl="0" w:tentative="0">
      <w:start w:val="2"/>
      <w:numFmt w:val="chineseCounting"/>
      <w:suff w:val="nothing"/>
      <w:lvlText w:val="（%1）"/>
      <w:lvlJc w:val="left"/>
      <w:rPr>
        <w:rFonts w:hint="eastAsia"/>
      </w:rPr>
    </w:lvl>
  </w:abstractNum>
  <w:abstractNum w:abstractNumId="1">
    <w:nsid w:val="A210A160"/>
    <w:multiLevelType w:val="singleLevel"/>
    <w:tmpl w:val="A210A160"/>
    <w:lvl w:ilvl="0" w:tentative="0">
      <w:start w:val="3"/>
      <w:numFmt w:val="decimal"/>
      <w:suff w:val="nothing"/>
      <w:lvlText w:val="%1、"/>
      <w:lvlJc w:val="left"/>
    </w:lvl>
  </w:abstractNum>
  <w:abstractNum w:abstractNumId="2">
    <w:nsid w:val="BB191100"/>
    <w:multiLevelType w:val="singleLevel"/>
    <w:tmpl w:val="BB191100"/>
    <w:lvl w:ilvl="0" w:tentative="0">
      <w:start w:val="2"/>
      <w:numFmt w:val="chineseCounting"/>
      <w:suff w:val="nothing"/>
      <w:lvlText w:val="（%1）"/>
      <w:lvlJc w:val="left"/>
      <w:rPr>
        <w:rFonts w:hint="eastAsia"/>
      </w:rPr>
    </w:lvl>
  </w:abstractNum>
  <w:abstractNum w:abstractNumId="3">
    <w:nsid w:val="CF652CEC"/>
    <w:multiLevelType w:val="singleLevel"/>
    <w:tmpl w:val="CF652CEC"/>
    <w:lvl w:ilvl="0" w:tentative="0">
      <w:start w:val="9"/>
      <w:numFmt w:val="chineseCounting"/>
      <w:suff w:val="nothing"/>
      <w:lvlText w:val="%1、"/>
      <w:lvlJc w:val="left"/>
      <w:rPr>
        <w:rFonts w:hint="eastAsia"/>
      </w:rPr>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8">
    <w:nsid w:val="6AEFC07D"/>
    <w:multiLevelType w:val="singleLevel"/>
    <w:tmpl w:val="6AEFC07D"/>
    <w:lvl w:ilvl="0" w:tentative="0">
      <w:start w:val="1"/>
      <w:numFmt w:val="decimal"/>
      <w:suff w:val="nothing"/>
      <w:lvlText w:val="%1、"/>
      <w:lvlJc w:val="left"/>
    </w:lvl>
  </w:abstractNum>
  <w:num w:numId="1">
    <w:abstractNumId w:val="6"/>
  </w:num>
  <w:num w:numId="2">
    <w:abstractNumId w:val="3"/>
  </w:num>
  <w:num w:numId="3">
    <w:abstractNumId w:val="7"/>
  </w:num>
  <w:num w:numId="4">
    <w:abstractNumId w:val="5"/>
  </w:num>
  <w:num w:numId="5">
    <w:abstractNumId w:val="8"/>
  </w:num>
  <w:num w:numId="6">
    <w:abstractNumId w:val="1"/>
  </w:num>
  <w:num w:numId="7">
    <w:abstractNumId w:val="4"/>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6F0515"/>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AE5ACF"/>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84534"/>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15D49C3"/>
    <w:rsid w:val="04571FD8"/>
    <w:rsid w:val="04B20FAF"/>
    <w:rsid w:val="05990983"/>
    <w:rsid w:val="05E624E0"/>
    <w:rsid w:val="06F660C8"/>
    <w:rsid w:val="08540B53"/>
    <w:rsid w:val="09DE6B9C"/>
    <w:rsid w:val="10C055FF"/>
    <w:rsid w:val="116F03C5"/>
    <w:rsid w:val="14033F77"/>
    <w:rsid w:val="141B5F1C"/>
    <w:rsid w:val="141E4830"/>
    <w:rsid w:val="14DB16C5"/>
    <w:rsid w:val="1540610B"/>
    <w:rsid w:val="15725DE7"/>
    <w:rsid w:val="15DA4AAA"/>
    <w:rsid w:val="16201DA6"/>
    <w:rsid w:val="16BB723D"/>
    <w:rsid w:val="1CBD3DC5"/>
    <w:rsid w:val="1E882606"/>
    <w:rsid w:val="1ED2024F"/>
    <w:rsid w:val="1F4F5F9F"/>
    <w:rsid w:val="20272B80"/>
    <w:rsid w:val="240371BF"/>
    <w:rsid w:val="25CF20C6"/>
    <w:rsid w:val="26C74CE5"/>
    <w:rsid w:val="29FD04D3"/>
    <w:rsid w:val="2B5B58DC"/>
    <w:rsid w:val="2BCD4BFC"/>
    <w:rsid w:val="2D732F0F"/>
    <w:rsid w:val="2D74070C"/>
    <w:rsid w:val="2EC56941"/>
    <w:rsid w:val="2FD40EF0"/>
    <w:rsid w:val="302D640E"/>
    <w:rsid w:val="311C0817"/>
    <w:rsid w:val="319F7F4E"/>
    <w:rsid w:val="33583C1D"/>
    <w:rsid w:val="35E70563"/>
    <w:rsid w:val="37BB5F50"/>
    <w:rsid w:val="381E4C03"/>
    <w:rsid w:val="39790D7E"/>
    <w:rsid w:val="3A8338B8"/>
    <w:rsid w:val="3B591591"/>
    <w:rsid w:val="3BFF23D4"/>
    <w:rsid w:val="3D726099"/>
    <w:rsid w:val="3DD1117A"/>
    <w:rsid w:val="421F5074"/>
    <w:rsid w:val="43697944"/>
    <w:rsid w:val="43EC3772"/>
    <w:rsid w:val="45FC7205"/>
    <w:rsid w:val="46164A10"/>
    <w:rsid w:val="46BD5DA4"/>
    <w:rsid w:val="482B1CF5"/>
    <w:rsid w:val="4FBE4FED"/>
    <w:rsid w:val="510B303A"/>
    <w:rsid w:val="51C93D34"/>
    <w:rsid w:val="52A633B6"/>
    <w:rsid w:val="58547572"/>
    <w:rsid w:val="58D05728"/>
    <w:rsid w:val="5CAB6B9D"/>
    <w:rsid w:val="5F9009E4"/>
    <w:rsid w:val="6335354B"/>
    <w:rsid w:val="66656F0E"/>
    <w:rsid w:val="68B04AC5"/>
    <w:rsid w:val="6F9151EE"/>
    <w:rsid w:val="718D6DCF"/>
    <w:rsid w:val="73AD22BC"/>
    <w:rsid w:val="73BA7CB8"/>
    <w:rsid w:val="73E0534F"/>
    <w:rsid w:val="773F2D9F"/>
    <w:rsid w:val="7BF109B4"/>
    <w:rsid w:val="7DFB5CF9"/>
    <w:rsid w:val="7F9D3E8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960"/>
      </w:tabs>
      <w:ind w:firstLine="420" w:firstLineChars="200"/>
    </w:pPr>
  </w:style>
  <w:style w:type="paragraph" w:styleId="3">
    <w:name w:val="Body Text Indent"/>
    <w:basedOn w:val="1"/>
    <w:qFormat/>
    <w:uiPriority w:val="0"/>
    <w:pPr>
      <w:tabs>
        <w:tab w:val="left" w:pos="960"/>
      </w:tabs>
      <w:spacing w:line="540" w:lineRule="exact"/>
      <w:ind w:firstLine="5440" w:firstLineChars="1700"/>
    </w:pPr>
    <w:rPr>
      <w:sz w:val="32"/>
      <w:szCs w:val="32"/>
    </w:rPr>
  </w:style>
  <w:style w:type="paragraph" w:styleId="7">
    <w:name w:val="Body Text"/>
    <w:basedOn w:val="1"/>
    <w:link w:val="23"/>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29"/>
    <w:semiHidden/>
    <w:unhideWhenUsed/>
    <w:qFormat/>
    <w:uiPriority w:val="99"/>
    <w:rPr>
      <w:sz w:val="18"/>
      <w:szCs w:val="18"/>
    </w:rPr>
  </w:style>
  <w:style w:type="paragraph" w:styleId="10">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Char"/>
    <w:link w:val="11"/>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10"/>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7"/>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5"/>
    <w:link w:val="4"/>
    <w:qFormat/>
    <w:uiPriority w:val="9"/>
    <w:rPr>
      <w:rFonts w:ascii="Times New Roman" w:hAnsi="Times New Roman"/>
      <w:b/>
      <w:bCs/>
      <w:kern w:val="44"/>
      <w:sz w:val="44"/>
      <w:szCs w:val="44"/>
    </w:rPr>
  </w:style>
  <w:style w:type="character" w:customStyle="1" w:styleId="27">
    <w:name w:val="标题 2 Char"/>
    <w:basedOn w:val="15"/>
    <w:link w:val="5"/>
    <w:qFormat/>
    <w:uiPriority w:val="9"/>
    <w:rPr>
      <w:rFonts w:asciiTheme="majorHAnsi" w:hAnsiTheme="majorHAnsi" w:eastAsiaTheme="majorEastAsia" w:cstheme="majorBidi"/>
      <w:b/>
      <w:bCs/>
      <w:kern w:val="2"/>
      <w:sz w:val="32"/>
      <w:szCs w:val="32"/>
    </w:rPr>
  </w:style>
  <w:style w:type="paragraph" w:customStyle="1" w:styleId="28">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Char"/>
    <w:basedOn w:val="15"/>
    <w:link w:val="9"/>
    <w:semiHidden/>
    <w:qFormat/>
    <w:uiPriority w:val="99"/>
    <w:rPr>
      <w:rFonts w:ascii="Times New Roman" w:hAnsi="Times New Roman"/>
      <w:kern w:val="2"/>
      <w:sz w:val="18"/>
      <w:szCs w:val="18"/>
    </w:rPr>
  </w:style>
  <w:style w:type="character" w:customStyle="1" w:styleId="30">
    <w:name w:val="标题 3 Char"/>
    <w:basedOn w:val="15"/>
    <w:link w:val="6"/>
    <w:qFormat/>
    <w:uiPriority w:val="9"/>
    <w:rPr>
      <w:rFonts w:ascii="Times New Roman" w:hAnsi="Times New Roman"/>
      <w:b/>
      <w:bCs/>
      <w:kern w:val="2"/>
      <w:sz w:val="32"/>
      <w:szCs w:val="32"/>
    </w:rPr>
  </w:style>
  <w:style w:type="character" w:customStyle="1" w:styleId="31">
    <w:name w:val="标题 1 字符"/>
    <w:basedOn w:val="15"/>
    <w:link w:val="4"/>
    <w:qFormat/>
    <w:locked/>
    <w:uiPriority w:val="9"/>
    <w:rPr>
      <w:rFonts w:ascii="Times New Roman" w:hAnsi="Times New Roman" w:cs="Times New Roman"/>
      <w:b/>
      <w:bCs/>
      <w:kern w:val="44"/>
      <w:sz w:val="44"/>
      <w:szCs w:val="44"/>
    </w:rPr>
  </w:style>
  <w:style w:type="character" w:customStyle="1" w:styleId="32">
    <w:name w:val="标题 2 字符"/>
    <w:basedOn w:val="15"/>
    <w:link w:val="5"/>
    <w:qFormat/>
    <w:locked/>
    <w:uiPriority w:val="9"/>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7508D-7640-4666-A14D-051C3DE318EF}">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47</Pages>
  <Words>4944</Words>
  <Characters>5529</Characters>
  <Lines>164</Lines>
  <Paragraphs>46</Paragraphs>
  <TotalTime>20</TotalTime>
  <ScaleCrop>false</ScaleCrop>
  <LinksUpToDate>false</LinksUpToDate>
  <CharactersWithSpaces>5599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有缘千里来相会</cp:lastModifiedBy>
  <cp:lastPrinted>2019-08-01T00:48:00Z</cp:lastPrinted>
  <dcterms:modified xsi:type="dcterms:W3CDTF">2026-04-21T01:40:09Z</dcterms:modified>
  <dc:title>四川省***</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4E67CD9A3F0A423AA6724BE67A0929DB_13</vt:lpwstr>
  </property>
  <property fmtid="{D5CDD505-2E9C-101B-9397-08002B2CF9AE}" pid="4" name="KSOTemplateDocerSaveRecord">
    <vt:lpwstr>eyJoZGlkIjoiMjU0NzVlMmRjOTg3ZmZkMDIzMWI1ZDEzZWE1YzVmOTciLCJ1c2VySWQiOiIyNTg1MDc3MDMifQ==</vt:lpwstr>
  </property>
</Properties>
</file>