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0B8CB46">
      <w:pPr>
        <w:rPr>
          <w:rFonts w:ascii="仿宋_GB2312" w:eastAsia="仿宋_GB2312"/>
          <w:sz w:val="32"/>
          <w:szCs w:val="32"/>
        </w:rPr>
      </w:pPr>
      <w:bookmarkStart w:id="0" w:name="_Toc15377193"/>
      <w:bookmarkStart w:id="1" w:name="_Toc15396597"/>
      <w:bookmarkStart w:id="2" w:name="_Toc15377425"/>
      <w:bookmarkStart w:id="3" w:name="_Toc15396475"/>
      <w:bookmarkStart w:id="4" w:name="_Toc15378441"/>
      <w:bookmarkStart w:id="5" w:name="_Toc15306267"/>
      <w:r>
        <w:rPr>
          <w:rFonts w:hint="eastAsia" w:ascii="仿宋_GB2312" w:eastAsia="仿宋_GB2312"/>
          <w:sz w:val="32"/>
          <w:szCs w:val="32"/>
        </w:rPr>
        <w:t>附件</w:t>
      </w:r>
      <w:r>
        <w:rPr>
          <w:rFonts w:ascii="仿宋_GB2312" w:eastAsia="仿宋_GB2312"/>
          <w:sz w:val="32"/>
          <w:szCs w:val="32"/>
        </w:rPr>
        <w:t>2</w:t>
      </w:r>
    </w:p>
    <w:p w14:paraId="2F5665F5">
      <w:pPr>
        <w:spacing w:line="600" w:lineRule="exact"/>
        <w:jc w:val="center"/>
        <w:outlineLvl w:val="0"/>
        <w:rPr>
          <w:rFonts w:ascii="方正小标宋简体" w:eastAsia="方正小标宋简体"/>
          <w:sz w:val="72"/>
          <w:szCs w:val="72"/>
        </w:rPr>
      </w:pPr>
    </w:p>
    <w:p w14:paraId="1137D37C">
      <w:pPr>
        <w:spacing w:line="600" w:lineRule="exact"/>
        <w:jc w:val="center"/>
        <w:outlineLvl w:val="0"/>
        <w:rPr>
          <w:rFonts w:ascii="方正小标宋简体" w:eastAsia="方正小标宋简体"/>
          <w:sz w:val="72"/>
          <w:szCs w:val="72"/>
        </w:rPr>
      </w:pPr>
    </w:p>
    <w:p w14:paraId="5D04CC53">
      <w:pPr>
        <w:spacing w:line="600" w:lineRule="exact"/>
        <w:jc w:val="center"/>
        <w:outlineLvl w:val="0"/>
        <w:rPr>
          <w:rFonts w:ascii="方正小标宋简体" w:eastAsia="方正小标宋简体"/>
          <w:sz w:val="72"/>
          <w:szCs w:val="72"/>
        </w:rPr>
      </w:pPr>
    </w:p>
    <w:p w14:paraId="4A9F0621">
      <w:pPr>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2021年度</w:t>
      </w:r>
      <w:bookmarkEnd w:id="0"/>
      <w:bookmarkEnd w:id="1"/>
      <w:bookmarkEnd w:id="2"/>
      <w:bookmarkEnd w:id="3"/>
      <w:bookmarkEnd w:id="4"/>
    </w:p>
    <w:p w14:paraId="24877CE6">
      <w:pPr>
        <w:keepNext w:val="0"/>
        <w:keepLines w:val="0"/>
        <w:pageBreakBefore w:val="0"/>
        <w:widowControl w:val="0"/>
        <w:spacing w:line="900" w:lineRule="exact"/>
        <w:jc w:val="center"/>
        <w:outlineLvl w:val="0"/>
        <w:rPr>
          <w:rFonts w:hint="default" w:ascii="方正小标宋简体" w:hAnsi="宋体" w:eastAsia="方正小标宋简体"/>
          <w:color w:val="000000"/>
          <w:sz w:val="72"/>
          <w:szCs w:val="72"/>
          <w:lang w:val="en-US" w:eastAsia="zh-CN"/>
        </w:rPr>
      </w:pPr>
      <w:bookmarkStart w:id="6" w:name="_Toc15396598"/>
      <w:bookmarkStart w:id="7" w:name="_Toc15396476"/>
      <w:bookmarkStart w:id="8" w:name="_Toc15377426"/>
      <w:bookmarkStart w:id="9" w:name="_Toc15378442"/>
      <w:bookmarkStart w:id="10" w:name="_Toc15377194"/>
      <w:r>
        <w:rPr>
          <w:rFonts w:ascii="方正小标宋简体" w:eastAsia="方正小标宋简体" w:cs="方正小标宋简体"/>
          <w:sz w:val="72"/>
          <w:szCs w:val="72"/>
        </w:rPr>
        <w:t>阿坝州</w:t>
      </w:r>
      <w:bookmarkEnd w:id="5"/>
      <w:bookmarkStart w:id="56" w:name="_GoBack"/>
      <w:bookmarkStart w:id="11" w:name="_Toc15306268"/>
      <w:r>
        <w:rPr>
          <w:rFonts w:hint="eastAsia" w:ascii="方正小标宋简体" w:hAnsi="宋体" w:eastAsia="方正小标宋简体"/>
          <w:color w:val="000000"/>
          <w:sz w:val="72"/>
          <w:szCs w:val="72"/>
        </w:rPr>
        <w:t>九寨沟县</w:t>
      </w:r>
      <w:r>
        <w:rPr>
          <w:rFonts w:hint="eastAsia" w:ascii="方正小标宋简体" w:hAnsi="宋体" w:eastAsia="方正小标宋简体"/>
          <w:color w:val="000000"/>
          <w:sz w:val="72"/>
          <w:szCs w:val="72"/>
          <w:lang w:val="en-US" w:eastAsia="zh-CN"/>
        </w:rPr>
        <w:t>林业和草原生态旅游发展中心</w:t>
      </w:r>
    </w:p>
    <w:p w14:paraId="277C3AC6">
      <w:pPr>
        <w:spacing w:line="360" w:lineRule="auto"/>
        <w:jc w:val="center"/>
        <w:outlineLvl w:val="0"/>
        <w:rPr>
          <w:rFonts w:ascii="方正小标宋简体" w:eastAsia="方正小标宋简体" w:cs="方正小标宋简体"/>
          <w:sz w:val="72"/>
          <w:szCs w:val="72"/>
        </w:rPr>
      </w:pPr>
      <w:r>
        <w:rPr>
          <w:rFonts w:hint="eastAsia" w:ascii="方正小标宋简体" w:eastAsia="方正小标宋简体" w:cs="方正小标宋简体"/>
          <w:sz w:val="72"/>
          <w:szCs w:val="72"/>
        </w:rPr>
        <w:t>部门决算</w:t>
      </w:r>
      <w:bookmarkEnd w:id="6"/>
      <w:bookmarkEnd w:id="7"/>
      <w:bookmarkEnd w:id="8"/>
      <w:bookmarkEnd w:id="9"/>
      <w:bookmarkEnd w:id="10"/>
      <w:bookmarkEnd w:id="11"/>
    </w:p>
    <w:bookmarkEnd w:id="56"/>
    <w:p w14:paraId="4E75477D">
      <w:pPr>
        <w:pStyle w:val="15"/>
        <w:spacing w:before="93"/>
      </w:pPr>
    </w:p>
    <w:p w14:paraId="6B872B80">
      <w:pPr>
        <w:pStyle w:val="15"/>
        <w:spacing w:before="93"/>
      </w:pPr>
    </w:p>
    <w:p w14:paraId="042012D7">
      <w:pPr>
        <w:pStyle w:val="15"/>
        <w:spacing w:before="93"/>
      </w:pPr>
    </w:p>
    <w:p w14:paraId="20FFFDF1">
      <w:pPr>
        <w:pStyle w:val="15"/>
        <w:spacing w:before="93"/>
      </w:pPr>
    </w:p>
    <w:p w14:paraId="0D8BE85A">
      <w:pPr>
        <w:pStyle w:val="15"/>
        <w:spacing w:before="93"/>
      </w:pPr>
    </w:p>
    <w:p w14:paraId="7353CBF4">
      <w:pPr>
        <w:pStyle w:val="15"/>
        <w:spacing w:before="93"/>
      </w:pPr>
    </w:p>
    <w:p w14:paraId="1B297DAE">
      <w:pPr>
        <w:widowControl/>
        <w:jc w:val="center"/>
        <w:rPr>
          <w:rFonts w:ascii="黑体" w:eastAsia="黑体"/>
          <w:sz w:val="48"/>
          <w:szCs w:val="48"/>
        </w:rPr>
      </w:pPr>
      <w:r>
        <w:rPr>
          <w:rFonts w:hint="eastAsia" w:ascii="仿宋_GB2312" w:eastAsia="仿宋_GB2312" w:cs="仿宋_GB2312"/>
          <w:sz w:val="32"/>
          <w:szCs w:val="32"/>
        </w:rPr>
        <w:t>已经保密审查、内容审定，同意对外公开</w:t>
      </w:r>
      <w:r>
        <w:rPr>
          <w:rFonts w:ascii="方正小标宋简体" w:eastAsia="方正小标宋简体"/>
          <w:sz w:val="36"/>
          <w:szCs w:val="36"/>
        </w:rPr>
        <w:br w:type="page" w:clear="all"/>
      </w:r>
      <w:r>
        <w:rPr>
          <w:rFonts w:hint="eastAsia" w:ascii="黑体" w:eastAsia="黑体"/>
          <w:sz w:val="48"/>
          <w:szCs w:val="48"/>
        </w:rPr>
        <w:t>目录</w:t>
      </w:r>
    </w:p>
    <w:p w14:paraId="168D9D37">
      <w:pPr>
        <w:widowControl/>
        <w:jc w:val="center"/>
        <w:rPr>
          <w:rFonts w:ascii="黑体" w:eastAsia="黑体" w:cs="Arial"/>
          <w:sz w:val="28"/>
          <w:szCs w:val="28"/>
        </w:rPr>
      </w:pPr>
    </w:p>
    <w:p w14:paraId="10A5E313">
      <w:pPr>
        <w:pStyle w:val="23"/>
      </w:pPr>
      <w:r>
        <w:rPr>
          <w:rFonts w:hint="eastAsia"/>
        </w:rPr>
        <w:t>公开时间：2022年</w:t>
      </w:r>
      <w:r>
        <w:t>9</w:t>
      </w:r>
      <w:r>
        <w:rPr>
          <w:rFonts w:hint="eastAsia"/>
        </w:rPr>
        <w:t>月29日</w:t>
      </w:r>
    </w:p>
    <w:p w14:paraId="755B854F"/>
    <w:p w14:paraId="1DC419EF">
      <w:pPr>
        <w:pStyle w:val="23"/>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p>
    <w:p w14:paraId="6356DDA6">
      <w:pPr>
        <w:pStyle w:val="29"/>
        <w:spacing w:line="440" w:lineRule="exact"/>
        <w:ind w:left="420"/>
        <w:jc w:val="left"/>
        <w:rPr>
          <w:rFonts w:ascii="仿宋" w:eastAsia="仿宋"/>
          <w:sz w:val="24"/>
        </w:rPr>
      </w:pPr>
      <w:r>
        <w:rPr>
          <w:rFonts w:hint="eastAsia"/>
          <w:sz w:val="24"/>
        </w:rPr>
        <w:t>一、基本职能及主要工作</w:t>
      </w:r>
    </w:p>
    <w:p w14:paraId="296378DA">
      <w:pPr>
        <w:pStyle w:val="29"/>
        <w:spacing w:line="440" w:lineRule="exact"/>
        <w:ind w:left="420"/>
        <w:jc w:val="left"/>
        <w:rPr>
          <w:rFonts w:ascii="仿宋" w:eastAsia="仿宋" w:cs="Arial"/>
          <w:sz w:val="24"/>
        </w:rPr>
      </w:pPr>
      <w:r>
        <w:rPr>
          <w:rFonts w:hint="eastAsia"/>
          <w:sz w:val="24"/>
        </w:rPr>
        <w:t>二、机构设置</w:t>
      </w:r>
    </w:p>
    <w:p w14:paraId="02F6074D">
      <w:pPr>
        <w:pStyle w:val="23"/>
        <w:spacing w:before="0" w:line="440" w:lineRule="exact"/>
        <w:jc w:val="left"/>
        <w:rPr>
          <w:sz w:val="24"/>
          <w:szCs w:val="24"/>
        </w:rPr>
      </w:pPr>
      <w:r>
        <w:rPr>
          <w:rFonts w:hint="eastAsia"/>
          <w:sz w:val="24"/>
        </w:rPr>
        <w:t>第二部分 2021年度部门决算情况说明</w:t>
      </w:r>
    </w:p>
    <w:p w14:paraId="49C715B2">
      <w:pPr>
        <w:pStyle w:val="29"/>
        <w:spacing w:line="440" w:lineRule="exact"/>
        <w:ind w:left="420"/>
        <w:jc w:val="left"/>
        <w:rPr>
          <w:rFonts w:ascii="仿宋" w:eastAsia="仿宋" w:cs="Arial"/>
          <w:sz w:val="24"/>
        </w:rPr>
      </w:pPr>
      <w:r>
        <w:rPr>
          <w:rFonts w:hint="eastAsia"/>
          <w:sz w:val="24"/>
        </w:rPr>
        <w:t>一、收入支出决算总体情况说明</w:t>
      </w:r>
    </w:p>
    <w:p w14:paraId="7F03AA8E">
      <w:pPr>
        <w:pStyle w:val="29"/>
        <w:spacing w:line="440" w:lineRule="exact"/>
        <w:ind w:left="420"/>
        <w:jc w:val="left"/>
        <w:rPr>
          <w:rFonts w:ascii="仿宋" w:eastAsia="仿宋" w:cs="Arial"/>
          <w:sz w:val="24"/>
        </w:rPr>
      </w:pPr>
      <w:r>
        <w:rPr>
          <w:rFonts w:hint="eastAsia"/>
          <w:sz w:val="24"/>
        </w:rPr>
        <w:t>二、收入决算情况说明</w:t>
      </w:r>
    </w:p>
    <w:p w14:paraId="6E538DF7">
      <w:pPr>
        <w:pStyle w:val="29"/>
        <w:spacing w:line="440" w:lineRule="exact"/>
        <w:ind w:left="420"/>
        <w:jc w:val="left"/>
        <w:rPr>
          <w:rFonts w:ascii="仿宋" w:eastAsia="仿宋" w:cs="Arial"/>
          <w:sz w:val="24"/>
        </w:rPr>
      </w:pPr>
      <w:r>
        <w:rPr>
          <w:rFonts w:hint="eastAsia"/>
          <w:sz w:val="24"/>
        </w:rPr>
        <w:t>三、支出决算情况说明</w:t>
      </w:r>
    </w:p>
    <w:p w14:paraId="490E501A">
      <w:pPr>
        <w:pStyle w:val="29"/>
        <w:spacing w:line="440" w:lineRule="exact"/>
        <w:ind w:left="420"/>
        <w:jc w:val="left"/>
        <w:rPr>
          <w:rFonts w:ascii="仿宋" w:eastAsia="仿宋" w:cs="Arial"/>
          <w:sz w:val="24"/>
        </w:rPr>
      </w:pPr>
      <w:r>
        <w:rPr>
          <w:rFonts w:hint="eastAsia"/>
          <w:sz w:val="24"/>
        </w:rPr>
        <w:t>四、财政拨款收入支出决算总体情况说明</w:t>
      </w:r>
    </w:p>
    <w:p w14:paraId="12189EAB">
      <w:pPr>
        <w:pStyle w:val="29"/>
        <w:spacing w:line="440" w:lineRule="exact"/>
        <w:ind w:left="420"/>
        <w:jc w:val="left"/>
        <w:rPr>
          <w:rFonts w:ascii="仿宋" w:eastAsia="仿宋" w:cs="Arial"/>
          <w:sz w:val="24"/>
        </w:rPr>
      </w:pPr>
      <w:r>
        <w:rPr>
          <w:rFonts w:hint="eastAsia"/>
          <w:sz w:val="24"/>
        </w:rPr>
        <w:t>五、一般公共预算财政拨款支出决算情况说明</w:t>
      </w:r>
    </w:p>
    <w:p w14:paraId="6BBC137D">
      <w:pPr>
        <w:pStyle w:val="29"/>
        <w:spacing w:line="440" w:lineRule="exact"/>
        <w:ind w:left="420"/>
        <w:jc w:val="left"/>
        <w:rPr>
          <w:rFonts w:ascii="仿宋" w:eastAsia="仿宋" w:cs="Arial"/>
          <w:sz w:val="24"/>
        </w:rPr>
      </w:pPr>
      <w:r>
        <w:rPr>
          <w:rFonts w:hint="eastAsia"/>
          <w:sz w:val="24"/>
        </w:rPr>
        <w:t>六、一般公共预算财政拨款基本支出决算情况说明</w:t>
      </w:r>
    </w:p>
    <w:p w14:paraId="2B7E4BC4">
      <w:pPr>
        <w:pStyle w:val="29"/>
        <w:spacing w:line="440" w:lineRule="exact"/>
        <w:ind w:left="420"/>
        <w:jc w:val="left"/>
        <w:rPr>
          <w:rFonts w:ascii="仿宋" w:eastAsia="仿宋" w:cs="Arial"/>
          <w:sz w:val="24"/>
        </w:rPr>
      </w:pPr>
      <w:r>
        <w:rPr>
          <w:rFonts w:hint="eastAsia"/>
          <w:sz w:val="24"/>
        </w:rPr>
        <w:t>七、“三公”经费财政拨款支出决算情况说明</w:t>
      </w:r>
    </w:p>
    <w:p w14:paraId="3FD50FCF">
      <w:pPr>
        <w:pStyle w:val="29"/>
        <w:spacing w:line="440" w:lineRule="exact"/>
        <w:ind w:left="420"/>
        <w:jc w:val="left"/>
        <w:rPr>
          <w:rFonts w:ascii="仿宋" w:eastAsia="仿宋" w:cs="Arial"/>
          <w:sz w:val="24"/>
        </w:rPr>
      </w:pPr>
      <w:r>
        <w:rPr>
          <w:rFonts w:hint="eastAsia"/>
          <w:sz w:val="24"/>
        </w:rPr>
        <w:t>八、政府性基金预算支出决算情况说明</w:t>
      </w:r>
    </w:p>
    <w:p w14:paraId="22FBA6F2">
      <w:pPr>
        <w:pStyle w:val="29"/>
        <w:spacing w:line="440" w:lineRule="exact"/>
        <w:ind w:left="0"/>
        <w:jc w:val="left"/>
        <w:rPr>
          <w:rFonts w:ascii="宋体" w:cs="宋体"/>
          <w:sz w:val="24"/>
        </w:rPr>
      </w:pPr>
      <w:r>
        <w:rPr>
          <w:rFonts w:hint="eastAsia" w:ascii="宋体" w:cs="宋体"/>
          <w:sz w:val="24"/>
        </w:rPr>
        <w:t>九、国有资本经营预算支出决算情况说明</w:t>
      </w:r>
    </w:p>
    <w:p w14:paraId="0F731098">
      <w:pPr>
        <w:spacing w:line="440" w:lineRule="exact"/>
        <w:ind w:firstLine="420"/>
        <w:jc w:val="left"/>
        <w:rPr>
          <w:rFonts w:ascii="宋体" w:cs="宋体"/>
          <w:sz w:val="24"/>
        </w:rPr>
      </w:pPr>
      <w:r>
        <w:rPr>
          <w:rStyle w:val="37"/>
          <w:rFonts w:hint="eastAsia" w:ascii="宋体" w:cs="宋体"/>
          <w:color w:val="auto"/>
          <w:sz w:val="24"/>
          <w:u w:val="none"/>
        </w:rPr>
        <w:t>十、</w:t>
      </w:r>
      <w:r>
        <w:rPr>
          <w:rFonts w:hint="eastAsia" w:ascii="宋体" w:cs="宋体"/>
          <w:sz w:val="24"/>
        </w:rPr>
        <w:t>其他重要事项的情况说明</w:t>
      </w:r>
      <w:r>
        <w:rPr>
          <w:rFonts w:hint="eastAsia" w:ascii="宋体" w:cs="宋体"/>
          <w:sz w:val="24"/>
        </w:rPr>
        <w:tab/>
      </w:r>
    </w:p>
    <w:p w14:paraId="4670B90C">
      <w:pPr>
        <w:pStyle w:val="23"/>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p>
    <w:p w14:paraId="0D2D3305">
      <w:pPr>
        <w:pStyle w:val="23"/>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p>
    <w:p w14:paraId="41879B34">
      <w:pPr>
        <w:pStyle w:val="23"/>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p>
    <w:p w14:paraId="14FD8E66">
      <w:pPr>
        <w:pStyle w:val="29"/>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14:paraId="69645694">
      <w:pPr>
        <w:pStyle w:val="29"/>
        <w:spacing w:line="440" w:lineRule="exact"/>
        <w:ind w:left="420"/>
        <w:jc w:val="left"/>
        <w:rPr>
          <w:rFonts w:ascii="宋体" w:cs="宋体"/>
          <w:sz w:val="24"/>
        </w:rPr>
      </w:pPr>
      <w:r>
        <w:rPr>
          <w:rFonts w:hint="eastAsia" w:ascii="宋体" w:cs="宋体"/>
          <w:sz w:val="24"/>
        </w:rPr>
        <w:t>二、收入决算表</w:t>
      </w:r>
    </w:p>
    <w:p w14:paraId="2A42BDD4">
      <w:pPr>
        <w:pStyle w:val="29"/>
        <w:spacing w:line="440" w:lineRule="exact"/>
        <w:ind w:left="420"/>
        <w:jc w:val="left"/>
        <w:rPr>
          <w:rFonts w:ascii="宋体" w:cs="宋体"/>
          <w:sz w:val="24"/>
        </w:rPr>
      </w:pPr>
      <w:r>
        <w:rPr>
          <w:rFonts w:hint="eastAsia" w:ascii="宋体" w:cs="宋体"/>
          <w:sz w:val="24"/>
        </w:rPr>
        <w:t>三、支出决算表</w:t>
      </w:r>
    </w:p>
    <w:p w14:paraId="4DC53B3A">
      <w:pPr>
        <w:pStyle w:val="29"/>
        <w:spacing w:line="440" w:lineRule="exact"/>
        <w:ind w:left="420"/>
        <w:jc w:val="left"/>
        <w:rPr>
          <w:rFonts w:ascii="宋体" w:cs="宋体"/>
          <w:sz w:val="24"/>
        </w:rPr>
      </w:pPr>
      <w:r>
        <w:rPr>
          <w:rFonts w:hint="eastAsia" w:ascii="宋体" w:cs="宋体"/>
          <w:sz w:val="24"/>
        </w:rPr>
        <w:t>四、财政拨款收入支出决算总表</w:t>
      </w:r>
    </w:p>
    <w:p w14:paraId="0C8B4A09">
      <w:pPr>
        <w:pStyle w:val="29"/>
        <w:spacing w:line="440" w:lineRule="exact"/>
        <w:ind w:left="420"/>
        <w:jc w:val="left"/>
        <w:rPr>
          <w:rFonts w:ascii="宋体" w:cs="宋体"/>
          <w:sz w:val="24"/>
        </w:rPr>
      </w:pPr>
      <w:r>
        <w:rPr>
          <w:rFonts w:hint="eastAsia" w:ascii="宋体" w:cs="宋体"/>
          <w:sz w:val="24"/>
        </w:rPr>
        <w:t>五、财政拨款支出决算明细表</w:t>
      </w:r>
    </w:p>
    <w:p w14:paraId="5CBC0E4E">
      <w:pPr>
        <w:pStyle w:val="29"/>
        <w:spacing w:line="440" w:lineRule="exact"/>
        <w:ind w:left="420"/>
        <w:jc w:val="left"/>
        <w:rPr>
          <w:rFonts w:ascii="宋体" w:cs="宋体"/>
          <w:sz w:val="24"/>
        </w:rPr>
      </w:pPr>
      <w:r>
        <w:rPr>
          <w:rFonts w:hint="eastAsia" w:ascii="宋体" w:cs="宋体"/>
          <w:sz w:val="24"/>
        </w:rPr>
        <w:t>六、一般公共预算财政拨款支出决算表</w:t>
      </w:r>
    </w:p>
    <w:p w14:paraId="0AB0A07B">
      <w:pPr>
        <w:pStyle w:val="29"/>
        <w:spacing w:line="440" w:lineRule="exact"/>
        <w:ind w:left="420"/>
        <w:jc w:val="left"/>
        <w:rPr>
          <w:rFonts w:ascii="宋体" w:cs="宋体"/>
          <w:sz w:val="24"/>
        </w:rPr>
      </w:pPr>
      <w:r>
        <w:rPr>
          <w:rFonts w:hint="eastAsia" w:ascii="宋体" w:cs="宋体"/>
          <w:sz w:val="24"/>
        </w:rPr>
        <w:t>七、一般公共预算财政拨款支出决算明细表</w:t>
      </w:r>
    </w:p>
    <w:p w14:paraId="12FF06DF">
      <w:pPr>
        <w:pStyle w:val="29"/>
        <w:spacing w:line="440" w:lineRule="exact"/>
        <w:ind w:left="420"/>
        <w:jc w:val="left"/>
        <w:rPr>
          <w:rFonts w:ascii="宋体" w:cs="宋体"/>
          <w:sz w:val="24"/>
        </w:rPr>
      </w:pPr>
      <w:r>
        <w:rPr>
          <w:rFonts w:hint="eastAsia" w:ascii="宋体" w:cs="宋体"/>
          <w:sz w:val="24"/>
        </w:rPr>
        <w:t>八、一般公共预算财政拨款基本支出决算表</w:t>
      </w:r>
    </w:p>
    <w:p w14:paraId="307F86E7">
      <w:pPr>
        <w:pStyle w:val="29"/>
        <w:spacing w:line="440" w:lineRule="exact"/>
        <w:ind w:left="420"/>
        <w:jc w:val="left"/>
        <w:rPr>
          <w:rFonts w:ascii="宋体" w:cs="宋体"/>
          <w:sz w:val="24"/>
        </w:rPr>
      </w:pPr>
      <w:r>
        <w:rPr>
          <w:rFonts w:hint="eastAsia" w:ascii="宋体" w:cs="宋体"/>
          <w:sz w:val="24"/>
        </w:rPr>
        <w:t>九、一般公共预算财政拨款项目支出决算表</w:t>
      </w:r>
    </w:p>
    <w:p w14:paraId="2F484F8D">
      <w:pPr>
        <w:pStyle w:val="29"/>
        <w:spacing w:line="440" w:lineRule="exact"/>
        <w:ind w:left="420"/>
        <w:jc w:val="left"/>
        <w:rPr>
          <w:rFonts w:ascii="宋体" w:cs="宋体"/>
          <w:sz w:val="24"/>
        </w:rPr>
      </w:pPr>
      <w:r>
        <w:rPr>
          <w:rFonts w:hint="eastAsia" w:ascii="宋体" w:cs="宋体"/>
          <w:sz w:val="24"/>
        </w:rPr>
        <w:t>十、一般公共预算财政拨款“三公”经费支出决算表</w:t>
      </w:r>
    </w:p>
    <w:p w14:paraId="6608EB82">
      <w:pPr>
        <w:pStyle w:val="29"/>
        <w:spacing w:line="440" w:lineRule="exact"/>
        <w:ind w:left="420"/>
        <w:jc w:val="left"/>
        <w:rPr>
          <w:rFonts w:ascii="宋体" w:cs="宋体"/>
          <w:sz w:val="24"/>
        </w:rPr>
      </w:pPr>
      <w:r>
        <w:rPr>
          <w:rFonts w:hint="eastAsia" w:ascii="宋体" w:cs="宋体"/>
          <w:sz w:val="24"/>
        </w:rPr>
        <w:t>十一、政府性基金预算财政拨款收入支出决算表</w:t>
      </w:r>
    </w:p>
    <w:p w14:paraId="3E692068">
      <w:pPr>
        <w:pStyle w:val="29"/>
        <w:spacing w:line="440" w:lineRule="exact"/>
        <w:ind w:left="420"/>
        <w:jc w:val="left"/>
        <w:rPr>
          <w:rFonts w:ascii="宋体" w:cs="宋体"/>
          <w:sz w:val="24"/>
        </w:rPr>
      </w:pPr>
      <w:r>
        <w:rPr>
          <w:rFonts w:hint="eastAsia" w:ascii="宋体" w:cs="宋体"/>
          <w:sz w:val="24"/>
        </w:rPr>
        <w:t>十二、政府性基金预算财政拨款“三公”经费支出决算表</w:t>
      </w:r>
    </w:p>
    <w:p w14:paraId="29A382A4">
      <w:pPr>
        <w:pStyle w:val="29"/>
        <w:spacing w:line="440" w:lineRule="exact"/>
        <w:ind w:left="420"/>
        <w:jc w:val="left"/>
        <w:rPr>
          <w:rFonts w:ascii="宋体" w:cs="宋体"/>
          <w:sz w:val="24"/>
        </w:rPr>
      </w:pPr>
      <w:r>
        <w:rPr>
          <w:rFonts w:hint="eastAsia" w:ascii="宋体" w:cs="宋体"/>
          <w:sz w:val="24"/>
        </w:rPr>
        <w:t>十三、国有资本经营预算财政拨款收入支出决算表</w:t>
      </w:r>
    </w:p>
    <w:p w14:paraId="01F2BF4F">
      <w:pPr>
        <w:pStyle w:val="29"/>
        <w:spacing w:line="440" w:lineRule="exact"/>
        <w:ind w:left="420"/>
        <w:jc w:val="left"/>
        <w:rPr>
          <w:rFonts w:ascii="宋体" w:cs="宋体"/>
          <w:sz w:val="24"/>
        </w:rPr>
      </w:pPr>
      <w:r>
        <w:rPr>
          <w:rFonts w:hint="eastAsia" w:ascii="宋体" w:cs="宋体"/>
          <w:sz w:val="24"/>
        </w:rPr>
        <w:t>十四、国有资本经营预算财政拨款支出决算表</w:t>
      </w:r>
    </w:p>
    <w:p w14:paraId="256A9120">
      <w:pPr>
        <w:widowControl/>
        <w:spacing w:line="440" w:lineRule="exact"/>
        <w:ind w:firstLine="1320"/>
        <w:jc w:val="left"/>
        <w:rPr>
          <w:rFonts w:ascii="仿宋" w:eastAsia="仿宋"/>
          <w:sz w:val="24"/>
        </w:rPr>
      </w:pPr>
      <w:r>
        <w:rPr>
          <w:rFonts w:hint="eastAsia" w:ascii="仿宋" w:eastAsia="仿宋"/>
          <w:sz w:val="24"/>
          <w:lang w:eastAsia="zh-CN"/>
        </w:rPr>
        <w:t>（</w:t>
      </w:r>
      <w:r>
        <w:rPr>
          <w:rFonts w:ascii="仿宋" w:eastAsia="仿宋"/>
          <w:sz w:val="24"/>
        </w:rPr>
        <w:t>注：</w:t>
      </w:r>
      <w:r>
        <w:rPr>
          <w:rFonts w:hint="eastAsia" w:ascii="仿宋" w:eastAsia="仿宋"/>
          <w:sz w:val="24"/>
        </w:rPr>
        <w:t>请部门根据实际注明页码</w:t>
      </w:r>
      <w:r>
        <w:rPr>
          <w:rFonts w:hint="eastAsia" w:ascii="仿宋" w:eastAsia="仿宋"/>
          <w:sz w:val="24"/>
          <w:lang w:eastAsia="zh-CN"/>
        </w:rPr>
        <w:t>）</w:t>
      </w:r>
    </w:p>
    <w:p w14:paraId="103006DA">
      <w:pPr>
        <w:widowControl/>
        <w:spacing w:line="440" w:lineRule="exact"/>
        <w:jc w:val="left"/>
        <w:rPr>
          <w:rFonts w:ascii="仿宋" w:eastAsia="仿宋"/>
          <w:bCs/>
          <w:sz w:val="24"/>
        </w:rPr>
      </w:pPr>
      <w:bookmarkStart w:id="12" w:name="_Toc15377196"/>
      <w:bookmarkStart w:id="13" w:name="_Toc15396599"/>
      <w:r>
        <w:rPr>
          <w:rFonts w:ascii="仿宋" w:eastAsia="仿宋"/>
          <w:b/>
          <w:sz w:val="24"/>
        </w:rPr>
        <w:br w:type="page" w:clear="all"/>
      </w:r>
    </w:p>
    <w:p w14:paraId="2CFB9D04">
      <w:pPr>
        <w:pStyle w:val="4"/>
        <w:jc w:val="center"/>
        <w:rPr>
          <w:rStyle w:val="184"/>
          <w:rFonts w:ascii="黑体" w:eastAsia="黑体"/>
          <w:b/>
          <w:bCs w:val="0"/>
        </w:rPr>
      </w:pPr>
      <w:r>
        <w:rPr>
          <w:rFonts w:hint="eastAsia" w:ascii="黑体" w:eastAsia="黑体"/>
          <w:b w:val="0"/>
        </w:rPr>
        <w:t xml:space="preserve">第一部分 </w:t>
      </w:r>
      <w:r>
        <w:rPr>
          <w:rStyle w:val="184"/>
          <w:rFonts w:hint="eastAsia" w:ascii="黑体" w:eastAsia="黑体"/>
          <w:b w:val="0"/>
          <w:bCs w:val="0"/>
        </w:rPr>
        <w:t>部门概况</w:t>
      </w:r>
      <w:bookmarkEnd w:id="12"/>
      <w:bookmarkEnd w:id="13"/>
    </w:p>
    <w:p w14:paraId="2C83D975">
      <w:pPr>
        <w:widowControl/>
        <w:jc w:val="left"/>
        <w:rPr>
          <w:rFonts w:ascii="黑体" w:eastAsia="黑体"/>
          <w:sz w:val="32"/>
          <w:szCs w:val="32"/>
        </w:rPr>
      </w:pPr>
    </w:p>
    <w:p w14:paraId="7890EE74">
      <w:pPr>
        <w:pStyle w:val="5"/>
        <w:rPr>
          <w:rStyle w:val="185"/>
          <w:rFonts w:ascii="仿宋" w:eastAsia="仿宋"/>
          <w:b w:val="0"/>
          <w:bCs w:val="0"/>
        </w:rPr>
      </w:pPr>
      <w:bookmarkStart w:id="14" w:name="_Toc15377197"/>
      <w:bookmarkStart w:id="15" w:name="_Toc15396600"/>
      <w:r>
        <w:rPr>
          <w:rFonts w:hint="eastAsia" w:ascii="黑体" w:eastAsia="黑体"/>
          <w:b w:val="0"/>
        </w:rPr>
        <w:t>一、基</w:t>
      </w:r>
      <w:r>
        <w:rPr>
          <w:rStyle w:val="185"/>
          <w:rFonts w:hint="eastAsia" w:ascii="黑体" w:eastAsia="黑体"/>
          <w:b w:val="0"/>
          <w:bCs w:val="0"/>
        </w:rPr>
        <w:t>本职能及主要工作</w:t>
      </w:r>
      <w:bookmarkEnd w:id="14"/>
      <w:bookmarkEnd w:id="15"/>
    </w:p>
    <w:p w14:paraId="4C7CF050">
      <w:pPr>
        <w:pageBreakBefore w:val="0"/>
        <w:spacing w:line="576" w:lineRule="exact"/>
        <w:ind w:firstLine="640"/>
        <w:rPr>
          <w:rFonts w:hint="eastAsia" w:ascii="仿宋" w:eastAsia="仿宋"/>
          <w:bCs/>
          <w:sz w:val="32"/>
          <w:szCs w:val="32"/>
        </w:rPr>
      </w:pPr>
      <w:bookmarkStart w:id="16" w:name="_Toc15377198"/>
      <w:bookmarkStart w:id="17" w:name="_Toc15378445"/>
      <w:r>
        <w:rPr>
          <w:rFonts w:hint="eastAsia" w:ascii="仿宋" w:eastAsia="仿宋"/>
          <w:bCs/>
          <w:sz w:val="32"/>
          <w:szCs w:val="32"/>
        </w:rPr>
        <w:t>（一）主要职能。</w:t>
      </w:r>
    </w:p>
    <w:p w14:paraId="4ECF9825">
      <w:pPr>
        <w:pageBreakBefore w:val="0"/>
        <w:spacing w:line="576" w:lineRule="exact"/>
        <w:ind w:firstLine="640"/>
        <w:rPr>
          <w:rFonts w:hint="eastAsia" w:ascii="仿宋" w:hAnsi="仿宋" w:eastAsia="仿宋_GB2312" w:cs="宋体"/>
          <w:sz w:val="32"/>
          <w:szCs w:val="32"/>
          <w:lang w:val="en-US" w:eastAsia="zh-CN"/>
        </w:rPr>
      </w:pPr>
      <w:r>
        <w:rPr>
          <w:rFonts w:hint="eastAsia" w:ascii="仿宋" w:hAnsi="仿宋" w:eastAsia="仿宋_GB2312" w:cs="宋体"/>
          <w:sz w:val="32"/>
          <w:szCs w:val="32"/>
          <w:lang w:val="en-US" w:eastAsia="zh-CN"/>
        </w:rPr>
        <w:t>负责林业草原生态旅游资源开发利用，筹办各种生态旅游节会，组织实施林业草原生态环境保护与维护。为森林公园管理等相关事务性工作提供技术支持和服务保障，做好花卉、特色经济林、森林林下经济、森林康养和生态旅游产业发展。为林业和草原生态旅游提供产品开发、客源市场、招商引资和经营管理等方面的信息、技术咨询和人才培训服务。负责林业和草原生态旅游的社会宣传和网络建设服务。</w:t>
      </w:r>
    </w:p>
    <w:p w14:paraId="4C96BA9E">
      <w:pPr>
        <w:pageBreakBefore w:val="0"/>
        <w:spacing w:line="576" w:lineRule="exact"/>
        <w:ind w:firstLine="640"/>
        <w:rPr>
          <w:rFonts w:ascii="仿宋_GB2312" w:eastAsia="仿宋_GB2312"/>
          <w:sz w:val="32"/>
          <w:szCs w:val="32"/>
          <w:shd w:val="clear" w:color="auto" w:fill="FFFFFF"/>
        </w:rPr>
      </w:pPr>
      <w:r>
        <w:rPr>
          <w:rFonts w:hint="eastAsia" w:ascii="仿宋" w:hAnsi="仿宋" w:eastAsia="仿宋_GB2312"/>
          <w:bCs/>
          <w:sz w:val="32"/>
          <w:szCs w:val="32"/>
        </w:rPr>
        <w:t>（二）</w:t>
      </w:r>
      <w:r>
        <w:rPr>
          <w:rFonts w:hint="eastAsia" w:ascii="仿宋_GB2312" w:eastAsia="仿宋_GB2312"/>
          <w:sz w:val="32"/>
          <w:szCs w:val="32"/>
          <w:shd w:val="clear" w:color="auto" w:fill="FFFFFF"/>
        </w:rPr>
        <w:t>20</w:t>
      </w:r>
      <w:r>
        <w:rPr>
          <w:rFonts w:hint="eastAsia" w:ascii="仿宋_GB2312" w:eastAsia="仿宋_GB2312"/>
          <w:sz w:val="32"/>
          <w:szCs w:val="32"/>
          <w:shd w:val="clear" w:color="auto" w:fill="FFFFFF"/>
          <w:lang w:val="en-US" w:eastAsia="zh-CN"/>
        </w:rPr>
        <w:t>21</w:t>
      </w:r>
      <w:r>
        <w:rPr>
          <w:rFonts w:hint="eastAsia" w:ascii="仿宋_GB2312" w:eastAsia="仿宋_GB2312"/>
          <w:sz w:val="32"/>
          <w:szCs w:val="32"/>
          <w:shd w:val="clear" w:color="auto" w:fill="FFFFFF"/>
        </w:rPr>
        <w:t>年重点工作</w:t>
      </w:r>
      <w:r>
        <w:rPr>
          <w:rFonts w:hint="eastAsia" w:ascii="仿宋" w:eastAsia="仿宋"/>
          <w:bCs/>
          <w:sz w:val="32"/>
          <w:szCs w:val="32"/>
        </w:rPr>
        <w:t>完成情况</w:t>
      </w:r>
    </w:p>
    <w:p w14:paraId="382F78A2">
      <w:pPr>
        <w:spacing w:line="54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1.进一步加强职工的理论学习和业务培训，切实提高工作人员的理论水平和业务水平。</w:t>
      </w:r>
    </w:p>
    <w:p w14:paraId="280605E1">
      <w:pPr>
        <w:spacing w:line="54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2.加强对项目的管理，高质量按时完成所有建设项目。</w:t>
      </w:r>
    </w:p>
    <w:p w14:paraId="2BAF37BB">
      <w:pPr>
        <w:spacing w:line="54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3.进一步加强森林防火宣传，增强全民防火意识；杜绝森林火灾的发生。加强森林资源和风景资源的保护管理工作，严禁乱砍滥伐、乱捕滥猎、挖沙取石、进入林区挖药。</w:t>
      </w:r>
    </w:p>
    <w:p w14:paraId="3B807B09">
      <w:pPr>
        <w:spacing w:line="54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4.继续加大对贫困村的帮扶力度，加强对政策的宣传工作，提升群众整体满意度。</w:t>
      </w:r>
    </w:p>
    <w:p w14:paraId="5AE3F057">
      <w:pPr>
        <w:spacing w:line="540" w:lineRule="exact"/>
        <w:ind w:firstLine="64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5.继续做好“森林人家”等生态旅游品牌创建工作。</w:t>
      </w:r>
    </w:p>
    <w:p w14:paraId="23EABEBE">
      <w:pPr>
        <w:spacing w:line="540" w:lineRule="exact"/>
        <w:ind w:firstLine="627"/>
        <w:rPr>
          <w:rFonts w:hint="eastAsia" w:ascii="仿宋_GB2312" w:eastAsia="仿宋_GB2312"/>
          <w:color w:val="000000"/>
          <w:sz w:val="32"/>
          <w:szCs w:val="32"/>
          <w:shd w:val="clear" w:color="auto" w:fill="FFFFFF"/>
        </w:rPr>
      </w:pPr>
      <w:r>
        <w:rPr>
          <w:rFonts w:hint="eastAsia" w:ascii="仿宋_GB2312" w:eastAsia="仿宋_GB2312"/>
          <w:color w:val="000000"/>
          <w:sz w:val="32"/>
          <w:szCs w:val="32"/>
          <w:lang w:val="en-US" w:eastAsia="zh-CN"/>
        </w:rPr>
        <w:t>6.积极配合做好自然保护地整合工作，待整合完成后重新修订森林公园总规。</w:t>
      </w:r>
    </w:p>
    <w:bookmarkEnd w:id="16"/>
    <w:bookmarkEnd w:id="17"/>
    <w:p w14:paraId="11CC4B49">
      <w:pPr>
        <w:pageBreakBefore w:val="0"/>
        <w:spacing w:line="576" w:lineRule="exact"/>
        <w:ind w:firstLine="627"/>
        <w:rPr>
          <w:rFonts w:hint="eastAsia" w:ascii="仿宋_GB2312" w:eastAsia="仿宋_GB2312"/>
          <w:color w:val="000000"/>
          <w:sz w:val="32"/>
          <w:szCs w:val="32"/>
          <w:shd w:val="clear" w:color="auto" w:fill="FFFFFF"/>
        </w:rPr>
      </w:pPr>
    </w:p>
    <w:p w14:paraId="71508364">
      <w:pPr>
        <w:pStyle w:val="5"/>
        <w:rPr>
          <w:rStyle w:val="185"/>
          <w:b w:val="0"/>
          <w:bCs w:val="0"/>
        </w:rPr>
      </w:pPr>
      <w:bookmarkStart w:id="18" w:name="_Toc15377200"/>
      <w:bookmarkStart w:id="19" w:name="_Toc15396601"/>
      <w:r>
        <w:rPr>
          <w:rFonts w:hint="eastAsia" w:ascii="黑体" w:eastAsia="黑体"/>
          <w:b w:val="0"/>
        </w:rPr>
        <w:t>二、机</w:t>
      </w:r>
      <w:r>
        <w:rPr>
          <w:rStyle w:val="185"/>
          <w:rFonts w:hint="eastAsia" w:ascii="黑体" w:eastAsia="黑体"/>
          <w:b w:val="0"/>
          <w:bCs w:val="0"/>
        </w:rPr>
        <w:t>构设置</w:t>
      </w:r>
      <w:bookmarkEnd w:id="18"/>
      <w:bookmarkEnd w:id="19"/>
    </w:p>
    <w:p w14:paraId="70BD8C55">
      <w:pPr>
        <w:pageBreakBefore w:val="0"/>
        <w:spacing w:line="576" w:lineRule="exact"/>
        <w:ind w:firstLine="640"/>
        <w:rPr>
          <w:rFonts w:ascii="仿宋_GB2312" w:eastAsia="仿宋_GB2312"/>
          <w:b/>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w:t>
      </w:r>
      <w:r>
        <w:rPr>
          <w:rFonts w:hint="eastAsia" w:ascii="仿宋_GB2312" w:eastAsia="仿宋_GB2312"/>
          <w:sz w:val="32"/>
          <w:szCs w:val="32"/>
        </w:rPr>
        <w:t>单位机构数为 1个，事业机构1个；财政供养人员编制为</w:t>
      </w:r>
      <w:r>
        <w:rPr>
          <w:rFonts w:hint="eastAsia" w:ascii="仿宋_GB2312" w:eastAsia="仿宋_GB2312"/>
          <w:sz w:val="32"/>
          <w:szCs w:val="32"/>
          <w:lang w:val="en-US" w:eastAsia="zh-CN"/>
        </w:rPr>
        <w:t>28</w:t>
      </w:r>
      <w:r>
        <w:rPr>
          <w:rFonts w:hint="eastAsia" w:ascii="仿宋_GB2312" w:eastAsia="仿宋_GB2312"/>
          <w:sz w:val="32"/>
          <w:szCs w:val="32"/>
        </w:rPr>
        <w:t>名，事业编制</w:t>
      </w:r>
      <w:r>
        <w:rPr>
          <w:rFonts w:hint="eastAsia" w:ascii="仿宋_GB2312" w:eastAsia="仿宋_GB2312"/>
          <w:sz w:val="32"/>
          <w:szCs w:val="32"/>
          <w:lang w:val="en-US" w:eastAsia="zh-CN"/>
        </w:rPr>
        <w:t>28</w:t>
      </w:r>
      <w:r>
        <w:rPr>
          <w:rFonts w:hint="eastAsia" w:ascii="仿宋_GB2312" w:eastAsia="仿宋_GB2312"/>
          <w:sz w:val="32"/>
          <w:szCs w:val="32"/>
        </w:rPr>
        <w:t>名；</w:t>
      </w:r>
      <w:r>
        <w:rPr>
          <w:rFonts w:hint="eastAsia" w:ascii="仿宋_GB2312" w:eastAsia="仿宋_GB2312" w:cs="仿宋_GB2312"/>
          <w:bCs/>
          <w:sz w:val="32"/>
          <w:szCs w:val="32"/>
          <w:lang w:val="zh-CN"/>
        </w:rPr>
        <w:t>202</w:t>
      </w:r>
      <w:r>
        <w:rPr>
          <w:rFonts w:hint="eastAsia" w:ascii="仿宋_GB2312" w:eastAsia="仿宋_GB2312" w:cs="仿宋_GB2312"/>
          <w:bCs/>
          <w:sz w:val="32"/>
          <w:szCs w:val="32"/>
          <w:lang w:val="en-US" w:eastAsia="zh-CN"/>
        </w:rPr>
        <w:t>1</w:t>
      </w:r>
      <w:r>
        <w:rPr>
          <w:rFonts w:hint="eastAsia" w:ascii="仿宋_GB2312" w:eastAsia="仿宋_GB2312" w:cs="仿宋_GB2312"/>
          <w:bCs/>
          <w:sz w:val="32"/>
          <w:szCs w:val="32"/>
          <w:lang w:val="zh-CN"/>
        </w:rPr>
        <w:t>年实际财政供养人员</w:t>
      </w:r>
      <w:r>
        <w:rPr>
          <w:rFonts w:hint="eastAsia" w:ascii="仿宋_GB2312" w:eastAsia="仿宋_GB2312" w:cs="仿宋_GB2312"/>
          <w:bCs/>
          <w:sz w:val="32"/>
          <w:szCs w:val="32"/>
          <w:lang w:val="en-US" w:eastAsia="zh-CN"/>
        </w:rPr>
        <w:t>26</w:t>
      </w:r>
      <w:r>
        <w:rPr>
          <w:rFonts w:hint="eastAsia" w:ascii="仿宋_GB2312" w:eastAsia="仿宋_GB2312" w:cs="仿宋_GB2312"/>
          <w:bCs/>
          <w:sz w:val="32"/>
          <w:szCs w:val="32"/>
          <w:lang w:val="zh-CN"/>
        </w:rPr>
        <w:t>人，较上年</w:t>
      </w:r>
      <w:r>
        <w:rPr>
          <w:rFonts w:hint="eastAsia" w:ascii="仿宋_GB2312" w:eastAsia="仿宋_GB2312" w:cs="仿宋_GB2312"/>
          <w:bCs/>
          <w:sz w:val="32"/>
          <w:szCs w:val="32"/>
          <w:lang w:val="en-US" w:eastAsia="zh-CN"/>
        </w:rPr>
        <w:t>减少2</w:t>
      </w:r>
      <w:r>
        <w:rPr>
          <w:rFonts w:hint="eastAsia" w:ascii="仿宋_GB2312" w:eastAsia="仿宋_GB2312" w:cs="仿宋_GB2312"/>
          <w:bCs/>
          <w:sz w:val="32"/>
          <w:szCs w:val="32"/>
          <w:lang w:val="zh-CN"/>
        </w:rPr>
        <w:t>人，其中：事业</w:t>
      </w:r>
      <w:r>
        <w:rPr>
          <w:rFonts w:hint="eastAsia" w:ascii="仿宋_GB2312" w:eastAsia="仿宋_GB2312" w:cs="仿宋_GB2312"/>
          <w:bCs/>
          <w:sz w:val="32"/>
          <w:szCs w:val="32"/>
          <w:lang w:val="en-US" w:eastAsia="zh-CN"/>
        </w:rPr>
        <w:t>26</w:t>
      </w:r>
      <w:r>
        <w:rPr>
          <w:rFonts w:hint="eastAsia" w:ascii="仿宋_GB2312" w:eastAsia="仿宋_GB2312" w:cs="仿宋_GB2312"/>
          <w:bCs/>
          <w:sz w:val="32"/>
          <w:szCs w:val="32"/>
          <w:lang w:val="zh-CN"/>
        </w:rPr>
        <w:t>人。</w:t>
      </w:r>
    </w:p>
    <w:p w14:paraId="17BACBA0">
      <w:pPr>
        <w:pStyle w:val="4"/>
        <w:ind w:right="440"/>
        <w:jc w:val="center"/>
        <w:rPr>
          <w:rStyle w:val="184"/>
          <w:rFonts w:ascii="黑体" w:eastAsia="黑体"/>
          <w:b w:val="0"/>
          <w:bCs/>
        </w:rPr>
      </w:pPr>
      <w:bookmarkStart w:id="20" w:name="_Toc15396602"/>
      <w:bookmarkStart w:id="21" w:name="_Toc15377204"/>
      <w:r>
        <w:rPr>
          <w:rFonts w:hint="eastAsia" w:ascii="黑体" w:eastAsia="黑体"/>
          <w:b w:val="0"/>
        </w:rPr>
        <w:t>第二部分 2021年度</w:t>
      </w:r>
      <w:r>
        <w:rPr>
          <w:rStyle w:val="184"/>
          <w:rFonts w:hint="eastAsia" w:ascii="黑体" w:eastAsia="黑体"/>
          <w:b w:val="0"/>
          <w:bCs/>
        </w:rPr>
        <w:t>部门决算情况说明</w:t>
      </w:r>
      <w:bookmarkEnd w:id="20"/>
      <w:bookmarkEnd w:id="21"/>
    </w:p>
    <w:p w14:paraId="2E019001"/>
    <w:p w14:paraId="6ABA7345">
      <w:pPr>
        <w:pStyle w:val="190"/>
        <w:numPr>
          <w:ilvl w:val="0"/>
          <w:numId w:val="1"/>
        </w:numPr>
        <w:spacing w:line="600" w:lineRule="exact"/>
        <w:outlineLvl w:val="1"/>
        <w:rPr>
          <w:rStyle w:val="185"/>
          <w:rFonts w:ascii="黑体" w:eastAsia="黑体"/>
          <w:b w:val="0"/>
        </w:rPr>
      </w:pPr>
      <w:bookmarkStart w:id="22" w:name="_Toc15396603"/>
      <w:bookmarkStart w:id="23" w:name="_Toc15377205"/>
      <w:r>
        <w:rPr>
          <w:rFonts w:hint="eastAsia" w:ascii="黑体" w:eastAsia="黑体"/>
          <w:sz w:val="32"/>
          <w:szCs w:val="32"/>
        </w:rPr>
        <w:t>收</w:t>
      </w:r>
      <w:r>
        <w:rPr>
          <w:rStyle w:val="185"/>
          <w:rFonts w:hint="eastAsia" w:ascii="黑体" w:eastAsia="黑体"/>
          <w:b w:val="0"/>
        </w:rPr>
        <w:t>入支出决算总体情况说明</w:t>
      </w:r>
      <w:bookmarkEnd w:id="22"/>
      <w:bookmarkEnd w:id="23"/>
    </w:p>
    <w:p w14:paraId="32E6EA19">
      <w:pPr>
        <w:pageBreakBefore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度收支总计</w:t>
      </w:r>
      <w:r>
        <w:rPr>
          <w:rFonts w:hint="eastAsia" w:ascii="仿宋" w:hAnsi="仿宋" w:eastAsia="仿宋"/>
          <w:color w:val="000000"/>
          <w:sz w:val="32"/>
          <w:szCs w:val="32"/>
          <w:lang w:val="en-US" w:eastAsia="zh-CN"/>
        </w:rPr>
        <w:t>2334.91</w:t>
      </w:r>
      <w:r>
        <w:rPr>
          <w:rFonts w:hint="eastAsia" w:ascii="仿宋" w:hAnsi="仿宋" w:eastAsia="仿宋"/>
          <w:color w:val="000000"/>
          <w:sz w:val="32"/>
          <w:szCs w:val="32"/>
        </w:rPr>
        <w:t>万元。与20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年相比，收、支总计各</w:t>
      </w:r>
      <w:r>
        <w:rPr>
          <w:rFonts w:hint="eastAsia" w:ascii="仿宋" w:hAnsi="仿宋" w:eastAsia="仿宋"/>
          <w:color w:val="000000"/>
          <w:sz w:val="32"/>
          <w:szCs w:val="32"/>
          <w:lang w:val="en-US" w:eastAsia="zh-CN"/>
        </w:rPr>
        <w:t>减少963.27</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下降29</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w:t>
      </w:r>
      <w:r>
        <w:rPr>
          <w:rFonts w:hint="eastAsia" w:ascii="仿宋" w:hAnsi="仿宋" w:eastAsia="仿宋"/>
          <w:color w:val="000000"/>
          <w:sz w:val="32"/>
          <w:szCs w:val="32"/>
          <w:lang w:val="en-US" w:eastAsia="zh-CN"/>
        </w:rPr>
        <w:t>完成支付</w:t>
      </w:r>
      <w:r>
        <w:rPr>
          <w:rFonts w:hint="eastAsia" w:ascii="仿宋" w:hAnsi="仿宋" w:eastAsia="仿宋"/>
          <w:color w:val="000000"/>
          <w:sz w:val="32"/>
          <w:szCs w:val="32"/>
        </w:rPr>
        <w:t>。</w:t>
      </w:r>
    </w:p>
    <w:p w14:paraId="7ACCF29C">
      <w:pPr>
        <w:spacing w:line="600" w:lineRule="exact"/>
        <w:ind w:firstLine="640"/>
        <w:jc w:val="left"/>
        <w:rPr>
          <w:rFonts w:ascii="仿宋_GB2312" w:eastAsia="仿宋_GB2312"/>
          <w:sz w:val="32"/>
          <w:szCs w:val="32"/>
        </w:rPr>
      </w:pPr>
    </w:p>
    <w:p w14:paraId="7E134880">
      <w:pPr>
        <w:pStyle w:val="190"/>
        <w:numPr>
          <w:ilvl w:val="0"/>
          <w:numId w:val="1"/>
        </w:numPr>
        <w:spacing w:line="600" w:lineRule="exact"/>
        <w:outlineLvl w:val="1"/>
        <w:rPr>
          <w:rStyle w:val="185"/>
          <w:rFonts w:ascii="黑体" w:eastAsia="黑体"/>
          <w:b w:val="0"/>
        </w:rPr>
      </w:pPr>
      <w:bookmarkStart w:id="24" w:name="_Toc15377206"/>
      <w:bookmarkStart w:id="25" w:name="_Toc15396604"/>
      <w:r>
        <w:rPr>
          <w:rFonts w:hint="eastAsia" w:ascii="黑体" w:eastAsia="黑体"/>
          <w:sz w:val="32"/>
          <w:szCs w:val="32"/>
        </w:rPr>
        <w:t>收</w:t>
      </w:r>
      <w:r>
        <w:rPr>
          <w:rStyle w:val="185"/>
          <w:rFonts w:hint="eastAsia" w:ascii="黑体" w:eastAsia="黑体"/>
          <w:b w:val="0"/>
        </w:rPr>
        <w:t>入决算情况说明</w:t>
      </w:r>
      <w:bookmarkEnd w:id="24"/>
      <w:bookmarkEnd w:id="25"/>
    </w:p>
    <w:p w14:paraId="4BBE90EE">
      <w:pPr>
        <w:pageBreakBefore w:val="0"/>
        <w:spacing w:line="576" w:lineRule="exact"/>
        <w:ind w:firstLine="640"/>
        <w:outlineLvl w:val="1"/>
        <w:rPr>
          <w:rFonts w:ascii="仿宋" w:eastAsia="仿宋"/>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617.71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617.71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792B4027">
      <w:pPr>
        <w:spacing w:line="600" w:lineRule="exact"/>
        <w:ind w:firstLine="643"/>
        <w:outlineLvl w:val="1"/>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01表</w:t>
      </w:r>
      <w:r>
        <w:rPr>
          <w:rFonts w:hint="eastAsia" w:ascii="仿宋" w:eastAsia="仿宋"/>
          <w:b/>
          <w:sz w:val="32"/>
          <w:szCs w:val="32"/>
        </w:rPr>
        <w:t>，仅罗列本部门涉及的收入。</w:t>
      </w:r>
      <w:r>
        <w:rPr>
          <w:rFonts w:ascii="仿宋" w:eastAsia="仿宋"/>
          <w:b/>
          <w:sz w:val="32"/>
          <w:szCs w:val="32"/>
        </w:rPr>
        <w:t>）</w:t>
      </w:r>
    </w:p>
    <w:p w14:paraId="2B626F33">
      <w:pPr>
        <w:spacing w:line="600" w:lineRule="exact"/>
        <w:rPr>
          <w:rFonts w:ascii="仿宋_GB2312" w:eastAsia="仿宋_GB2312"/>
          <w:sz w:val="32"/>
          <w:szCs w:val="32"/>
        </w:rPr>
      </w:pPr>
    </w:p>
    <w:p w14:paraId="13BFECF8">
      <w:pPr>
        <w:pStyle w:val="190"/>
        <w:numPr>
          <w:ilvl w:val="0"/>
          <w:numId w:val="1"/>
        </w:numPr>
        <w:spacing w:line="600" w:lineRule="exact"/>
        <w:outlineLvl w:val="1"/>
        <w:rPr>
          <w:rStyle w:val="185"/>
          <w:rFonts w:ascii="黑体" w:eastAsia="黑体"/>
          <w:b w:val="0"/>
        </w:rPr>
      </w:pPr>
      <w:bookmarkStart w:id="26" w:name="_Toc15377207"/>
      <w:bookmarkStart w:id="27" w:name="_Toc15396605"/>
      <w:r>
        <w:rPr>
          <w:rFonts w:hint="eastAsia" w:ascii="黑体" w:eastAsia="黑体"/>
          <w:sz w:val="32"/>
          <w:szCs w:val="32"/>
        </w:rPr>
        <w:t>支</w:t>
      </w:r>
      <w:r>
        <w:rPr>
          <w:rStyle w:val="185"/>
          <w:rFonts w:hint="eastAsia" w:ascii="黑体" w:eastAsia="黑体"/>
          <w:b w:val="0"/>
        </w:rPr>
        <w:t>出决算情况说明</w:t>
      </w:r>
      <w:bookmarkEnd w:id="26"/>
      <w:bookmarkEnd w:id="27"/>
    </w:p>
    <w:p w14:paraId="3E4E4603">
      <w:pPr>
        <w:pageBreakBefore w:val="0"/>
        <w:spacing w:line="576"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1717.2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483.14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1234.06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7E657925">
      <w:pPr>
        <w:spacing w:line="600" w:lineRule="exact"/>
        <w:ind w:firstLine="643"/>
        <w:outlineLvl w:val="1"/>
        <w:rPr>
          <w:rFonts w:ascii="仿宋_GB2312" w:eastAsia="仿宋_GB2312"/>
          <w:sz w:val="32"/>
          <w:szCs w:val="32"/>
        </w:rPr>
      </w:pPr>
      <w:r>
        <w:rPr>
          <w:rFonts w:hint="eastAsia" w:ascii="仿宋" w:eastAsia="仿宋"/>
          <w:b/>
          <w:sz w:val="32"/>
          <w:szCs w:val="32"/>
        </w:rPr>
        <w:t>（注：数据来源于财决</w:t>
      </w:r>
      <w:r>
        <w:rPr>
          <w:rFonts w:ascii="仿宋" w:eastAsia="仿宋"/>
          <w:b/>
          <w:sz w:val="32"/>
          <w:szCs w:val="32"/>
        </w:rPr>
        <w:t>04</w:t>
      </w:r>
      <w:r>
        <w:rPr>
          <w:rFonts w:hint="eastAsia" w:ascii="仿宋" w:eastAsia="仿宋"/>
          <w:b/>
          <w:sz w:val="32"/>
          <w:szCs w:val="32"/>
        </w:rPr>
        <w:t>表，仅罗列本部门涉及的支出。）</w:t>
      </w:r>
    </w:p>
    <w:p w14:paraId="3B1BE546">
      <w:pPr>
        <w:spacing w:line="600" w:lineRule="exact"/>
        <w:ind w:firstLine="640"/>
        <w:outlineLvl w:val="1"/>
        <w:rPr>
          <w:rStyle w:val="185"/>
          <w:rFonts w:ascii="黑体" w:eastAsia="黑体"/>
          <w:b w:val="0"/>
        </w:rPr>
      </w:pPr>
      <w:bookmarkStart w:id="28" w:name="_Toc15396606"/>
      <w:bookmarkStart w:id="29" w:name="_Toc15377208"/>
      <w:r>
        <w:rPr>
          <w:rFonts w:hint="eastAsia" w:ascii="黑体" w:eastAsia="黑体"/>
          <w:sz w:val="32"/>
          <w:szCs w:val="32"/>
        </w:rPr>
        <w:t>四、财</w:t>
      </w:r>
      <w:r>
        <w:rPr>
          <w:rStyle w:val="185"/>
          <w:rFonts w:hint="eastAsia" w:ascii="黑体" w:eastAsia="黑体"/>
          <w:b w:val="0"/>
        </w:rPr>
        <w:t>政拨款收入支出决算总体情况说明</w:t>
      </w:r>
      <w:bookmarkEnd w:id="28"/>
      <w:bookmarkEnd w:id="29"/>
    </w:p>
    <w:p w14:paraId="3602BB16">
      <w:pPr>
        <w:pageBreakBefore w:val="0"/>
        <w:spacing w:line="576" w:lineRule="exact"/>
        <w:ind w:firstLine="640"/>
        <w:rPr>
          <w:rFonts w:ascii="仿宋" w:hAnsi="仿宋" w:eastAsia="仿宋"/>
          <w:color w:val="000000"/>
          <w:sz w:val="32"/>
          <w:szCs w:val="32"/>
          <w:shd w:val="pct10" w:color="auto" w:fill="FFFFFF"/>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1717.2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483.14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1234.06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22DF2079">
      <w:pPr>
        <w:spacing w:line="600" w:lineRule="exact"/>
        <w:ind w:firstLine="640"/>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01-1</w:t>
      </w:r>
      <w:r>
        <w:rPr>
          <w:rFonts w:hint="eastAsia" w:ascii="仿宋" w:eastAsia="仿宋"/>
          <w:b/>
          <w:sz w:val="32"/>
          <w:szCs w:val="32"/>
        </w:rPr>
        <w:t>表</w:t>
      </w:r>
      <w:r>
        <w:rPr>
          <w:rFonts w:ascii="仿宋" w:eastAsia="仿宋"/>
          <w:b/>
          <w:sz w:val="32"/>
          <w:szCs w:val="32"/>
        </w:rPr>
        <w:t>）</w:t>
      </w:r>
    </w:p>
    <w:p w14:paraId="5FC07171">
      <w:pPr>
        <w:spacing w:line="600" w:lineRule="exact"/>
        <w:ind w:firstLine="640"/>
        <w:outlineLvl w:val="1"/>
        <w:rPr>
          <w:rStyle w:val="185"/>
          <w:rFonts w:ascii="黑体" w:eastAsia="黑体"/>
          <w:b w:val="0"/>
        </w:rPr>
      </w:pPr>
      <w:bookmarkStart w:id="30" w:name="_Toc15396607"/>
      <w:bookmarkStart w:id="31" w:name="_Toc15377209"/>
      <w:r>
        <w:rPr>
          <w:rFonts w:hint="eastAsia" w:ascii="黑体" w:eastAsia="黑体"/>
          <w:sz w:val="32"/>
          <w:szCs w:val="32"/>
        </w:rPr>
        <w:t>五、</w:t>
      </w:r>
      <w:r>
        <w:rPr>
          <w:rFonts w:hint="eastAsia" w:ascii="黑体" w:eastAsia="黑体"/>
          <w:b/>
          <w:sz w:val="32"/>
          <w:szCs w:val="32"/>
        </w:rPr>
        <w:t>一</w:t>
      </w:r>
      <w:r>
        <w:rPr>
          <w:rStyle w:val="185"/>
          <w:rFonts w:hint="eastAsia" w:ascii="黑体" w:eastAsia="黑体"/>
          <w:b w:val="0"/>
        </w:rPr>
        <w:t>般公共预算财政拨款支出决算情况说明</w:t>
      </w:r>
      <w:bookmarkEnd w:id="30"/>
      <w:bookmarkEnd w:id="31"/>
    </w:p>
    <w:p w14:paraId="39FB437E">
      <w:pPr>
        <w:pageBreakBefore w:val="0"/>
        <w:spacing w:line="576" w:lineRule="exact"/>
        <w:ind w:firstLine="643"/>
        <w:outlineLvl w:val="2"/>
        <w:rPr>
          <w:rFonts w:ascii="仿宋" w:hAnsi="仿宋" w:eastAsia="仿宋"/>
          <w:b/>
          <w:color w:val="000000"/>
          <w:sz w:val="32"/>
          <w:szCs w:val="32"/>
        </w:rPr>
      </w:pPr>
      <w:r>
        <w:rPr>
          <w:rFonts w:hint="eastAsia" w:ascii="仿宋" w:hAnsi="仿宋" w:eastAsia="仿宋"/>
          <w:b/>
          <w:color w:val="000000"/>
          <w:sz w:val="32"/>
          <w:szCs w:val="32"/>
        </w:rPr>
        <w:t>（一）一般公共预算财政拨款支出决算总体情况</w:t>
      </w:r>
    </w:p>
    <w:p w14:paraId="24DC3FD3">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一般公共预算财政拨款支出</w:t>
      </w:r>
      <w:r>
        <w:rPr>
          <w:rFonts w:hint="eastAsia" w:ascii="仿宋" w:hAnsi="仿宋" w:eastAsia="仿宋"/>
          <w:color w:val="000000"/>
          <w:sz w:val="32"/>
          <w:szCs w:val="32"/>
          <w:lang w:val="en-US" w:eastAsia="zh-CN"/>
        </w:rPr>
        <w:t>1717.2</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w:t>
      </w:r>
      <w:r>
        <w:rPr>
          <w:rFonts w:hint="eastAsia" w:ascii="仿宋" w:hAnsi="仿宋" w:eastAsia="仿宋"/>
          <w:color w:val="000000"/>
          <w:sz w:val="32"/>
          <w:szCs w:val="32"/>
          <w:lang w:val="en-US" w:eastAsia="zh-CN"/>
        </w:rPr>
        <w:t>减少1153.31</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下降40</w:t>
      </w:r>
      <w:r>
        <w:rPr>
          <w:rFonts w:ascii="仿宋" w:hAnsi="仿宋" w:eastAsia="仿宋"/>
          <w:color w:val="000000"/>
          <w:sz w:val="32"/>
          <w:szCs w:val="32"/>
        </w:rPr>
        <w:t>%</w:t>
      </w:r>
      <w:r>
        <w:rPr>
          <w:rFonts w:hint="eastAsia" w:ascii="仿宋" w:hAnsi="仿宋" w:eastAsia="仿宋"/>
          <w:color w:val="000000"/>
          <w:sz w:val="32"/>
          <w:szCs w:val="32"/>
        </w:rPr>
        <w:t>。主要变动原因是灾后恢复重建项目</w:t>
      </w:r>
      <w:r>
        <w:rPr>
          <w:rFonts w:hint="eastAsia" w:ascii="仿宋" w:hAnsi="仿宋" w:eastAsia="仿宋"/>
          <w:color w:val="000000"/>
          <w:sz w:val="32"/>
          <w:szCs w:val="32"/>
          <w:lang w:val="en-US" w:eastAsia="zh-CN"/>
        </w:rPr>
        <w:t>完成支付。</w:t>
      </w:r>
    </w:p>
    <w:p w14:paraId="7D5E9535">
      <w:pPr>
        <w:pageBreakBefore w:val="0"/>
        <w:spacing w:line="576" w:lineRule="exact"/>
        <w:ind w:firstLine="643"/>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p>
    <w:p w14:paraId="782390AD">
      <w:pPr>
        <w:spacing w:line="600" w:lineRule="exact"/>
        <w:ind w:firstLine="640"/>
        <w:rPr>
          <w:rFonts w:hint="eastAsia" w:ascii="仿宋" w:hAnsi="仿宋" w:eastAsia="仿宋"/>
          <w:b/>
          <w:color w:val="000000" w:themeColor="text1"/>
          <w:sz w:val="32"/>
          <w:szCs w:val="32"/>
          <w14:textFill>
            <w14:solidFill>
              <w14:schemeClr w14:val="tx1"/>
            </w14:solidFill>
          </w14:textFill>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1717.2</w:t>
      </w:r>
      <w:r>
        <w:rPr>
          <w:rFonts w:hint="eastAsia" w:ascii="仿宋" w:hAnsi="仿宋" w:eastAsia="仿宋"/>
          <w:color w:val="000000" w:themeColor="text1"/>
          <w:sz w:val="32"/>
          <w:szCs w:val="32"/>
          <w14:textFill>
            <w14:solidFill>
              <w14:schemeClr w14:val="tx1"/>
            </w14:solidFill>
          </w14:textFill>
        </w:rPr>
        <w:t>万元，主要用于以下方面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一般公共服务（2</w:t>
      </w:r>
      <w:r>
        <w:rPr>
          <w:rFonts w:ascii="仿宋" w:hAnsi="仿宋" w:eastAsia="仿宋"/>
          <w:b/>
          <w:color w:val="000000" w:themeColor="text1"/>
          <w:sz w:val="32"/>
          <w:szCs w:val="32"/>
          <w14:textFill>
            <w14:solidFill>
              <w14:schemeClr w14:val="tx1"/>
            </w14:solidFill>
          </w14:textFill>
        </w:rPr>
        <w:t>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教育支出（2</w:t>
      </w:r>
      <w:r>
        <w:rPr>
          <w:rFonts w:ascii="仿宋" w:hAnsi="仿宋" w:eastAsia="仿宋"/>
          <w:b/>
          <w:color w:val="000000" w:themeColor="text1"/>
          <w:sz w:val="32"/>
          <w:szCs w:val="32"/>
          <w14:textFill>
            <w14:solidFill>
              <w14:schemeClr w14:val="tx1"/>
            </w14:solidFill>
          </w14:textFill>
        </w:rPr>
        <w:t>025</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文化旅游体育与传媒（2</w:t>
      </w:r>
      <w:r>
        <w:rPr>
          <w:rFonts w:ascii="仿宋" w:hAnsi="仿宋" w:eastAsia="仿宋"/>
          <w:b/>
          <w:bCs/>
          <w:color w:val="000000" w:themeColor="text1"/>
          <w:sz w:val="32"/>
          <w:szCs w:val="32"/>
          <w14:textFill>
            <w14:solidFill>
              <w14:schemeClr w14:val="tx1"/>
            </w14:solidFill>
          </w14:textFill>
        </w:rPr>
        <w:t>07</w:t>
      </w:r>
      <w:r>
        <w:rPr>
          <w:rFonts w:hint="eastAsia"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w:t>
      </w:r>
      <w:r>
        <w:rPr>
          <w:rFonts w:ascii="仿宋" w:hAnsi="仿宋" w:eastAsia="仿宋"/>
          <w:b/>
          <w:color w:val="000000" w:themeColor="text1"/>
          <w:sz w:val="32"/>
          <w:szCs w:val="32"/>
          <w14:textFill>
            <w14:solidFill>
              <w14:schemeClr w14:val="tx1"/>
            </w14:solidFill>
          </w14:textFill>
        </w:rPr>
        <w:t>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55</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3.2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w:t>
      </w:r>
      <w:r>
        <w:rPr>
          <w:rFonts w:hint="eastAsia" w:ascii="仿宋" w:hAnsi="仿宋" w:eastAsia="仿宋"/>
          <w:b/>
          <w:bCs/>
          <w:color w:val="000000" w:themeColor="text1"/>
          <w:sz w:val="32"/>
          <w:szCs w:val="32"/>
          <w:lang w:eastAsia="zh-CN"/>
          <w14:textFill>
            <w14:solidFill>
              <w14:schemeClr w14:val="tx1"/>
            </w14:solidFill>
          </w14:textFill>
        </w:rPr>
        <w:t>（</w:t>
      </w:r>
      <w:r>
        <w:rPr>
          <w:rFonts w:ascii="仿宋" w:hAnsi="仿宋" w:eastAsia="仿宋"/>
          <w:b/>
          <w:bCs/>
          <w:color w:val="000000" w:themeColor="text1"/>
          <w:sz w:val="32"/>
          <w:szCs w:val="32"/>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节能环保</w:t>
      </w:r>
      <w:r>
        <w:rPr>
          <w:rFonts w:hint="eastAsia" w:ascii="仿宋" w:hAnsi="仿宋" w:eastAsia="仿宋"/>
          <w:b/>
          <w:bCs/>
          <w:color w:val="000000" w:themeColor="text1"/>
          <w:sz w:val="32"/>
          <w:szCs w:val="32"/>
          <w:lang w:eastAsia="zh-CN"/>
          <w14:textFill>
            <w14:solidFill>
              <w14:schemeClr w14:val="tx1"/>
            </w14:solidFill>
          </w14:textFill>
        </w:rPr>
        <w:t>（</w:t>
      </w:r>
      <w:r>
        <w:rPr>
          <w:rFonts w:ascii="仿宋" w:hAnsi="仿宋" w:eastAsia="仿宋"/>
          <w:b/>
          <w:bCs/>
          <w:color w:val="000000" w:themeColor="text1"/>
          <w:sz w:val="32"/>
          <w:szCs w:val="32"/>
          <w14:textFill>
            <w14:solidFill>
              <w14:schemeClr w14:val="tx1"/>
            </w14:solidFill>
          </w14:textFill>
        </w:rPr>
        <w:t>211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180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10</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住房保障</w:t>
      </w:r>
      <w:r>
        <w:rPr>
          <w:rFonts w:hint="eastAsia" w:ascii="仿宋" w:hAnsi="仿宋" w:eastAsia="仿宋"/>
          <w:b/>
          <w:bCs/>
          <w:color w:val="000000" w:themeColor="text1"/>
          <w:sz w:val="32"/>
          <w:szCs w:val="32"/>
          <w:lang w:eastAsia="zh-CN"/>
          <w14:textFill>
            <w14:solidFill>
              <w14:schemeClr w14:val="tx1"/>
            </w14:solidFill>
          </w14:textFill>
        </w:rPr>
        <w:t>（</w:t>
      </w:r>
      <w:r>
        <w:rPr>
          <w:rFonts w:ascii="仿宋" w:hAnsi="仿宋" w:eastAsia="仿宋"/>
          <w:b/>
          <w:bCs/>
          <w:color w:val="000000" w:themeColor="text1"/>
          <w:sz w:val="32"/>
          <w:szCs w:val="32"/>
          <w14:textFill>
            <w14:solidFill>
              <w14:schemeClr w14:val="tx1"/>
            </w14:solidFill>
          </w14:textFill>
        </w:rPr>
        <w:t>221</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33.46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农林水</w:t>
      </w:r>
      <w:r>
        <w:rPr>
          <w:rFonts w:hint="eastAsia" w:ascii="仿宋" w:hAnsi="仿宋" w:eastAsia="仿宋"/>
          <w:b/>
          <w:bCs/>
          <w:color w:val="000000" w:themeColor="text1"/>
          <w:sz w:val="32"/>
          <w:szCs w:val="32"/>
          <w:lang w:eastAsia="zh-CN"/>
          <w14:textFill>
            <w14:solidFill>
              <w14:schemeClr w14:val="tx1"/>
            </w14:solidFill>
          </w14:textFill>
        </w:rPr>
        <w:t>（</w:t>
      </w:r>
      <w:r>
        <w:rPr>
          <w:rFonts w:ascii="仿宋" w:hAnsi="仿宋" w:eastAsia="仿宋"/>
          <w:b/>
          <w:bCs/>
          <w:color w:val="000000" w:themeColor="text1"/>
          <w:sz w:val="32"/>
          <w:szCs w:val="32"/>
          <w14:textFill>
            <w14:solidFill>
              <w14:schemeClr w14:val="tx1"/>
            </w14:solidFill>
          </w14:textFill>
        </w:rPr>
        <w:t>213</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1411.93</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82</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商业服务业等</w:t>
      </w:r>
      <w:r>
        <w:rPr>
          <w:rFonts w:hint="eastAsia" w:ascii="仿宋" w:hAnsi="仿宋" w:eastAsia="仿宋"/>
          <w:b/>
          <w:bCs/>
          <w:color w:val="000000" w:themeColor="text1"/>
          <w:sz w:val="32"/>
          <w:szCs w:val="32"/>
          <w:lang w:eastAsia="zh-CN"/>
          <w14:textFill>
            <w14:solidFill>
              <w14:schemeClr w14:val="tx1"/>
            </w14:solidFill>
          </w14:textFill>
        </w:rPr>
        <w:t>（</w:t>
      </w:r>
      <w:r>
        <w:rPr>
          <w:rFonts w:ascii="仿宋" w:hAnsi="仿宋" w:eastAsia="仿宋"/>
          <w:b/>
          <w:bCs/>
          <w:color w:val="000000" w:themeColor="text1"/>
          <w:sz w:val="32"/>
          <w:szCs w:val="32"/>
          <w14:textFill>
            <w14:solidFill>
              <w14:schemeClr w14:val="tx1"/>
            </w14:solidFill>
          </w14:textFill>
        </w:rPr>
        <w:t>216</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其他支出（229）</w:t>
      </w:r>
      <w:r>
        <w:rPr>
          <w:rFonts w:hint="eastAsia" w:ascii="仿宋" w:hAnsi="仿宋" w:eastAsia="仿宋"/>
          <w:color w:val="000000" w:themeColor="text1"/>
          <w:sz w:val="32"/>
          <w:szCs w:val="32"/>
          <w:lang w:val="en-US" w:eastAsia="zh-CN"/>
          <w14:textFill>
            <w14:solidFill>
              <w14:schemeClr w14:val="tx1"/>
            </w14:solidFill>
          </w14:textFill>
        </w:rPr>
        <w:t>25.75万元，占2%；</w:t>
      </w:r>
      <w:r>
        <w:rPr>
          <w:rFonts w:hint="eastAsia" w:ascii="仿宋" w:hAnsi="仿宋" w:eastAsia="仿宋"/>
          <w:b/>
          <w:color w:val="000000" w:themeColor="text1"/>
          <w:sz w:val="32"/>
          <w:szCs w:val="32"/>
          <w14:textFill>
            <w14:solidFill>
              <w14:schemeClr w14:val="tx1"/>
            </w14:solidFill>
          </w14:textFill>
        </w:rPr>
        <w:t>（罗列全部功能分类科目，至类级。）</w:t>
      </w:r>
    </w:p>
    <w:p w14:paraId="3D58D7DB">
      <w:pPr>
        <w:spacing w:line="600" w:lineRule="exact"/>
        <w:ind w:firstLine="640"/>
        <w:rPr>
          <w:rFonts w:ascii="仿宋" w:eastAsia="仿宋"/>
          <w:b/>
          <w:sz w:val="32"/>
          <w:szCs w:val="32"/>
        </w:rPr>
      </w:pPr>
      <w:r>
        <w:rPr>
          <w:rFonts w:hint="eastAsia" w:ascii="仿宋" w:eastAsia="仿宋"/>
          <w:b/>
          <w:sz w:val="32"/>
          <w:szCs w:val="32"/>
        </w:rPr>
        <w:t>（注：数据来源于财决01-1表，仅罗列本部门涉及的全部功能分类科目，至类级。）</w:t>
      </w:r>
    </w:p>
    <w:p w14:paraId="416DCA3F">
      <w:pPr>
        <w:pageBreakBefore w:val="0"/>
        <w:spacing w:line="576" w:lineRule="exact"/>
        <w:ind w:firstLine="643"/>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p>
    <w:p w14:paraId="5A8C0DEE">
      <w:pPr>
        <w:pageBreakBefore w:val="0"/>
        <w:spacing w:line="576" w:lineRule="exact"/>
        <w:ind w:firstLine="640"/>
        <w:outlineLvl w:val="2"/>
        <w:rPr>
          <w:rStyle w:val="35"/>
          <w:rFonts w:ascii="仿宋" w:hAnsi="仿宋" w:eastAsia="仿宋"/>
          <w:b w:val="0"/>
          <w:bCs/>
          <w:color w:val="000000"/>
          <w:sz w:val="32"/>
          <w:szCs w:val="32"/>
        </w:rPr>
      </w:pPr>
      <w:r>
        <w:rPr>
          <w:rFonts w:hint="eastAsia" w:ascii="仿宋" w:hAnsi="仿宋" w:eastAsia="仿宋"/>
          <w:bCs/>
          <w:color w:val="000000" w:themeColor="text1"/>
          <w:sz w:val="32"/>
          <w:szCs w:val="32"/>
          <w:lang w:eastAsia="zh-CN"/>
          <w14:textFill>
            <w14:solidFill>
              <w14:schemeClr w14:val="tx1"/>
            </w14:solidFill>
          </w14:textFill>
        </w:rPr>
        <w:t>202</w:t>
      </w:r>
      <w:r>
        <w:rPr>
          <w:rFonts w:hint="eastAsia" w:ascii="仿宋" w:hAnsi="仿宋" w:eastAsia="仿宋"/>
          <w:bCs/>
          <w:color w:val="000000" w:themeColor="text1"/>
          <w:sz w:val="32"/>
          <w:szCs w:val="32"/>
          <w:lang w:val="en-US" w:eastAsia="zh-CN"/>
          <w14:textFill>
            <w14:solidFill>
              <w14:schemeClr w14:val="tx1"/>
            </w14:solidFill>
          </w14:textFill>
        </w:rPr>
        <w:t>1年一</w:t>
      </w:r>
      <w:r>
        <w:rPr>
          <w:rFonts w:hint="eastAsia" w:ascii="仿宋" w:hAnsi="仿宋" w:eastAsia="仿宋"/>
          <w:bCs/>
          <w:color w:val="000000" w:themeColor="text1"/>
          <w:sz w:val="32"/>
          <w:szCs w:val="32"/>
          <w14:textFill>
            <w14:solidFill>
              <w14:schemeClr w14:val="tx1"/>
            </w14:solidFill>
          </w14:textFill>
        </w:rPr>
        <w:t>般公共预算支出决算数为</w:t>
      </w:r>
      <w:r>
        <w:rPr>
          <w:rFonts w:hint="eastAsia" w:ascii="仿宋" w:hAnsi="仿宋" w:eastAsia="仿宋"/>
          <w:bCs/>
          <w:color w:val="000000" w:themeColor="text1"/>
          <w:sz w:val="32"/>
          <w:szCs w:val="32"/>
          <w:lang w:val="en-US" w:eastAsia="zh-CN"/>
          <w14:textFill>
            <w14:solidFill>
              <w14:schemeClr w14:val="tx1"/>
            </w14:solidFill>
          </w14:textFill>
        </w:rPr>
        <w:t>1717.21</w:t>
      </w:r>
      <w:r>
        <w:rPr>
          <w:rFonts w:hint="eastAsia" w:ascii="仿宋" w:hAnsi="仿宋" w:eastAsia="仿宋"/>
          <w:bCs/>
          <w:color w:val="000000" w:themeColor="text1"/>
          <w:sz w:val="32"/>
          <w:szCs w:val="32"/>
          <w14:textFill>
            <w14:solidFill>
              <w14:schemeClr w14:val="tx1"/>
            </w14:solidFill>
          </w14:textFill>
        </w:rPr>
        <w:t>万元，</w:t>
      </w:r>
      <w:r>
        <w:rPr>
          <w:rStyle w:val="35"/>
          <w:rFonts w:hint="eastAsia" w:ascii="仿宋" w:hAnsi="仿宋" w:eastAsia="仿宋"/>
          <w:b w:val="0"/>
          <w:bCs/>
          <w:color w:val="000000" w:themeColor="text1"/>
          <w:sz w:val="32"/>
          <w:szCs w:val="32"/>
          <w14:textFill>
            <w14:solidFill>
              <w14:schemeClr w14:val="tx1"/>
            </w14:solidFill>
          </w14:textFill>
        </w:rPr>
        <w:t>完成</w:t>
      </w:r>
      <w:r>
        <w:rPr>
          <w:rStyle w:val="35"/>
          <w:rFonts w:hint="eastAsia" w:ascii="仿宋" w:hAnsi="仿宋" w:eastAsia="仿宋"/>
          <w:b w:val="0"/>
          <w:bCs/>
          <w:color w:val="000000"/>
          <w:sz w:val="32"/>
          <w:szCs w:val="32"/>
        </w:rPr>
        <w:t>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。其中：</w:t>
      </w:r>
    </w:p>
    <w:p w14:paraId="54EFF4A4">
      <w:pPr>
        <w:pageBreakBefore w:val="0"/>
        <w:spacing w:line="576" w:lineRule="exact"/>
        <w:ind w:firstLine="643"/>
        <w:rPr>
          <w:rStyle w:val="35"/>
          <w:rFonts w:ascii="仿宋" w:hAnsi="仿宋" w:eastAsia="仿宋"/>
          <w:b w:val="0"/>
          <w:bCs/>
          <w:color w:val="000000"/>
          <w:sz w:val="32"/>
          <w:szCs w:val="32"/>
        </w:rPr>
      </w:pPr>
      <w:r>
        <w:rPr>
          <w:rStyle w:val="35"/>
          <w:rFonts w:hint="eastAsia" w:ascii="仿宋" w:hAnsi="仿宋" w:eastAsia="仿宋"/>
          <w:bCs/>
          <w:color w:val="000000"/>
          <w:sz w:val="32"/>
          <w:szCs w:val="32"/>
          <w:lang w:val="en-US" w:eastAsia="zh-CN"/>
        </w:rPr>
        <w:t>1</w:t>
      </w:r>
      <w:r>
        <w:rPr>
          <w:rStyle w:val="35"/>
          <w:rFonts w:hint="eastAsia" w:ascii="仿宋" w:hAnsi="仿宋" w:eastAsia="仿宋"/>
          <w:bCs/>
          <w:color w:val="000000"/>
          <w:sz w:val="32"/>
          <w:szCs w:val="32"/>
        </w:rPr>
        <w:t>.文化旅游体育与传媒支出207文化和旅游01 其他文化和旅游支出99</w:t>
      </w:r>
      <w:r>
        <w:rPr>
          <w:rStyle w:val="35"/>
          <w:rFonts w:ascii="仿宋" w:hAnsi="仿宋" w:eastAsia="仿宋"/>
          <w:bCs/>
          <w:color w:val="000000"/>
          <w:sz w:val="32"/>
          <w:szCs w:val="32"/>
        </w:rPr>
        <w:t>:</w:t>
      </w:r>
      <w:r>
        <w:rPr>
          <w:rStyle w:val="35"/>
          <w:rFonts w:ascii="仿宋" w:hAnsi="仿宋" w:eastAsia="仿宋"/>
          <w:b w:val="0"/>
          <w:bCs/>
          <w:color w:val="000000"/>
          <w:sz w:val="32"/>
          <w:szCs w:val="32"/>
        </w:rPr>
        <w:t xml:space="preserve"> </w:t>
      </w:r>
      <w:r>
        <w:rPr>
          <w:rStyle w:val="35"/>
          <w:rFonts w:hint="eastAsia" w:ascii="仿宋" w:hAnsi="仿宋" w:eastAsia="仿宋"/>
          <w:b w:val="0"/>
          <w:bCs/>
          <w:color w:val="000000"/>
          <w:sz w:val="32"/>
          <w:szCs w:val="32"/>
        </w:rPr>
        <w:t>支出决算为</w:t>
      </w:r>
      <w:r>
        <w:rPr>
          <w:rStyle w:val="35"/>
          <w:rFonts w:hint="eastAsia" w:ascii="仿宋" w:hAnsi="仿宋" w:eastAsia="仿宋"/>
          <w:b w:val="0"/>
          <w:bCs/>
          <w:color w:val="000000"/>
          <w:sz w:val="32"/>
          <w:szCs w:val="32"/>
          <w:lang w:val="en-US" w:eastAsia="zh-CN"/>
        </w:rPr>
        <w:t>1.987182</w:t>
      </w:r>
      <w:r>
        <w:rPr>
          <w:rStyle w:val="35"/>
          <w:rFonts w:hint="eastAsia" w:ascii="仿宋" w:hAnsi="仿宋" w:eastAsia="仿宋"/>
          <w:b w:val="0"/>
          <w:bCs/>
          <w:color w:val="000000"/>
          <w:sz w:val="32"/>
          <w:szCs w:val="32"/>
        </w:rPr>
        <w:t>万元，完成预算100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2E1CA290">
      <w:pPr>
        <w:pageBreakBefore w:val="0"/>
        <w:spacing w:line="576" w:lineRule="exact"/>
        <w:ind w:firstLine="643"/>
        <w:rPr>
          <w:rFonts w:ascii="仿宋" w:hAnsi="仿宋" w:eastAsia="仿宋"/>
          <w:b/>
          <w:color w:val="000000"/>
          <w:sz w:val="32"/>
          <w:szCs w:val="32"/>
        </w:rPr>
      </w:pPr>
      <w:r>
        <w:rPr>
          <w:rStyle w:val="35"/>
          <w:rFonts w:hint="eastAsia" w:ascii="仿宋" w:hAnsi="仿宋" w:eastAsia="仿宋"/>
          <w:bCs/>
          <w:color w:val="000000"/>
          <w:sz w:val="32"/>
          <w:szCs w:val="32"/>
          <w:lang w:val="en-US" w:eastAsia="zh-CN"/>
        </w:rPr>
        <w:t>2</w:t>
      </w:r>
      <w:r>
        <w:rPr>
          <w:rStyle w:val="35"/>
          <w:rFonts w:hint="eastAsia" w:ascii="仿宋" w:hAnsi="仿宋" w:eastAsia="仿宋"/>
          <w:bCs/>
          <w:color w:val="000000"/>
          <w:sz w:val="32"/>
          <w:szCs w:val="32"/>
        </w:rPr>
        <w:t>.社会保障和就业208行政事业单位离退休05机关事业单位基本养老保险缴费支出05</w:t>
      </w:r>
      <w:r>
        <w:rPr>
          <w:rStyle w:val="35"/>
          <w:rFonts w:ascii="仿宋" w:hAnsi="仿宋" w:eastAsia="仿宋"/>
          <w:bCs/>
          <w:color w:val="000000"/>
          <w:sz w:val="32"/>
          <w:szCs w:val="32"/>
        </w:rPr>
        <w:t>:</w:t>
      </w:r>
      <w:r>
        <w:rPr>
          <w:rStyle w:val="35"/>
          <w:rFonts w:ascii="仿宋" w:hAnsi="仿宋" w:eastAsia="仿宋"/>
          <w:b w:val="0"/>
          <w:bCs/>
          <w:color w:val="000000"/>
          <w:sz w:val="32"/>
          <w:szCs w:val="32"/>
        </w:rPr>
        <w:t xml:space="preserve"> </w:t>
      </w:r>
      <w:r>
        <w:rPr>
          <w:rStyle w:val="35"/>
          <w:rFonts w:hint="eastAsia" w:ascii="仿宋" w:hAnsi="仿宋" w:eastAsia="仿宋"/>
          <w:b w:val="0"/>
          <w:bCs/>
          <w:color w:val="000000"/>
          <w:sz w:val="32"/>
          <w:szCs w:val="32"/>
        </w:rPr>
        <w:t>支出决算为</w:t>
      </w:r>
      <w:r>
        <w:rPr>
          <w:rStyle w:val="35"/>
          <w:rFonts w:hint="eastAsia" w:ascii="仿宋" w:hAnsi="仿宋" w:eastAsia="仿宋"/>
          <w:b w:val="0"/>
          <w:bCs/>
          <w:color w:val="000000"/>
          <w:sz w:val="32"/>
          <w:szCs w:val="32"/>
          <w:lang w:val="en-US" w:eastAsia="zh-CN"/>
        </w:rPr>
        <w:t>31.83</w:t>
      </w:r>
      <w:r>
        <w:rPr>
          <w:rStyle w:val="35"/>
          <w:rFonts w:hint="eastAsia" w:ascii="仿宋" w:hAnsi="仿宋" w:eastAsia="仿宋"/>
          <w:b w:val="0"/>
          <w:bCs/>
          <w:color w:val="000000"/>
          <w:sz w:val="32"/>
          <w:szCs w:val="32"/>
        </w:rPr>
        <w:t>万元，</w:t>
      </w:r>
      <w:r>
        <w:rPr>
          <w:rStyle w:val="35"/>
          <w:rFonts w:hint="eastAsia" w:ascii="仿宋" w:hAnsi="仿宋" w:eastAsia="仿宋"/>
          <w:bCs/>
          <w:color w:val="000000"/>
          <w:sz w:val="32"/>
          <w:szCs w:val="32"/>
        </w:rPr>
        <w:t>社会保障和就业208行政事业单位离退休05机关事业单位</w:t>
      </w:r>
      <w:r>
        <w:rPr>
          <w:rStyle w:val="35"/>
          <w:rFonts w:hint="eastAsia" w:ascii="仿宋" w:hAnsi="仿宋" w:eastAsia="仿宋"/>
          <w:bCs/>
          <w:color w:val="000000"/>
          <w:sz w:val="32"/>
          <w:szCs w:val="32"/>
          <w:lang w:val="en-US" w:eastAsia="zh-CN"/>
        </w:rPr>
        <w:t>职业年金缴费支出</w:t>
      </w:r>
      <w:r>
        <w:rPr>
          <w:rStyle w:val="35"/>
          <w:rFonts w:hint="eastAsia" w:ascii="仿宋" w:hAnsi="仿宋" w:eastAsia="仿宋"/>
          <w:bCs/>
          <w:color w:val="000000"/>
          <w:sz w:val="32"/>
          <w:szCs w:val="32"/>
        </w:rPr>
        <w:t>0</w:t>
      </w:r>
      <w:r>
        <w:rPr>
          <w:rStyle w:val="35"/>
          <w:rFonts w:hint="eastAsia" w:ascii="仿宋" w:hAnsi="仿宋" w:eastAsia="仿宋"/>
          <w:bCs/>
          <w:color w:val="000000"/>
          <w:sz w:val="32"/>
          <w:szCs w:val="32"/>
          <w:lang w:val="en-US" w:eastAsia="zh-CN"/>
        </w:rPr>
        <w:t>6</w:t>
      </w:r>
      <w:r>
        <w:rPr>
          <w:rStyle w:val="35"/>
          <w:rFonts w:hint="eastAsia" w:ascii="仿宋" w:hAnsi="仿宋" w:eastAsia="仿宋"/>
          <w:b w:val="0"/>
          <w:bCs/>
          <w:color w:val="000000"/>
          <w:sz w:val="32"/>
          <w:szCs w:val="32"/>
        </w:rPr>
        <w:t>支出决算为</w:t>
      </w:r>
      <w:r>
        <w:rPr>
          <w:rStyle w:val="35"/>
          <w:rFonts w:hint="eastAsia" w:ascii="仿宋" w:hAnsi="仿宋" w:eastAsia="仿宋"/>
          <w:b w:val="0"/>
          <w:bCs/>
          <w:color w:val="000000"/>
          <w:sz w:val="32"/>
          <w:szCs w:val="32"/>
          <w:lang w:val="en-US" w:eastAsia="zh-CN"/>
        </w:rPr>
        <w:t>23.17</w:t>
      </w:r>
      <w:r>
        <w:rPr>
          <w:rStyle w:val="35"/>
          <w:rFonts w:hint="eastAsia" w:ascii="仿宋" w:hAnsi="仿宋" w:eastAsia="仿宋"/>
          <w:b w:val="0"/>
          <w:bCs/>
          <w:color w:val="000000"/>
          <w:sz w:val="32"/>
          <w:szCs w:val="32"/>
        </w:rPr>
        <w:t>万元，完成预算100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01DA50B6">
      <w:pPr>
        <w:pageBreakBefore w:val="0"/>
        <w:spacing w:line="576" w:lineRule="exact"/>
        <w:ind w:firstLine="643"/>
        <w:rPr>
          <w:rFonts w:ascii="仿宋" w:hAnsi="仿宋" w:eastAsia="仿宋"/>
          <w:b/>
          <w:color w:val="000000"/>
          <w:sz w:val="32"/>
          <w:szCs w:val="32"/>
        </w:rPr>
      </w:pPr>
      <w:r>
        <w:rPr>
          <w:rStyle w:val="35"/>
          <w:rFonts w:hint="eastAsia" w:ascii="仿宋" w:hAnsi="仿宋" w:eastAsia="仿宋"/>
          <w:bCs/>
          <w:color w:val="000000"/>
          <w:sz w:val="32"/>
          <w:szCs w:val="32"/>
          <w:lang w:val="en-US" w:eastAsia="zh-CN"/>
        </w:rPr>
        <w:t>3</w:t>
      </w:r>
      <w:r>
        <w:rPr>
          <w:rStyle w:val="35"/>
          <w:rFonts w:hint="eastAsia" w:ascii="仿宋" w:hAnsi="仿宋" w:eastAsia="仿宋"/>
          <w:bCs/>
          <w:color w:val="000000"/>
          <w:sz w:val="32"/>
          <w:szCs w:val="32"/>
        </w:rPr>
        <w:t>.卫生健康支出210行政事业单位医疗11事业单位医疗02</w:t>
      </w:r>
      <w:r>
        <w:rPr>
          <w:rStyle w:val="35"/>
          <w:rFonts w:hint="eastAsia" w:ascii="仿宋" w:hAnsi="仿宋" w:eastAsia="仿宋"/>
          <w:bCs/>
          <w:color w:val="000000"/>
          <w:sz w:val="32"/>
          <w:szCs w:val="32"/>
          <w:lang w:eastAsia="zh-CN"/>
        </w:rPr>
        <w:t>：</w:t>
      </w:r>
      <w:r>
        <w:rPr>
          <w:rStyle w:val="35"/>
          <w:rFonts w:hint="eastAsia" w:ascii="仿宋" w:hAnsi="仿宋" w:eastAsia="仿宋"/>
          <w:b w:val="0"/>
          <w:bCs/>
          <w:color w:val="000000"/>
          <w:sz w:val="32"/>
          <w:szCs w:val="32"/>
        </w:rPr>
        <w:t>支出决算为</w:t>
      </w:r>
      <w:r>
        <w:rPr>
          <w:rStyle w:val="35"/>
          <w:rFonts w:hint="eastAsia" w:ascii="仿宋" w:hAnsi="仿宋" w:eastAsia="仿宋"/>
          <w:b w:val="0"/>
          <w:bCs/>
          <w:color w:val="000000"/>
          <w:sz w:val="32"/>
          <w:szCs w:val="32"/>
          <w:lang w:val="en-US" w:eastAsia="zh-CN"/>
        </w:rPr>
        <w:t>1.06</w:t>
      </w:r>
      <w:r>
        <w:rPr>
          <w:rStyle w:val="35"/>
          <w:rFonts w:hint="eastAsia" w:ascii="仿宋" w:hAnsi="仿宋" w:eastAsia="仿宋"/>
          <w:b w:val="0"/>
          <w:bCs/>
          <w:color w:val="000000"/>
          <w:sz w:val="32"/>
          <w:szCs w:val="32"/>
        </w:rPr>
        <w:t>万元，</w:t>
      </w:r>
      <w:r>
        <w:rPr>
          <w:rStyle w:val="35"/>
          <w:rFonts w:hint="eastAsia" w:ascii="仿宋" w:hAnsi="仿宋" w:eastAsia="仿宋"/>
          <w:bCs/>
          <w:color w:val="000000"/>
          <w:sz w:val="32"/>
          <w:szCs w:val="32"/>
        </w:rPr>
        <w:t>卫生健康支出210行政事业单位医疗11</w:t>
      </w:r>
      <w:r>
        <w:rPr>
          <w:rStyle w:val="35"/>
          <w:rFonts w:hint="eastAsia" w:ascii="仿宋" w:hAnsi="仿宋" w:eastAsia="仿宋"/>
          <w:bCs/>
          <w:color w:val="000000"/>
          <w:sz w:val="32"/>
          <w:szCs w:val="32"/>
          <w:lang w:val="en-US" w:eastAsia="zh-CN"/>
        </w:rPr>
        <w:t>公务员医疗补助03：</w:t>
      </w:r>
      <w:r>
        <w:rPr>
          <w:rStyle w:val="35"/>
          <w:rFonts w:hint="eastAsia" w:ascii="仿宋" w:hAnsi="仿宋" w:eastAsia="仿宋"/>
          <w:b w:val="0"/>
          <w:bCs/>
          <w:color w:val="000000"/>
          <w:sz w:val="32"/>
          <w:szCs w:val="32"/>
          <w:lang w:val="en-US" w:eastAsia="zh-CN"/>
        </w:rPr>
        <w:t>支出决算为5.24万元，</w:t>
      </w:r>
      <w:r>
        <w:rPr>
          <w:rStyle w:val="35"/>
          <w:rFonts w:hint="eastAsia" w:ascii="仿宋" w:hAnsi="仿宋" w:eastAsia="仿宋"/>
          <w:bCs/>
          <w:color w:val="000000"/>
          <w:sz w:val="32"/>
          <w:szCs w:val="32"/>
        </w:rPr>
        <w:t>卫生健康支出210行政事业单位</w:t>
      </w:r>
      <w:r>
        <w:rPr>
          <w:rStyle w:val="35"/>
          <w:rFonts w:hint="eastAsia" w:ascii="仿宋" w:hAnsi="仿宋" w:eastAsia="仿宋"/>
          <w:bCs/>
          <w:color w:val="000000"/>
          <w:sz w:val="32"/>
          <w:szCs w:val="32"/>
          <w:lang w:val="en-US" w:eastAsia="zh-CN"/>
        </w:rPr>
        <w:t>医疗1</w:t>
      </w:r>
      <w:r>
        <w:rPr>
          <w:rStyle w:val="35"/>
          <w:rFonts w:hint="eastAsia" w:ascii="仿宋" w:hAnsi="仿宋" w:eastAsia="仿宋"/>
          <w:bCs/>
          <w:color w:val="000000"/>
          <w:sz w:val="32"/>
          <w:szCs w:val="32"/>
        </w:rPr>
        <w:t>1</w:t>
      </w:r>
      <w:r>
        <w:rPr>
          <w:rStyle w:val="35"/>
          <w:rFonts w:hint="eastAsia" w:ascii="仿宋" w:hAnsi="仿宋" w:eastAsia="仿宋"/>
          <w:bCs/>
          <w:color w:val="000000"/>
          <w:sz w:val="32"/>
          <w:szCs w:val="32"/>
          <w:lang w:val="en-US" w:eastAsia="zh-CN"/>
        </w:rPr>
        <w:t>其他</w:t>
      </w:r>
      <w:r>
        <w:rPr>
          <w:rStyle w:val="35"/>
          <w:rFonts w:hint="eastAsia" w:ascii="仿宋" w:hAnsi="仿宋" w:eastAsia="仿宋"/>
          <w:bCs/>
          <w:color w:val="000000"/>
          <w:sz w:val="32"/>
          <w:szCs w:val="32"/>
        </w:rPr>
        <w:t>行政事业单位医疗支出</w:t>
      </w:r>
      <w:r>
        <w:rPr>
          <w:rStyle w:val="35"/>
          <w:rFonts w:hint="eastAsia" w:ascii="仿宋" w:hAnsi="仿宋" w:eastAsia="仿宋"/>
          <w:b/>
          <w:bCs w:val="0"/>
          <w:color w:val="000000"/>
          <w:sz w:val="32"/>
          <w:szCs w:val="32"/>
        </w:rPr>
        <w:t>99</w:t>
      </w:r>
      <w:r>
        <w:rPr>
          <w:rStyle w:val="35"/>
          <w:rFonts w:hint="eastAsia" w:ascii="仿宋" w:hAnsi="仿宋" w:eastAsia="仿宋"/>
          <w:b w:val="0"/>
          <w:bCs/>
          <w:color w:val="000000"/>
          <w:sz w:val="32"/>
          <w:szCs w:val="32"/>
          <w:lang w:eastAsia="zh-CN"/>
        </w:rPr>
        <w:t>：</w:t>
      </w:r>
      <w:r>
        <w:rPr>
          <w:rStyle w:val="35"/>
          <w:rFonts w:hint="eastAsia" w:ascii="仿宋" w:hAnsi="仿宋" w:eastAsia="仿宋"/>
          <w:b w:val="0"/>
          <w:bCs/>
          <w:color w:val="000000"/>
          <w:sz w:val="32"/>
          <w:szCs w:val="32"/>
        </w:rPr>
        <w:t>支出决算</w:t>
      </w:r>
      <w:r>
        <w:rPr>
          <w:rStyle w:val="35"/>
          <w:rFonts w:hint="eastAsia" w:ascii="仿宋" w:hAnsi="仿宋" w:eastAsia="仿宋"/>
          <w:b w:val="0"/>
          <w:bCs/>
          <w:color w:val="000000"/>
          <w:sz w:val="32"/>
          <w:szCs w:val="32"/>
          <w:lang w:val="en-US" w:eastAsia="zh-CN"/>
        </w:rPr>
        <w:t>2.76</w:t>
      </w:r>
      <w:r>
        <w:rPr>
          <w:rStyle w:val="35"/>
          <w:rFonts w:hint="eastAsia" w:ascii="仿宋" w:hAnsi="仿宋" w:eastAsia="仿宋"/>
          <w:b w:val="0"/>
          <w:bCs/>
          <w:color w:val="000000"/>
          <w:sz w:val="32"/>
          <w:szCs w:val="32"/>
        </w:rPr>
        <w:t>万元，完成预算100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723E76C6">
      <w:pPr>
        <w:pageBreakBefore w:val="0"/>
        <w:spacing w:line="576" w:lineRule="exact"/>
        <w:ind w:firstLine="643"/>
        <w:rPr>
          <w:rStyle w:val="35"/>
          <w:rFonts w:ascii="仿宋" w:hAnsi="仿宋" w:eastAsia="仿宋"/>
          <w:b w:val="0"/>
          <w:bCs/>
          <w:color w:val="000000"/>
          <w:sz w:val="32"/>
          <w:szCs w:val="32"/>
        </w:rPr>
      </w:pPr>
      <w:r>
        <w:rPr>
          <w:rFonts w:hint="eastAsia" w:ascii="仿宋" w:hAnsi="仿宋" w:eastAsia="仿宋"/>
          <w:b/>
          <w:bCs/>
          <w:color w:val="000000"/>
          <w:sz w:val="32"/>
          <w:szCs w:val="32"/>
          <w:lang w:val="en-US" w:eastAsia="zh-CN"/>
        </w:rPr>
        <w:t>4</w:t>
      </w:r>
      <w:r>
        <w:rPr>
          <w:rFonts w:hint="eastAsia" w:ascii="仿宋" w:hAnsi="仿宋" w:eastAsia="仿宋"/>
          <w:b/>
          <w:bCs/>
          <w:color w:val="000000"/>
          <w:sz w:val="32"/>
          <w:szCs w:val="32"/>
        </w:rPr>
        <w:t>.节能环保支出211自然生态保护</w:t>
      </w:r>
      <w:r>
        <w:rPr>
          <w:rFonts w:hint="eastAsia" w:ascii="仿宋" w:hAnsi="仿宋" w:eastAsia="仿宋"/>
          <w:color w:val="000000"/>
          <w:sz w:val="32"/>
          <w:szCs w:val="32"/>
        </w:rPr>
        <w:t>04</w:t>
      </w:r>
      <w:r>
        <w:rPr>
          <w:rFonts w:hint="eastAsia" w:ascii="仿宋" w:hAnsi="仿宋" w:eastAsia="仿宋"/>
          <w:b/>
          <w:bCs/>
          <w:color w:val="000000"/>
          <w:sz w:val="32"/>
          <w:szCs w:val="32"/>
        </w:rPr>
        <w:t>生态保护01</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180</w:t>
      </w:r>
      <w:r>
        <w:rPr>
          <w:rFonts w:hint="eastAsia" w:ascii="仿宋" w:hAnsi="仿宋" w:eastAsia="仿宋"/>
          <w:color w:val="000000"/>
          <w:sz w:val="32"/>
          <w:szCs w:val="32"/>
        </w:rPr>
        <w:t>万元，</w:t>
      </w:r>
      <w:r>
        <w:rPr>
          <w:rStyle w:val="35"/>
          <w:rFonts w:hint="eastAsia" w:ascii="仿宋" w:hAnsi="仿宋" w:eastAsia="仿宋"/>
          <w:b w:val="0"/>
          <w:bCs/>
          <w:color w:val="000000"/>
          <w:sz w:val="32"/>
          <w:szCs w:val="32"/>
        </w:rPr>
        <w:t>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3334E3DC">
      <w:pPr>
        <w:pageBreakBefore w:val="0"/>
        <w:spacing w:line="576" w:lineRule="exact"/>
        <w:ind w:firstLine="643"/>
        <w:rPr>
          <w:rStyle w:val="35"/>
          <w:rFonts w:hint="eastAsia" w:ascii="仿宋" w:hAnsi="仿宋" w:eastAsia="仿宋"/>
          <w:b w:val="0"/>
          <w:bCs/>
          <w:color w:val="000000"/>
          <w:sz w:val="32"/>
          <w:szCs w:val="32"/>
        </w:rPr>
      </w:pPr>
      <w:r>
        <w:rPr>
          <w:rStyle w:val="35"/>
          <w:rFonts w:hint="eastAsia" w:ascii="仿宋" w:hAnsi="仿宋" w:eastAsia="仿宋"/>
          <w:color w:val="000000"/>
          <w:sz w:val="32"/>
          <w:szCs w:val="32"/>
          <w:lang w:val="en-US" w:eastAsia="zh-CN"/>
        </w:rPr>
        <w:t>5</w:t>
      </w:r>
      <w:r>
        <w:rPr>
          <w:rStyle w:val="35"/>
          <w:rFonts w:hint="eastAsia" w:ascii="仿宋" w:hAnsi="仿宋" w:eastAsia="仿宋"/>
          <w:color w:val="000000"/>
          <w:sz w:val="32"/>
          <w:szCs w:val="32"/>
        </w:rPr>
        <w:t>.农林水支出213</w:t>
      </w:r>
      <w:r>
        <w:rPr>
          <w:rStyle w:val="35"/>
          <w:rFonts w:hint="eastAsia" w:ascii="仿宋" w:hAnsi="仿宋" w:eastAsia="仿宋"/>
          <w:color w:val="000000"/>
          <w:sz w:val="32"/>
          <w:szCs w:val="32"/>
          <w:lang w:val="en-US" w:eastAsia="zh-CN"/>
        </w:rPr>
        <w:t>农业农村01农田水利53</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3.9977</w:t>
      </w:r>
      <w:r>
        <w:rPr>
          <w:rFonts w:hint="eastAsia" w:ascii="仿宋" w:hAnsi="仿宋" w:eastAsia="仿宋"/>
          <w:color w:val="000000"/>
          <w:sz w:val="32"/>
          <w:szCs w:val="32"/>
        </w:rPr>
        <w:t>万元</w:t>
      </w:r>
      <w:r>
        <w:rPr>
          <w:rStyle w:val="35"/>
          <w:rFonts w:hint="eastAsia" w:ascii="仿宋" w:hAnsi="仿宋" w:eastAsia="仿宋"/>
          <w:color w:val="000000"/>
          <w:sz w:val="32"/>
          <w:szCs w:val="32"/>
        </w:rPr>
        <w:t>农林水支出213林业和草原02事业机构04</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385.61</w:t>
      </w:r>
      <w:r>
        <w:rPr>
          <w:rFonts w:hint="eastAsia" w:ascii="仿宋" w:hAnsi="仿宋" w:eastAsia="仿宋"/>
          <w:color w:val="000000"/>
          <w:sz w:val="32"/>
          <w:szCs w:val="32"/>
        </w:rPr>
        <w:t>万元，</w:t>
      </w:r>
      <w:r>
        <w:rPr>
          <w:rStyle w:val="35"/>
          <w:rFonts w:hint="eastAsia" w:ascii="仿宋" w:hAnsi="仿宋" w:eastAsia="仿宋"/>
          <w:color w:val="000000"/>
          <w:sz w:val="32"/>
          <w:szCs w:val="32"/>
        </w:rPr>
        <w:t>农林水支出</w:t>
      </w:r>
      <w:r>
        <w:rPr>
          <w:rFonts w:hint="eastAsia" w:ascii="仿宋" w:hAnsi="仿宋" w:eastAsia="仿宋"/>
          <w:b/>
          <w:bCs/>
          <w:color w:val="000000"/>
          <w:sz w:val="32"/>
          <w:szCs w:val="32"/>
        </w:rPr>
        <w:t>213</w:t>
      </w:r>
      <w:r>
        <w:rPr>
          <w:rStyle w:val="35"/>
          <w:rFonts w:hint="eastAsia" w:ascii="仿宋" w:hAnsi="仿宋" w:eastAsia="仿宋"/>
          <w:bCs/>
          <w:color w:val="000000"/>
          <w:sz w:val="32"/>
          <w:szCs w:val="32"/>
        </w:rPr>
        <w:t>林业和草原</w:t>
      </w:r>
      <w:r>
        <w:rPr>
          <w:rFonts w:hint="eastAsia" w:ascii="仿宋" w:hAnsi="仿宋" w:eastAsia="仿宋"/>
          <w:b/>
          <w:bCs/>
          <w:color w:val="000000"/>
          <w:sz w:val="32"/>
          <w:szCs w:val="32"/>
        </w:rPr>
        <w:t>02 其他林业支出99</w:t>
      </w:r>
      <w:r>
        <w:rPr>
          <w:rFonts w:hint="eastAsia" w:ascii="仿宋" w:hAnsi="仿宋" w:eastAsia="仿宋"/>
          <w:color w:val="000000"/>
          <w:sz w:val="32"/>
          <w:szCs w:val="32"/>
        </w:rPr>
        <w:t>支出</w:t>
      </w:r>
      <w:r>
        <w:rPr>
          <w:rStyle w:val="35"/>
          <w:rFonts w:hint="eastAsia" w:ascii="仿宋" w:hAnsi="仿宋" w:eastAsia="仿宋"/>
          <w:b w:val="0"/>
          <w:bCs/>
          <w:color w:val="000000"/>
          <w:sz w:val="32"/>
          <w:szCs w:val="32"/>
        </w:rPr>
        <w:t>决算为</w:t>
      </w:r>
      <w:r>
        <w:rPr>
          <w:rStyle w:val="35"/>
          <w:rFonts w:hint="eastAsia" w:ascii="仿宋" w:hAnsi="仿宋" w:eastAsia="仿宋"/>
          <w:b w:val="0"/>
          <w:bCs/>
          <w:color w:val="000000"/>
          <w:sz w:val="32"/>
          <w:szCs w:val="32"/>
          <w:lang w:val="en-US" w:eastAsia="zh-CN"/>
        </w:rPr>
        <w:t>1022.33</w:t>
      </w:r>
      <w:r>
        <w:rPr>
          <w:rStyle w:val="35"/>
          <w:rFonts w:hint="eastAsia" w:ascii="仿宋" w:hAnsi="仿宋" w:eastAsia="仿宋"/>
          <w:b w:val="0"/>
          <w:bCs/>
          <w:color w:val="000000"/>
          <w:sz w:val="32"/>
          <w:szCs w:val="32"/>
        </w:rPr>
        <w:t>万元。完成预算100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5CD5F93B">
      <w:pPr>
        <w:pageBreakBefore w:val="0"/>
        <w:spacing w:line="576" w:lineRule="exact"/>
        <w:ind w:firstLine="643"/>
        <w:rPr>
          <w:rStyle w:val="35"/>
          <w:rFonts w:ascii="仿宋" w:hAnsi="仿宋" w:eastAsia="仿宋"/>
          <w:b w:val="0"/>
          <w:bCs/>
          <w:color w:val="000000"/>
          <w:sz w:val="32"/>
          <w:szCs w:val="32"/>
        </w:rPr>
      </w:pPr>
      <w:r>
        <w:rPr>
          <w:rStyle w:val="35"/>
          <w:rFonts w:hint="eastAsia" w:ascii="仿宋" w:hAnsi="仿宋" w:eastAsia="仿宋"/>
          <w:color w:val="000000"/>
          <w:sz w:val="32"/>
          <w:szCs w:val="32"/>
          <w:lang w:val="en-US" w:eastAsia="zh-CN"/>
        </w:rPr>
        <w:t>6</w:t>
      </w:r>
      <w:r>
        <w:rPr>
          <w:rStyle w:val="35"/>
          <w:rFonts w:hint="eastAsia" w:ascii="仿宋" w:hAnsi="仿宋" w:eastAsia="仿宋"/>
          <w:b w:val="0"/>
          <w:bCs/>
          <w:color w:val="000000"/>
          <w:sz w:val="32"/>
          <w:szCs w:val="32"/>
        </w:rPr>
        <w:t>.</w:t>
      </w:r>
      <w:r>
        <w:rPr>
          <w:rStyle w:val="35"/>
          <w:rFonts w:hint="eastAsia" w:ascii="仿宋" w:hAnsi="仿宋" w:eastAsia="仿宋"/>
          <w:color w:val="000000"/>
          <w:sz w:val="32"/>
          <w:szCs w:val="32"/>
        </w:rPr>
        <w:t>住房保障支出221住房改革支出02住房公积金01</w:t>
      </w:r>
      <w:r>
        <w:rPr>
          <w:rFonts w:hint="eastAsia" w:ascii="仿宋" w:hAnsi="仿宋" w:eastAsia="仿宋"/>
          <w:color w:val="000000"/>
          <w:sz w:val="32"/>
          <w:szCs w:val="32"/>
        </w:rPr>
        <w:t>支出决算数为</w:t>
      </w:r>
      <w:r>
        <w:rPr>
          <w:rFonts w:hint="eastAsia" w:ascii="仿宋" w:hAnsi="仿宋" w:eastAsia="仿宋"/>
          <w:color w:val="000000"/>
          <w:sz w:val="32"/>
          <w:szCs w:val="32"/>
          <w:lang w:val="en-US" w:eastAsia="zh-CN"/>
        </w:rPr>
        <w:t>33.46</w:t>
      </w:r>
      <w:r>
        <w:rPr>
          <w:rFonts w:hint="eastAsia" w:ascii="仿宋" w:hAnsi="仿宋" w:eastAsia="仿宋"/>
          <w:color w:val="000000"/>
          <w:sz w:val="32"/>
          <w:szCs w:val="32"/>
        </w:rPr>
        <w:t>万元，</w:t>
      </w:r>
      <w:r>
        <w:rPr>
          <w:rStyle w:val="35"/>
          <w:rFonts w:hint="eastAsia" w:ascii="仿宋" w:hAnsi="仿宋" w:eastAsia="仿宋"/>
          <w:b w:val="0"/>
          <w:bCs/>
          <w:color w:val="000000"/>
          <w:sz w:val="32"/>
          <w:szCs w:val="32"/>
        </w:rPr>
        <w:t>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2E888EFB">
      <w:pPr>
        <w:pageBreakBefore w:val="0"/>
        <w:spacing w:line="576" w:lineRule="exact"/>
        <w:ind w:firstLine="643"/>
        <w:rPr>
          <w:rStyle w:val="35"/>
          <w:rFonts w:hint="default" w:ascii="仿宋" w:hAnsi="仿宋" w:eastAsia="仿宋"/>
          <w:b w:val="0"/>
          <w:bCs/>
          <w:color w:val="000000"/>
          <w:sz w:val="32"/>
          <w:szCs w:val="32"/>
          <w:lang w:val="en-US" w:eastAsia="zh-CN"/>
        </w:rPr>
      </w:pPr>
      <w:r>
        <w:rPr>
          <w:rStyle w:val="35"/>
          <w:rFonts w:hint="eastAsia" w:ascii="仿宋" w:hAnsi="仿宋" w:eastAsia="仿宋"/>
          <w:color w:val="000000"/>
          <w:sz w:val="32"/>
          <w:szCs w:val="32"/>
          <w:lang w:val="en-US" w:eastAsia="zh-CN"/>
        </w:rPr>
        <w:t>7.其他支出229其他支出99其他支出99</w:t>
      </w:r>
      <w:r>
        <w:rPr>
          <w:rStyle w:val="35"/>
          <w:rFonts w:hint="eastAsia" w:ascii="仿宋" w:hAnsi="仿宋" w:eastAsia="仿宋"/>
          <w:b w:val="0"/>
          <w:bCs/>
          <w:color w:val="000000"/>
          <w:sz w:val="32"/>
          <w:szCs w:val="32"/>
          <w:lang w:val="en-US" w:eastAsia="zh-CN"/>
        </w:rPr>
        <w:t>支出决算数为25.75万元。</w:t>
      </w:r>
      <w:r>
        <w:rPr>
          <w:rStyle w:val="35"/>
          <w:rFonts w:hint="eastAsia" w:ascii="仿宋" w:hAnsi="仿宋" w:eastAsia="仿宋"/>
          <w:b w:val="0"/>
          <w:bCs/>
          <w:color w:val="000000"/>
          <w:sz w:val="32"/>
          <w:szCs w:val="32"/>
        </w:rPr>
        <w:t>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，决算数等于预算数。</w:t>
      </w:r>
    </w:p>
    <w:p w14:paraId="6489C989">
      <w:pPr>
        <w:spacing w:line="600" w:lineRule="exact"/>
        <w:ind w:firstLine="321"/>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1-1表和财决08表，仅罗列本部门涉及的全部功能分类科目，至项级。上述“预算”口径为调整预算数。增减变动原因为决算数</w:t>
      </w:r>
      <w:r>
        <w:rPr>
          <w:rFonts w:hint="eastAsia" w:ascii="仿宋" w:eastAsia="仿宋"/>
          <w:b/>
          <w:sz w:val="32"/>
          <w:szCs w:val="32"/>
          <w:lang w:eastAsia="zh-CN"/>
        </w:rPr>
        <w:t>〈</w:t>
      </w:r>
      <w:r>
        <w:rPr>
          <w:rFonts w:hint="eastAsia" w:ascii="仿宋" w:eastAsia="仿宋"/>
          <w:b/>
          <w:sz w:val="32"/>
          <w:szCs w:val="32"/>
        </w:rPr>
        <w:t>项级</w:t>
      </w:r>
      <w:r>
        <w:rPr>
          <w:rFonts w:hint="eastAsia" w:ascii="仿宋" w:eastAsia="仿宋"/>
          <w:b/>
          <w:sz w:val="32"/>
          <w:szCs w:val="32"/>
          <w:lang w:eastAsia="zh-CN"/>
        </w:rPr>
        <w:t>〉</w:t>
      </w:r>
      <w:r>
        <w:rPr>
          <w:rFonts w:hint="eastAsia" w:ascii="仿宋" w:eastAsia="仿宋"/>
          <w:b/>
          <w:sz w:val="32"/>
          <w:szCs w:val="32"/>
        </w:rPr>
        <w:t>和调整预算数</w:t>
      </w:r>
      <w:r>
        <w:rPr>
          <w:rFonts w:hint="eastAsia" w:ascii="仿宋" w:eastAsia="仿宋"/>
          <w:b/>
          <w:sz w:val="32"/>
          <w:szCs w:val="32"/>
          <w:lang w:eastAsia="zh-CN"/>
        </w:rPr>
        <w:t>〈</w:t>
      </w:r>
      <w:r>
        <w:rPr>
          <w:rFonts w:hint="eastAsia" w:ascii="仿宋" w:eastAsia="仿宋"/>
          <w:b/>
          <w:sz w:val="32"/>
          <w:szCs w:val="32"/>
        </w:rPr>
        <w:t>项级</w:t>
      </w:r>
      <w:r>
        <w:rPr>
          <w:rFonts w:hint="eastAsia" w:ascii="仿宋" w:eastAsia="仿宋"/>
          <w:b/>
          <w:sz w:val="32"/>
          <w:szCs w:val="32"/>
          <w:lang w:eastAsia="zh-CN"/>
        </w:rPr>
        <w:t>〉</w:t>
      </w:r>
      <w:r>
        <w:rPr>
          <w:rFonts w:hint="eastAsia" w:ascii="仿宋" w:eastAsia="仿宋"/>
          <w:b/>
          <w:sz w:val="32"/>
          <w:szCs w:val="32"/>
        </w:rPr>
        <w:t>比较，与预算数持平可以不写原因。）</w:t>
      </w:r>
    </w:p>
    <w:p w14:paraId="7F1147C5">
      <w:pPr>
        <w:tabs>
          <w:tab w:val="right" w:pos="8306"/>
        </w:tabs>
        <w:spacing w:line="600" w:lineRule="exact"/>
        <w:ind w:firstLine="640"/>
        <w:outlineLvl w:val="1"/>
        <w:rPr>
          <w:rStyle w:val="185"/>
        </w:rPr>
      </w:pPr>
      <w:bookmarkStart w:id="32" w:name="_Toc15396608"/>
      <w:bookmarkStart w:id="33" w:name="_Toc15377214"/>
      <w:r>
        <w:rPr>
          <w:rFonts w:hint="eastAsia" w:ascii="黑体" w:eastAsia="黑体"/>
          <w:sz w:val="32"/>
          <w:szCs w:val="32"/>
        </w:rPr>
        <w:t>六</w:t>
      </w:r>
      <w:r>
        <w:rPr>
          <w:rFonts w:hint="eastAsia" w:ascii="黑体" w:eastAsia="黑体"/>
          <w:b/>
          <w:sz w:val="32"/>
          <w:szCs w:val="32"/>
        </w:rPr>
        <w:t>、一</w:t>
      </w:r>
      <w:r>
        <w:rPr>
          <w:rStyle w:val="185"/>
          <w:rFonts w:hint="eastAsia" w:ascii="黑体" w:eastAsia="黑体"/>
          <w:b w:val="0"/>
        </w:rPr>
        <w:t>般公共预算财政拨款基本支出决算情况说明</w:t>
      </w:r>
      <w:bookmarkEnd w:id="32"/>
      <w:bookmarkEnd w:id="33"/>
      <w:r>
        <w:rPr>
          <w:rStyle w:val="185"/>
          <w:rFonts w:ascii="黑体" w:eastAsia="黑体"/>
          <w:b w:val="0"/>
        </w:rPr>
        <w:tab/>
      </w:r>
    </w:p>
    <w:p w14:paraId="003E8ADA">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w:t>
      </w:r>
      <w:r>
        <w:rPr>
          <w:rFonts w:hint="eastAsia" w:ascii="仿宋" w:hAnsi="仿宋" w:eastAsia="仿宋"/>
          <w:color w:val="000000"/>
          <w:sz w:val="32"/>
          <w:szCs w:val="32"/>
        </w:rPr>
        <w:t>基本支出</w:t>
      </w:r>
      <w:r>
        <w:rPr>
          <w:rFonts w:hint="eastAsia" w:ascii="仿宋" w:hAnsi="仿宋" w:eastAsia="仿宋"/>
          <w:color w:val="000000"/>
          <w:sz w:val="32"/>
          <w:szCs w:val="32"/>
          <w:lang w:val="en-US" w:eastAsia="zh-CN"/>
        </w:rPr>
        <w:t>483.14</w:t>
      </w:r>
      <w:r>
        <w:rPr>
          <w:rFonts w:hint="eastAsia" w:ascii="仿宋" w:hAnsi="仿宋" w:eastAsia="仿宋"/>
          <w:color w:val="000000"/>
          <w:sz w:val="32"/>
          <w:szCs w:val="32"/>
        </w:rPr>
        <w:t>万元，其中：人员经费</w:t>
      </w:r>
      <w:r>
        <w:rPr>
          <w:rFonts w:hint="eastAsia" w:ascii="仿宋" w:hAnsi="仿宋" w:eastAsia="仿宋"/>
          <w:color w:val="000000"/>
          <w:sz w:val="32"/>
          <w:szCs w:val="32"/>
          <w:lang w:val="en-US" w:eastAsia="zh-CN"/>
        </w:rPr>
        <w:t>455.1</w:t>
      </w:r>
      <w:r>
        <w:rPr>
          <w:rFonts w:hint="eastAsia" w:ascii="仿宋" w:hAnsi="仿宋" w:eastAsia="仿宋"/>
          <w:color w:val="000000"/>
          <w:sz w:val="32"/>
          <w:szCs w:val="32"/>
        </w:rPr>
        <w:t>万元，</w:t>
      </w:r>
      <w:r>
        <w:rPr>
          <w:rFonts w:hint="eastAsia" w:ascii="仿宋" w:eastAsia="仿宋"/>
          <w:sz w:val="32"/>
          <w:szCs w:val="32"/>
        </w:rPr>
        <w:t>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sz w:val="32"/>
          <w:szCs w:val="32"/>
        </w:rPr>
        <w:br w:type="textWrapping"/>
      </w:r>
      <w:r>
        <w:rPr>
          <w:rFonts w:hint="eastAsia" w:ascii="仿宋" w:eastAsia="仿宋"/>
          <w:sz w:val="32"/>
          <w:szCs w:val="32"/>
        </w:rPr>
        <w:t>　　公用经费</w:t>
      </w:r>
      <w:r>
        <w:rPr>
          <w:rFonts w:hint="eastAsia" w:ascii="仿宋" w:eastAsia="仿宋"/>
          <w:sz w:val="32"/>
          <w:szCs w:val="32"/>
          <w:lang w:val="en-US" w:eastAsia="zh-CN"/>
        </w:rPr>
        <w:t>28.04</w:t>
      </w:r>
      <w:r>
        <w:rPr>
          <w:rFonts w:hint="eastAsia" w:asci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33D8A3E">
      <w:pPr>
        <w:spacing w:line="600" w:lineRule="exact"/>
        <w:ind w:firstLine="645"/>
        <w:rPr>
          <w:rFonts w:ascii="仿宋" w:eastAsia="仿宋"/>
          <w:b/>
          <w:sz w:val="32"/>
          <w:szCs w:val="32"/>
        </w:rPr>
      </w:pPr>
      <w:r>
        <w:rPr>
          <w:rFonts w:hint="eastAsia" w:ascii="仿宋" w:eastAsia="仿宋"/>
          <w:b/>
          <w:sz w:val="32"/>
          <w:szCs w:val="32"/>
        </w:rPr>
        <w:t>（注：数据来源于财决</w:t>
      </w:r>
      <w:r>
        <w:rPr>
          <w:rFonts w:ascii="仿宋" w:eastAsia="仿宋"/>
          <w:b/>
          <w:sz w:val="32"/>
          <w:szCs w:val="32"/>
        </w:rPr>
        <w:t>0</w:t>
      </w:r>
      <w:r>
        <w:rPr>
          <w:rFonts w:hint="eastAsia" w:ascii="仿宋" w:eastAsia="仿宋"/>
          <w:b/>
          <w:sz w:val="32"/>
          <w:szCs w:val="32"/>
        </w:rPr>
        <w:t>7表和财决08-1表，仅罗列本部门实际支出涉及的经济分类科目。）</w:t>
      </w:r>
    </w:p>
    <w:p w14:paraId="6174299C">
      <w:pPr>
        <w:spacing w:line="600" w:lineRule="exact"/>
        <w:ind w:firstLine="640"/>
        <w:outlineLvl w:val="1"/>
        <w:rPr>
          <w:rStyle w:val="185"/>
          <w:rFonts w:ascii="黑体" w:eastAsia="黑体"/>
          <w:b w:val="0"/>
        </w:rPr>
      </w:pPr>
      <w:bookmarkStart w:id="34" w:name="_Toc15377215"/>
      <w:bookmarkStart w:id="35" w:name="_Toc15396609"/>
      <w:r>
        <w:rPr>
          <w:rFonts w:hint="eastAsia" w:ascii="黑体" w:eastAsia="黑体"/>
          <w:sz w:val="32"/>
          <w:szCs w:val="32"/>
        </w:rPr>
        <w:t>七、</w:t>
      </w:r>
      <w:r>
        <w:rPr>
          <w:rStyle w:val="185"/>
          <w:rFonts w:hint="eastAsia" w:ascii="黑体" w:eastAsia="黑体"/>
        </w:rPr>
        <w:t>“</w:t>
      </w:r>
      <w:r>
        <w:rPr>
          <w:rStyle w:val="185"/>
          <w:rFonts w:hint="eastAsia" w:ascii="黑体" w:eastAsia="黑体"/>
          <w:b w:val="0"/>
        </w:rPr>
        <w:t>三公”经费财政拨款支出决算情况说明</w:t>
      </w:r>
      <w:bookmarkEnd w:id="34"/>
      <w:bookmarkEnd w:id="35"/>
    </w:p>
    <w:p w14:paraId="6BEECC22">
      <w:pPr>
        <w:spacing w:line="600" w:lineRule="exact"/>
        <w:ind w:firstLine="640"/>
        <w:outlineLvl w:val="2"/>
        <w:rPr>
          <w:rFonts w:ascii="仿宋" w:eastAsia="仿宋"/>
          <w:b/>
          <w:sz w:val="32"/>
          <w:szCs w:val="32"/>
        </w:rPr>
      </w:pPr>
      <w:bookmarkStart w:id="36" w:name="_Toc15377216"/>
      <w:r>
        <w:rPr>
          <w:rFonts w:hint="eastAsia" w:ascii="仿宋" w:eastAsia="仿宋"/>
          <w:b/>
          <w:sz w:val="32"/>
          <w:szCs w:val="32"/>
        </w:rPr>
        <w:t>（一）“三公”经费财政拨款支出决算总体情况说明</w:t>
      </w:r>
      <w:bookmarkEnd w:id="36"/>
    </w:p>
    <w:p w14:paraId="0A50D101">
      <w:pPr>
        <w:pageBreakBefore w:val="0"/>
        <w:spacing w:line="576" w:lineRule="exact"/>
        <w:ind w:firstLine="640"/>
        <w:rPr>
          <w:rFonts w:ascii="仿宋" w:hAnsi="仿宋" w:eastAsia="仿宋"/>
          <w:color w:val="000000"/>
          <w:sz w:val="32"/>
          <w:szCs w:val="32"/>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“三公”经费财政拨款支出决算为</w:t>
      </w:r>
      <w:r>
        <w:rPr>
          <w:rFonts w:hint="eastAsia" w:ascii="仿宋" w:hAnsi="仿宋" w:eastAsia="仿宋"/>
          <w:color w:val="000000"/>
          <w:sz w:val="32"/>
          <w:szCs w:val="32"/>
          <w:lang w:val="en-US" w:eastAsia="zh-CN"/>
        </w:rPr>
        <w:t>9.85</w:t>
      </w:r>
      <w:r>
        <w:rPr>
          <w:rFonts w:hint="eastAsia" w:ascii="仿宋" w:hAnsi="仿宋" w:eastAsia="仿宋"/>
          <w:color w:val="000000"/>
          <w:sz w:val="32"/>
          <w:szCs w:val="32"/>
        </w:rPr>
        <w:t>万元，完成预算100</w:t>
      </w:r>
      <w:r>
        <w:rPr>
          <w:rFonts w:ascii="仿宋" w:hAnsi="仿宋" w:eastAsia="仿宋"/>
          <w:color w:val="000000"/>
          <w:sz w:val="32"/>
          <w:szCs w:val="32"/>
        </w:rPr>
        <w:t>%</w:t>
      </w:r>
      <w:r>
        <w:rPr>
          <w:rFonts w:hint="eastAsia" w:ascii="仿宋" w:hAnsi="仿宋" w:eastAsia="仿宋"/>
          <w:color w:val="000000"/>
          <w:sz w:val="32"/>
          <w:szCs w:val="32"/>
        </w:rPr>
        <w:t>，决算数大于预算数的主要原因是灾后重建项目工作量增加。</w:t>
      </w:r>
    </w:p>
    <w:p w14:paraId="5F23BA2D">
      <w:pPr>
        <w:spacing w:line="600" w:lineRule="exact"/>
        <w:ind w:firstLine="640"/>
        <w:outlineLvl w:val="2"/>
        <w:rPr>
          <w:rFonts w:ascii="仿宋" w:eastAsia="仿宋"/>
          <w:b/>
          <w:sz w:val="32"/>
          <w:szCs w:val="32"/>
        </w:rPr>
      </w:pPr>
      <w:bookmarkStart w:id="37" w:name="_Toc15377217"/>
      <w:r>
        <w:rPr>
          <w:rFonts w:hint="eastAsia" w:ascii="仿宋" w:eastAsia="仿宋"/>
          <w:b/>
          <w:sz w:val="32"/>
          <w:szCs w:val="32"/>
        </w:rPr>
        <w:t>（二）“三公”经费财政拨款支出决算具体情况说明</w:t>
      </w:r>
      <w:bookmarkEnd w:id="37"/>
    </w:p>
    <w:p w14:paraId="787D2ACD">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14:paraId="37F389B7">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35"/>
          <w:rFonts w:hint="eastAsia" w:ascii="仿宋" w:eastAsia="仿宋"/>
          <w:b w:val="0"/>
          <w:bCs/>
          <w:sz w:val="32"/>
          <w:szCs w:val="32"/>
        </w:rPr>
        <w:t>完成预算</w:t>
      </w:r>
      <w:r>
        <w:rPr>
          <w:rStyle w:val="35"/>
          <w:rFonts w:hint="eastAsia" w:ascii="仿宋" w:eastAsia="仿宋"/>
          <w:b w:val="0"/>
          <w:bCs/>
          <w:sz w:val="32"/>
          <w:szCs w:val="32"/>
          <w:lang w:val="en-US" w:eastAsia="zh-CN"/>
        </w:rPr>
        <w:t>0</w:t>
      </w:r>
      <w:r>
        <w:rPr>
          <w:rStyle w:val="35"/>
          <w:rFonts w:ascii="仿宋" w:eastAsia="仿宋"/>
          <w:b w:val="0"/>
          <w:bCs/>
          <w:sz w:val="32"/>
          <w:szCs w:val="32"/>
        </w:rPr>
        <w:t>%</w:t>
      </w:r>
      <w:r>
        <w:rPr>
          <w:rStyle w:val="35"/>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人。因公出国（境）支出决算比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w:t>
      </w:r>
    </w:p>
    <w:p w14:paraId="5B33CF7F">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14:paraId="36ECDAD5">
      <w:pPr>
        <w:pageBreakBefore w:val="0"/>
        <w:spacing w:line="576" w:lineRule="exact"/>
        <w:ind w:firstLine="640"/>
        <w:rPr>
          <w:rFonts w:ascii="仿宋_GB2312" w:eastAsia="仿宋_GB2312"/>
          <w:b/>
          <w:color w:val="000000"/>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color w:val="000000"/>
          <w:sz w:val="32"/>
          <w:szCs w:val="32"/>
          <w:lang w:val="en-US" w:eastAsia="zh-CN"/>
        </w:rPr>
        <w:t>9.85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35"/>
          <w:rFonts w:hint="eastAsia" w:ascii="仿宋" w:hAnsi="仿宋" w:eastAsia="仿宋"/>
          <w:b w:val="0"/>
          <w:bCs/>
          <w:color w:val="000000"/>
          <w:sz w:val="32"/>
          <w:szCs w:val="32"/>
        </w:rPr>
        <w:t>完成预算100</w:t>
      </w:r>
      <w:r>
        <w:rPr>
          <w:rStyle w:val="35"/>
          <w:rFonts w:ascii="仿宋" w:hAnsi="仿宋" w:eastAsia="仿宋"/>
          <w:b w:val="0"/>
          <w:bCs/>
          <w:color w:val="000000"/>
          <w:sz w:val="32"/>
          <w:szCs w:val="32"/>
        </w:rPr>
        <w:t>%</w:t>
      </w:r>
      <w:r>
        <w:rPr>
          <w:rStyle w:val="3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val="en-US" w:eastAsia="zh-CN"/>
        </w:rPr>
        <w:t>减少0.04</w:t>
      </w:r>
      <w:r>
        <w:rPr>
          <w:rFonts w:hint="eastAsia" w:ascii="仿宋_GB2312" w:eastAsia="仿宋_GB2312"/>
          <w:color w:val="000000"/>
          <w:sz w:val="32"/>
          <w:szCs w:val="32"/>
        </w:rPr>
        <w:t>万元，</w:t>
      </w:r>
      <w:r>
        <w:rPr>
          <w:rFonts w:hint="eastAsia" w:ascii="仿宋_GB2312" w:eastAsia="仿宋_GB2312"/>
          <w:color w:val="000000"/>
          <w:sz w:val="32"/>
          <w:szCs w:val="32"/>
          <w:lang w:val="en-US" w:eastAsia="zh-CN"/>
        </w:rPr>
        <w:t>下降1</w:t>
      </w:r>
      <w:r>
        <w:rPr>
          <w:rFonts w:ascii="仿宋_GB2312" w:eastAsia="仿宋_GB2312"/>
          <w:color w:val="000000"/>
          <w:sz w:val="32"/>
          <w:szCs w:val="32"/>
        </w:rPr>
        <w:t>%</w:t>
      </w:r>
      <w:r>
        <w:rPr>
          <w:rFonts w:hint="eastAsia" w:ascii="仿宋_GB2312" w:eastAsia="仿宋_GB2312"/>
          <w:color w:val="000000"/>
          <w:sz w:val="32"/>
          <w:szCs w:val="32"/>
        </w:rPr>
        <w:t>。主要原</w:t>
      </w:r>
      <w:r>
        <w:rPr>
          <w:rFonts w:hint="eastAsia" w:ascii="仿宋_GB2312" w:eastAsia="仿宋_GB2312"/>
          <w:color w:val="000000"/>
          <w:sz w:val="32"/>
          <w:szCs w:val="32"/>
          <w:lang w:eastAsia="zh-CN"/>
        </w:rPr>
        <w:t>因是</w:t>
      </w:r>
      <w:r>
        <w:rPr>
          <w:rFonts w:hint="eastAsia" w:ascii="仿宋_GB2312" w:eastAsia="仿宋_GB2312"/>
          <w:color w:val="000000"/>
          <w:sz w:val="32"/>
          <w:szCs w:val="32"/>
          <w:lang w:val="en-US" w:eastAsia="zh-CN"/>
        </w:rPr>
        <w:t>厉行节约</w:t>
      </w:r>
      <w:r>
        <w:rPr>
          <w:rFonts w:hint="eastAsia" w:ascii="仿宋_GB2312" w:eastAsia="仿宋_GB2312"/>
          <w:color w:val="000000"/>
          <w:sz w:val="32"/>
          <w:szCs w:val="32"/>
        </w:rPr>
        <w:t>。</w:t>
      </w:r>
    </w:p>
    <w:p w14:paraId="2FEAFF78">
      <w:pPr>
        <w:spacing w:line="600" w:lineRule="exact"/>
        <w:ind w:firstLine="64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eastAsia="zh-CN"/>
        </w:rPr>
        <w:t>…</w:t>
      </w: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4</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3</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14:paraId="299280E1">
      <w:pPr>
        <w:pageBreakBefore w:val="0"/>
        <w:spacing w:line="576" w:lineRule="exact"/>
        <w:ind w:firstLine="640"/>
        <w:rPr>
          <w:rFonts w:ascii="仿宋_GB2312" w:eastAsia="仿宋_GB2312"/>
          <w:color w:val="000000"/>
          <w:sz w:val="32"/>
          <w:szCs w:val="32"/>
        </w:rPr>
      </w:pPr>
      <w:r>
        <w:rPr>
          <w:rFonts w:hint="eastAsia" w:ascii="仿宋_GB2312" w:eastAsia="仿宋_GB2312"/>
          <w:b/>
          <w:sz w:val="32"/>
          <w:szCs w:val="32"/>
        </w:rPr>
        <w:t>公务用车运行维护费支出</w:t>
      </w:r>
      <w:r>
        <w:rPr>
          <w:rFonts w:hint="eastAsia" w:ascii="仿宋_GB2312" w:eastAsia="仿宋_GB2312"/>
          <w:sz w:val="32"/>
          <w:szCs w:val="32"/>
          <w:lang w:val="en-US" w:eastAsia="zh-CN"/>
        </w:rPr>
        <w:t>9.85</w:t>
      </w:r>
      <w:r>
        <w:rPr>
          <w:rFonts w:hint="eastAsia" w:ascii="仿宋_GB2312" w:eastAsia="仿宋_GB2312"/>
          <w:sz w:val="32"/>
          <w:szCs w:val="32"/>
        </w:rPr>
        <w:t>万元。</w:t>
      </w:r>
      <w:r>
        <w:rPr>
          <w:rFonts w:hint="eastAsia" w:ascii="仿宋_GB2312" w:eastAsia="仿宋_GB2312"/>
          <w:color w:val="000000"/>
          <w:sz w:val="32"/>
          <w:szCs w:val="32"/>
        </w:rPr>
        <w:t>主要用于干部职工下乡精准扶贫、项目查看等所需的公务用车燃料费、维修费、过路过桥费、保险费等支出。</w:t>
      </w:r>
    </w:p>
    <w:p w14:paraId="2061CBAD">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35"/>
          <w:rFonts w:hint="eastAsia" w:ascii="仿宋" w:eastAsia="仿宋"/>
          <w:b w:val="0"/>
          <w:bCs/>
          <w:sz w:val="32"/>
          <w:szCs w:val="32"/>
        </w:rPr>
        <w:t>完成预算</w:t>
      </w:r>
      <w:r>
        <w:rPr>
          <w:rStyle w:val="35"/>
          <w:rFonts w:hint="eastAsia" w:ascii="仿宋" w:eastAsia="仿宋"/>
          <w:b w:val="0"/>
          <w:bCs/>
          <w:sz w:val="32"/>
          <w:szCs w:val="32"/>
          <w:lang w:val="en-US" w:eastAsia="zh-CN"/>
        </w:rPr>
        <w:t>0</w:t>
      </w:r>
      <w:r>
        <w:rPr>
          <w:rStyle w:val="35"/>
          <w:rFonts w:ascii="仿宋" w:eastAsia="仿宋"/>
          <w:b w:val="0"/>
          <w:bCs/>
          <w:sz w:val="32"/>
          <w:szCs w:val="32"/>
        </w:rPr>
        <w:t>%</w:t>
      </w:r>
      <w:r>
        <w:rPr>
          <w:rStyle w:val="35"/>
          <w:rFonts w:hint="eastAsia" w:asci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。主要原因是……。其中：</w:t>
      </w:r>
    </w:p>
    <w:p w14:paraId="30D0D349">
      <w:pPr>
        <w:spacing w:line="600" w:lineRule="exact"/>
        <w:ind w:firstLine="640"/>
        <w:rPr>
          <w:rFonts w:ascii="仿宋_GB2312" w:eastAsia="仿宋_GB2312"/>
          <w:sz w:val="32"/>
          <w:szCs w:val="32"/>
        </w:rPr>
      </w:pPr>
      <w:r>
        <w:rPr>
          <w:rFonts w:hint="eastAsia" w:ascii="仿宋" w:eastAsia="仿宋"/>
          <w:b/>
          <w:sz w:val="32"/>
          <w:szCs w:val="32"/>
        </w:rPr>
        <w:t>国内公务接待支出</w:t>
      </w:r>
      <w:r>
        <w:rPr>
          <w:rFonts w:hint="eastAsia" w:ascii="仿宋" w:eastAsia="仿宋"/>
          <w:sz w:val="32"/>
          <w:szCs w:val="32"/>
          <w:lang w:val="en-US" w:eastAsia="zh-CN"/>
        </w:rPr>
        <w:t>0</w:t>
      </w:r>
      <w:r>
        <w:rPr>
          <w:rFonts w:hint="eastAsia" w:ascii="仿宋_GB2312" w:eastAsia="仿宋_GB2312"/>
          <w:sz w:val="32"/>
          <w:szCs w:val="32"/>
        </w:rPr>
        <w:t>万元，主要用于……</w:t>
      </w:r>
      <w:r>
        <w:rPr>
          <w:rFonts w:hint="eastAsia" w:ascii="仿宋_GB2312" w:eastAsia="仿宋_GB2312"/>
          <w:sz w:val="32"/>
          <w:szCs w:val="32"/>
          <w:lang w:eastAsia="zh-CN"/>
        </w:rPr>
        <w:t>（</w:t>
      </w:r>
      <w:r>
        <w:rPr>
          <w:rFonts w:hint="eastAsia" w:ascii="仿宋_GB2312" w:eastAsia="仿宋_GB2312"/>
          <w:sz w:val="32"/>
          <w:szCs w:val="32"/>
        </w:rPr>
        <w:t>执行公务、开展业务活动开支的交通费、住宿费、用餐费等</w:t>
      </w:r>
      <w:r>
        <w:rPr>
          <w:rFonts w:hint="eastAsia" w:ascii="仿宋_GB2312" w:eastAsia="仿宋_GB2312"/>
          <w:sz w:val="32"/>
          <w:szCs w:val="32"/>
          <w:lang w:eastAsia="zh-CN"/>
        </w:rPr>
        <w:t>）</w:t>
      </w:r>
      <w:r>
        <w:rPr>
          <w:rFonts w:hint="eastAsia" w:ascii="仿宋_GB2312" w:eastAsia="仿宋_GB2312"/>
          <w:sz w:val="32"/>
          <w:szCs w:val="32"/>
        </w:rPr>
        <w:t>。国内公务接待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万元，具体内容包括：…（接待具体项目、金额）。</w:t>
      </w:r>
    </w:p>
    <w:p w14:paraId="471EE811">
      <w:pPr>
        <w:spacing w:line="600" w:lineRule="exact"/>
        <w:ind w:firstLine="643"/>
        <w:rPr>
          <w:rFonts w:ascii="仿宋_GB2312" w:eastAsia="仿宋_GB2312"/>
          <w:sz w:val="32"/>
          <w:szCs w:val="32"/>
        </w:rPr>
      </w:pPr>
      <w:r>
        <w:rPr>
          <w:rFonts w:hint="eastAsia" w:ascii="仿宋" w:eastAsia="仿宋"/>
          <w:b/>
          <w:sz w:val="32"/>
          <w:szCs w:val="32"/>
        </w:rPr>
        <w:t>外事接待支出</w:t>
      </w:r>
      <w:r>
        <w:rPr>
          <w:rFonts w:hint="eastAsia" w:asci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万元，主要用于接待</w:t>
      </w:r>
      <w:r>
        <w:rPr>
          <w:rFonts w:ascii="仿宋_GB2312" w:eastAsia="仿宋_GB2312"/>
          <w:sz w:val="32"/>
          <w:szCs w:val="32"/>
        </w:rPr>
        <w:t>…</w:t>
      </w:r>
      <w:r>
        <w:rPr>
          <w:rFonts w:hint="eastAsia" w:ascii="仿宋_GB2312" w:eastAsia="仿宋_GB2312"/>
          <w:sz w:val="32"/>
          <w:szCs w:val="32"/>
        </w:rPr>
        <w:t>（具体项目）。主要用于……</w:t>
      </w:r>
    </w:p>
    <w:p w14:paraId="1CBF6DD0">
      <w:pPr>
        <w:spacing w:line="600" w:lineRule="exact"/>
        <w:ind w:firstLine="640"/>
        <w:outlineLvl w:val="1"/>
        <w:rPr>
          <w:rFonts w:ascii="黑体" w:eastAsia="黑体"/>
          <w:sz w:val="32"/>
          <w:szCs w:val="32"/>
        </w:rPr>
      </w:pPr>
      <w:bookmarkStart w:id="38" w:name="_Toc15377218"/>
      <w:bookmarkStart w:id="39" w:name="_Toc15396610"/>
    </w:p>
    <w:p w14:paraId="2B5E1210">
      <w:pPr>
        <w:spacing w:line="600" w:lineRule="exact"/>
        <w:ind w:firstLine="640"/>
        <w:outlineLvl w:val="1"/>
        <w:rPr>
          <w:rStyle w:val="185"/>
          <w:rFonts w:ascii="黑体" w:eastAsia="黑体"/>
        </w:rPr>
      </w:pPr>
      <w:r>
        <w:rPr>
          <w:rFonts w:hint="eastAsia" w:ascii="黑体" w:eastAsia="黑体"/>
          <w:sz w:val="32"/>
          <w:szCs w:val="32"/>
        </w:rPr>
        <w:t>八、</w:t>
      </w:r>
      <w:r>
        <w:rPr>
          <w:rStyle w:val="185"/>
          <w:rFonts w:hint="eastAsia" w:ascii="黑体" w:eastAsia="黑体"/>
          <w:b w:val="0"/>
        </w:rPr>
        <w:t>政府性基金预算支出决算情况说明</w:t>
      </w:r>
      <w:bookmarkEnd w:id="38"/>
      <w:bookmarkEnd w:id="39"/>
    </w:p>
    <w:p w14:paraId="27702690">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2AD2F8A3">
      <w:pPr>
        <w:spacing w:line="600" w:lineRule="exact"/>
        <w:ind w:firstLine="640"/>
        <w:rPr>
          <w:rFonts w:ascii="仿宋_GB2312" w:eastAsia="仿宋_GB2312"/>
          <w:sz w:val="32"/>
          <w:szCs w:val="32"/>
        </w:rPr>
      </w:pPr>
    </w:p>
    <w:p w14:paraId="5AA98768">
      <w:pPr>
        <w:numPr>
          <w:ilvl w:val="0"/>
          <w:numId w:val="2"/>
        </w:numPr>
        <w:spacing w:line="600" w:lineRule="exact"/>
        <w:ind w:firstLine="640"/>
        <w:outlineLvl w:val="1"/>
        <w:rPr>
          <w:rStyle w:val="185"/>
          <w:rFonts w:ascii="黑体" w:eastAsia="黑体"/>
          <w:b w:val="0"/>
        </w:rPr>
      </w:pPr>
      <w:bookmarkStart w:id="40" w:name="_Toc15377219"/>
      <w:bookmarkStart w:id="41" w:name="_Toc15396611"/>
      <w:r>
        <w:rPr>
          <w:rStyle w:val="185"/>
          <w:rFonts w:hint="eastAsia" w:ascii="黑体" w:eastAsia="黑体"/>
          <w:b w:val="0"/>
        </w:rPr>
        <w:t>国有资本经营预算支出决算情况说明</w:t>
      </w:r>
      <w:bookmarkEnd w:id="40"/>
      <w:bookmarkEnd w:id="41"/>
    </w:p>
    <w:p w14:paraId="4AB60F3B">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14:paraId="171DC7D2">
      <w:pPr>
        <w:spacing w:line="580" w:lineRule="exact"/>
        <w:jc w:val="center"/>
        <w:rPr>
          <w:rFonts w:ascii="方正小标宋简体" w:eastAsia="方正小标宋简体" w:cs="方正小标宋简体"/>
          <w:sz w:val="44"/>
          <w:szCs w:val="44"/>
        </w:rPr>
      </w:pPr>
    </w:p>
    <w:p w14:paraId="1E94AB8B">
      <w:pPr>
        <w:numPr>
          <w:ilvl w:val="0"/>
          <w:numId w:val="2"/>
        </w:numPr>
        <w:spacing w:line="600" w:lineRule="exact"/>
        <w:ind w:firstLine="640"/>
        <w:outlineLvl w:val="1"/>
        <w:rPr>
          <w:rStyle w:val="185"/>
          <w:rFonts w:ascii="黑体" w:eastAsia="黑体"/>
          <w:b w:val="0"/>
        </w:rPr>
      </w:pPr>
      <w:bookmarkStart w:id="42" w:name="_Toc15396612"/>
      <w:bookmarkStart w:id="43" w:name="_Toc15377221"/>
      <w:r>
        <w:rPr>
          <w:rStyle w:val="185"/>
          <w:rFonts w:hint="eastAsia" w:ascii="黑体" w:eastAsia="黑体"/>
          <w:b w:val="0"/>
        </w:rPr>
        <w:t>其他重要事项的情况说明</w:t>
      </w:r>
      <w:bookmarkEnd w:id="42"/>
      <w:bookmarkEnd w:id="43"/>
    </w:p>
    <w:p w14:paraId="431DAABB">
      <w:pPr>
        <w:spacing w:line="600" w:lineRule="exact"/>
        <w:ind w:firstLine="643"/>
        <w:outlineLvl w:val="2"/>
        <w:rPr>
          <w:rFonts w:ascii="仿宋" w:eastAsia="仿宋"/>
          <w:sz w:val="32"/>
          <w:szCs w:val="32"/>
        </w:rPr>
      </w:pPr>
      <w:bookmarkStart w:id="44" w:name="_Toc15377222"/>
      <w:r>
        <w:rPr>
          <w:rFonts w:hint="eastAsia" w:ascii="仿宋" w:eastAsia="仿宋"/>
          <w:b/>
          <w:sz w:val="32"/>
          <w:szCs w:val="32"/>
        </w:rPr>
        <w:t>（一）机关运行经费支出情况</w:t>
      </w:r>
      <w:bookmarkEnd w:id="44"/>
    </w:p>
    <w:p w14:paraId="6D39A1BD">
      <w:pPr>
        <w:pageBreakBefore w:val="0"/>
        <w:spacing w:line="576" w:lineRule="exact"/>
        <w:ind w:firstLine="64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年</w:t>
      </w:r>
      <w:r>
        <w:rPr>
          <w:rFonts w:hint="eastAsia" w:ascii="仿宋_GB2312" w:eastAsia="仿宋_GB2312"/>
          <w:color w:val="000000"/>
          <w:sz w:val="32"/>
          <w:szCs w:val="32"/>
        </w:rPr>
        <w:t>，</w:t>
      </w:r>
      <w:r>
        <w:rPr>
          <w:rFonts w:hint="eastAsia" w:ascii="仿宋_GB2312" w:eastAsia="仿宋_GB2312"/>
          <w:sz w:val="32"/>
          <w:szCs w:val="32"/>
          <w:shd w:val="clear" w:color="auto" w:fill="FFFFFF"/>
          <w:lang w:val="en-US" w:eastAsia="zh-CN"/>
        </w:rPr>
        <w:t>九寨沟县林业和草原旅游发展中心</w:t>
      </w:r>
      <w:r>
        <w:rPr>
          <w:rFonts w:hint="eastAsia" w:ascii="仿宋_GB2312" w:eastAsia="仿宋_GB2312"/>
          <w:color w:val="000000"/>
          <w:sz w:val="32"/>
          <w:szCs w:val="32"/>
        </w:rPr>
        <w:t>机关运行经费支出0万元，比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（或与</w:t>
      </w:r>
      <w:r>
        <w:rPr>
          <w:rFonts w:hint="eastAsia" w:ascii="仿宋_GB2312" w:eastAsia="仿宋_GB2312"/>
          <w:color w:val="000000"/>
          <w:sz w:val="32"/>
          <w:szCs w:val="32"/>
          <w:lang w:eastAsia="zh-CN"/>
        </w:rPr>
        <w:t>2020年</w:t>
      </w:r>
      <w:r>
        <w:rPr>
          <w:rFonts w:hint="eastAsia" w:ascii="仿宋_GB2312" w:eastAsia="仿宋_GB2312"/>
          <w:color w:val="000000"/>
          <w:sz w:val="32"/>
          <w:szCs w:val="32"/>
        </w:rPr>
        <w:t>决算数持平）。</w:t>
      </w:r>
    </w:p>
    <w:p w14:paraId="14E20477">
      <w:pPr>
        <w:spacing w:line="600" w:lineRule="exact"/>
        <w:ind w:firstLine="643"/>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14:paraId="2119DFE0">
      <w:pPr>
        <w:spacing w:line="600" w:lineRule="exact"/>
        <w:ind w:firstLine="643"/>
        <w:jc w:val="left"/>
        <w:outlineLvl w:val="2"/>
        <w:rPr>
          <w:rFonts w:ascii="仿宋" w:eastAsia="仿宋"/>
          <w:b/>
          <w:sz w:val="32"/>
          <w:szCs w:val="32"/>
        </w:rPr>
      </w:pPr>
      <w:bookmarkStart w:id="45" w:name="_Toc15377223"/>
      <w:r>
        <w:rPr>
          <w:rFonts w:hint="eastAsia" w:ascii="仿宋" w:eastAsia="仿宋"/>
          <w:b/>
          <w:sz w:val="32"/>
          <w:szCs w:val="32"/>
        </w:rPr>
        <w:t>（二）政府采购支出情况</w:t>
      </w:r>
      <w:bookmarkEnd w:id="45"/>
    </w:p>
    <w:p w14:paraId="65B8E3E7">
      <w:pPr>
        <w:pageBreakBefore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年</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108.62</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108.62</w:t>
      </w:r>
      <w:r>
        <w:rPr>
          <w:rFonts w:hint="eastAsia" w:ascii="仿宋_GB2312" w:eastAsia="仿宋_GB2312"/>
          <w:color w:val="000000"/>
          <w:sz w:val="32"/>
          <w:szCs w:val="32"/>
        </w:rPr>
        <w:t>万元、政府采购工程支出0万元、政府采购服务支出0万元。授予中小企业合同金额</w:t>
      </w:r>
      <w:r>
        <w:rPr>
          <w:rFonts w:hint="eastAsia" w:ascii="仿宋_GB2312" w:eastAsia="仿宋_GB2312"/>
          <w:color w:val="000000"/>
          <w:sz w:val="32"/>
          <w:szCs w:val="32"/>
          <w:lang w:val="en-US" w:eastAsia="zh-CN"/>
        </w:rPr>
        <w:t>108.62</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42C44FBE">
      <w:pPr>
        <w:spacing w:line="600" w:lineRule="exact"/>
        <w:ind w:firstLine="643"/>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14:paraId="65260A85">
      <w:pPr>
        <w:spacing w:line="600" w:lineRule="exact"/>
        <w:ind w:firstLine="643"/>
        <w:jc w:val="left"/>
        <w:outlineLvl w:val="2"/>
        <w:rPr>
          <w:rFonts w:ascii="仿宋" w:eastAsia="仿宋"/>
          <w:b/>
          <w:sz w:val="32"/>
          <w:szCs w:val="32"/>
        </w:rPr>
      </w:pPr>
      <w:bookmarkStart w:id="46" w:name="_Toc15377224"/>
      <w:r>
        <w:rPr>
          <w:rFonts w:hint="eastAsia" w:ascii="仿宋" w:eastAsia="仿宋"/>
          <w:b/>
          <w:sz w:val="32"/>
          <w:szCs w:val="32"/>
        </w:rPr>
        <w:t>（三）国有资产占有使用情况</w:t>
      </w:r>
      <w:bookmarkEnd w:id="46"/>
    </w:p>
    <w:p w14:paraId="2C10AA4F">
      <w:pPr>
        <w:pageBreakBefore w:val="0"/>
        <w:spacing w:line="576" w:lineRule="exact"/>
        <w:ind w:firstLine="640"/>
        <w:jc w:val="left"/>
        <w:rPr>
          <w:rFonts w:ascii="仿宋_GB2312" w:eastAsia="仿宋_GB2312"/>
          <w:color w:val="000000"/>
          <w:sz w:val="32"/>
          <w:szCs w:val="32"/>
        </w:rPr>
      </w:pPr>
      <w:r>
        <w:rPr>
          <w:rFonts w:hint="eastAsia" w:ascii="仿宋_GB2312" w:eastAsia="仿宋_GB2312"/>
          <w:color w:val="000000"/>
          <w:sz w:val="32"/>
          <w:szCs w:val="32"/>
        </w:rPr>
        <w:t>截至</w:t>
      </w:r>
      <w:r>
        <w:rPr>
          <w:rFonts w:hint="eastAsia" w:ascii="仿宋_GB2312" w:eastAsia="仿宋_GB2312"/>
          <w:color w:val="000000"/>
          <w:sz w:val="32"/>
          <w:szCs w:val="32"/>
          <w:lang w:eastAsia="zh-CN"/>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lang w:eastAsia="zh-CN"/>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辆，其中：部级领导干部用车0辆、一般公务用车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辆、一般执法执勤用车0辆、特种专业技术用车0辆、其他用车0辆，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14:paraId="1A701C13">
      <w:pPr>
        <w:spacing w:line="600" w:lineRule="exact"/>
        <w:ind w:firstLine="643"/>
        <w:jc w:val="left"/>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表，按部门决算报表填报数据罗列车辆情况。）</w:t>
      </w:r>
    </w:p>
    <w:p w14:paraId="19EF5F62">
      <w:pPr>
        <w:pStyle w:val="2"/>
        <w:numPr>
          <w:ilvl w:val="0"/>
          <w:numId w:val="3"/>
        </w:numPr>
        <w:rPr>
          <w:rFonts w:hint="eastAsia" w:ascii="仿宋" w:eastAsia="仿宋"/>
          <w:b/>
          <w:sz w:val="32"/>
          <w:szCs w:val="32"/>
        </w:rPr>
      </w:pPr>
      <w:r>
        <w:rPr>
          <w:rFonts w:hint="eastAsia" w:ascii="仿宋" w:eastAsia="仿宋"/>
          <w:b/>
          <w:sz w:val="32"/>
          <w:szCs w:val="32"/>
        </w:rPr>
        <w:t>预算绩效管理情况</w:t>
      </w:r>
    </w:p>
    <w:p w14:paraId="3EF97FCC">
      <w:pPr>
        <w:pStyle w:val="2"/>
        <w:numPr>
          <w:ilvl w:val="0"/>
          <w:numId w:val="0"/>
        </w:numPr>
        <w:ind w:firstLine="64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b w:val="0"/>
          <w:bCs w:val="0"/>
          <w:color w:val="auto"/>
          <w:sz w:val="32"/>
          <w:szCs w:val="32"/>
          <w:highlight w:val="none"/>
          <w:lang w:val="en-US" w:eastAsia="zh-CN" w:bidi="ar-SA"/>
        </w:rPr>
        <w:t>整体绩效目标</w:t>
      </w:r>
      <w:r>
        <w:rPr>
          <w:rFonts w:hint="eastAsia" w:ascii="仿宋_GB2312" w:hAnsi="仿宋_GB2312" w:eastAsia="仿宋_GB2312" w:cs="仿宋_GB2312"/>
          <w:sz w:val="32"/>
          <w:szCs w:val="32"/>
          <w:lang w:val="en-US" w:eastAsia="zh-CN"/>
        </w:rPr>
        <w:t>进行了预算</w:t>
      </w:r>
      <w:r>
        <w:rPr>
          <w:rFonts w:hint="eastAsia" w:ascii="仿宋_GB2312" w:hAnsi="仿宋_GB2312" w:eastAsia="仿宋_GB2312" w:cs="仿宋_GB2312"/>
          <w:sz w:val="32"/>
          <w:szCs w:val="32"/>
        </w:rPr>
        <w:t>事前绩效评估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评估如下</w:t>
      </w:r>
      <w:r>
        <w:rPr>
          <w:rFonts w:hint="eastAsia" w:ascii="仿宋_GB2312" w:hAnsi="仿宋_GB2312" w:eastAsia="仿宋_GB2312" w:cs="仿宋_GB2312"/>
          <w:sz w:val="32"/>
          <w:szCs w:val="32"/>
          <w:lang w:eastAsia="zh-CN"/>
        </w:rPr>
        <w:t>：</w:t>
      </w:r>
    </w:p>
    <w:p w14:paraId="0CA92BDB">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1.目标数量指标：2021年</w:t>
      </w:r>
      <w:r>
        <w:rPr>
          <w:rFonts w:hint="eastAsia" w:ascii="仿宋_GB2312" w:eastAsia="仿宋_GB2312"/>
          <w:sz w:val="32"/>
          <w:szCs w:val="32"/>
          <w:shd w:val="clear" w:color="auto" w:fill="FFFFFF"/>
          <w:lang w:val="en-US" w:eastAsia="zh-CN"/>
        </w:rPr>
        <w:t>九寨沟县林业和草原旅游发展中心</w:t>
      </w:r>
      <w:r>
        <w:rPr>
          <w:rFonts w:hint="eastAsia" w:ascii="仿宋_GB2312" w:eastAsia="仿宋_GB2312" w:cs="仿宋"/>
          <w:color w:val="auto"/>
          <w:sz w:val="32"/>
          <w:szCs w:val="32"/>
          <w:highlight w:val="none"/>
          <w:lang w:val="en-US" w:eastAsia="zh-CN" w:bidi="ar-SA"/>
        </w:rPr>
        <w:t>整体绩效目标数量指标主要任务共八项。</w:t>
      </w:r>
    </w:p>
    <w:p w14:paraId="4F59D362">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2.质量指标：2021年人员经费和日常公用经费保质保量完成。</w:t>
      </w:r>
    </w:p>
    <w:p w14:paraId="77F6DBFF">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3.时效指标：2021年预算支出完成100%。各项工作任务正常结办，争取每月十号前将职工医疗保险、养老保险、工伤保险、失业保险单位缴纳部分按时足额支付到单位基本户，及时与地税局联系扣款；</w:t>
      </w:r>
    </w:p>
    <w:p w14:paraId="78F1FB7C">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4.成本指标：各项目标任务在部门运行最低成本中完成。</w:t>
      </w:r>
    </w:p>
    <w:p w14:paraId="364AD6E1">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5.经济效益：完成年初预算目标任务。</w:t>
      </w:r>
    </w:p>
    <w:p w14:paraId="12E9AC93">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6.社会效益。促进地方经济发展，提高人民生活水平。</w:t>
      </w:r>
    </w:p>
    <w:p w14:paraId="1C83068C">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7.可持续影响。促进各项工作可持续发展</w:t>
      </w:r>
    </w:p>
    <w:p w14:paraId="4BCE3CEE">
      <w:pPr>
        <w:outlineLvl w:val="0"/>
        <w:rPr>
          <w:rFonts w:hint="eastAsia" w:ascii="仿宋_GB2312" w:eastAsia="仿宋_GB2312" w:cs="仿宋"/>
          <w:color w:val="auto"/>
          <w:sz w:val="32"/>
          <w:szCs w:val="32"/>
          <w:highlight w:val="none"/>
          <w:lang w:val="en-US" w:eastAsia="zh-CN" w:bidi="ar-SA"/>
        </w:rPr>
      </w:pPr>
      <w:r>
        <w:rPr>
          <w:rFonts w:hint="eastAsia" w:ascii="仿宋_GB2312" w:eastAsia="仿宋_GB2312" w:cs="仿宋"/>
          <w:color w:val="auto"/>
          <w:sz w:val="32"/>
          <w:szCs w:val="32"/>
          <w:highlight w:val="none"/>
          <w:lang w:val="en-US" w:eastAsia="zh-CN" w:bidi="ar-SA"/>
        </w:rPr>
        <w:t>8.满意度指标：人民群众满意度达到100%按照预算整体绩效目标主要任务，我们将及时按时按量完成。</w:t>
      </w:r>
    </w:p>
    <w:p w14:paraId="6941B78D">
      <w:pPr>
        <w:ind w:firstLine="640"/>
        <w:outlineLvl w:val="0"/>
        <w:rPr>
          <w:rFonts w:hint="eastAsia" w:ascii="仿宋_GB2312" w:eastAsia="仿宋_GB2312"/>
          <w:sz w:val="32"/>
          <w:szCs w:val="32"/>
        </w:rPr>
      </w:pPr>
      <w:r>
        <w:rPr>
          <w:rFonts w:hint="eastAsia" w:ascii="仿宋_GB2312" w:eastAsia="仿宋_GB2312" w:cs="仿宋"/>
          <w:color w:val="auto"/>
          <w:sz w:val="32"/>
          <w:szCs w:val="32"/>
          <w:highlight w:val="none"/>
          <w:lang w:val="en-US" w:eastAsia="zh-CN" w:bidi="ar-SA"/>
        </w:rPr>
        <w:t>我中心将长期持续不断完善资金管理和使用。</w:t>
      </w:r>
      <w:r>
        <w:rPr>
          <w:rFonts w:hint="eastAsia" w:ascii="仿宋_GB2312" w:eastAsia="仿宋_GB2312"/>
          <w:sz w:val="32"/>
          <w:szCs w:val="32"/>
        </w:rPr>
        <w:t>严格按照《</w:t>
      </w:r>
      <w:r>
        <w:rPr>
          <w:rFonts w:hint="eastAsia" w:ascii="仿宋_GB2312" w:eastAsia="仿宋_GB2312"/>
          <w:sz w:val="32"/>
          <w:szCs w:val="32"/>
          <w:lang w:eastAsia="zh-CN"/>
        </w:rPr>
        <w:t>中华人民共和国会计法</w:t>
      </w:r>
      <w:r>
        <w:rPr>
          <w:rFonts w:hint="eastAsia" w:ascii="仿宋_GB2312" w:eastAsia="仿宋_GB2312"/>
          <w:sz w:val="32"/>
          <w:szCs w:val="32"/>
        </w:rPr>
        <w:t>》和</w:t>
      </w:r>
      <w:r>
        <w:rPr>
          <w:rFonts w:hint="eastAsia" w:ascii="仿宋_GB2312" w:eastAsia="仿宋_GB2312"/>
          <w:sz w:val="32"/>
          <w:szCs w:val="32"/>
          <w:lang w:eastAsia="zh-CN"/>
        </w:rPr>
        <w:t>相关</w:t>
      </w:r>
      <w:r>
        <w:rPr>
          <w:rFonts w:hint="eastAsia" w:ascii="仿宋_GB2312" w:eastAsia="仿宋_GB2312"/>
          <w:sz w:val="32"/>
          <w:szCs w:val="32"/>
        </w:rPr>
        <w:t>法律法规的要求，设立账簿和会计核算科目</w:t>
      </w:r>
      <w:r>
        <w:rPr>
          <w:rFonts w:hint="eastAsia" w:ascii="仿宋_GB2312" w:eastAsia="仿宋_GB2312"/>
          <w:sz w:val="32"/>
          <w:szCs w:val="32"/>
          <w:lang w:eastAsia="zh-CN"/>
        </w:rPr>
        <w:t>。</w:t>
      </w:r>
      <w:r>
        <w:rPr>
          <w:rFonts w:hint="eastAsia" w:ascii="仿宋_GB2312" w:eastAsia="仿宋_GB2312"/>
          <w:sz w:val="32"/>
          <w:szCs w:val="32"/>
        </w:rPr>
        <w:t>对专项资金坚持“专款专用，</w:t>
      </w:r>
      <w:r>
        <w:rPr>
          <w:rFonts w:hint="eastAsia" w:ascii="仿宋_GB2312" w:eastAsia="仿宋_GB2312"/>
          <w:sz w:val="32"/>
          <w:szCs w:val="32"/>
          <w:lang w:eastAsia="zh-CN"/>
        </w:rPr>
        <w:t>绝不</w:t>
      </w:r>
      <w:r>
        <w:rPr>
          <w:rFonts w:hint="eastAsia" w:ascii="仿宋_GB2312" w:eastAsia="仿宋_GB2312"/>
          <w:sz w:val="32"/>
          <w:szCs w:val="32"/>
        </w:rPr>
        <w:t>挪用，及时足额”的原则，在工作中严格按照专项资金的要求，绝无随意分配、切实做好资金的管理、使用工作。</w:t>
      </w:r>
    </w:p>
    <w:p w14:paraId="15E1487F">
      <w:pPr>
        <w:pageBreakBefore w:val="0"/>
        <w:numPr>
          <w:ilvl w:val="0"/>
          <w:numId w:val="4"/>
        </w:numPr>
        <w:spacing w:line="576" w:lineRule="exact"/>
        <w:ind w:firstLine="643"/>
        <w:rPr>
          <w:rFonts w:ascii="仿宋_GB2312" w:hAnsi="仿宋_GB2312" w:eastAsia="仿宋_GB2312" w:cs="仿宋_GB2312"/>
          <w:sz w:val="32"/>
          <w:szCs w:val="32"/>
        </w:rPr>
      </w:pPr>
      <w:r>
        <w:rPr>
          <w:rFonts w:hint="eastAsia" w:ascii="仿宋" w:hAnsi="仿宋" w:eastAsia="仿宋" w:cs="楷体_GB2312"/>
          <w:b/>
          <w:bCs/>
          <w:sz w:val="32"/>
          <w:szCs w:val="32"/>
        </w:rPr>
        <w:t>项目绩效目标完成情况。</w:t>
      </w:r>
    </w:p>
    <w:p w14:paraId="694EBCB2">
      <w:pPr>
        <w:pageBreakBefore w:val="0"/>
        <w:numPr>
          <w:ilvl w:val="0"/>
          <w:numId w:val="0"/>
        </w:numPr>
        <w:spacing w:line="576" w:lineRule="exact"/>
        <w:ind w:firstLine="640"/>
        <w:rPr>
          <w:rFonts w:hint="eastAsia" w:eastAsia="仿宋_GB2312"/>
          <w:sz w:val="32"/>
          <w:szCs w:val="32"/>
        </w:rPr>
      </w:pPr>
      <w:r>
        <w:rPr>
          <w:rFonts w:hint="eastAsia" w:ascii="仿宋_GB2312" w:eastAsia="仿宋_GB2312"/>
          <w:sz w:val="32"/>
          <w:szCs w:val="32"/>
          <w:shd w:val="clear" w:color="auto" w:fill="FFFFFF"/>
          <w:lang w:val="en-US" w:eastAsia="zh-CN"/>
        </w:rPr>
        <w:t>九寨沟县林业和草原旅游发展中心</w:t>
      </w:r>
      <w:r>
        <w:rPr>
          <w:rFonts w:hint="eastAsia" w:ascii="仿宋_GB2312" w:eastAsia="仿宋_GB2312" w:cs="仿宋"/>
          <w:color w:val="auto"/>
          <w:sz w:val="32"/>
          <w:szCs w:val="32"/>
          <w:highlight w:val="none"/>
          <w:lang w:val="en-US" w:eastAsia="zh-CN" w:bidi="ar-SA"/>
        </w:rPr>
        <w:t>整体绩效目标</w:t>
      </w:r>
      <w:r>
        <w:rPr>
          <w:rFonts w:hint="eastAsia" w:ascii="仿宋_GB2312" w:hAnsi="仿宋_GB2312" w:eastAsia="仿宋_GB2312" w:cs="仿宋_GB2312"/>
          <w:sz w:val="32"/>
          <w:szCs w:val="32"/>
        </w:rPr>
        <w:t>完成情况综述。项目累计预算数</w:t>
      </w:r>
      <w:r>
        <w:rPr>
          <w:rFonts w:hint="eastAsia" w:ascii="仿宋_GB2312" w:hAnsi="仿宋_GB2312" w:eastAsia="仿宋_GB2312" w:cs="仿宋_GB2312"/>
          <w:sz w:val="32"/>
          <w:szCs w:val="32"/>
          <w:lang w:val="en-US" w:eastAsia="zh-CN"/>
        </w:rPr>
        <w:t>2334.91</w:t>
      </w:r>
      <w:r>
        <w:rPr>
          <w:rFonts w:hint="eastAsia" w:ascii="仿宋_GB2312" w:hAnsi="仿宋_GB2312" w:eastAsia="仿宋_GB2312" w:cs="仿宋_GB2312"/>
          <w:sz w:val="32"/>
          <w:szCs w:val="32"/>
        </w:rPr>
        <w:t>万元，累计执行数为</w:t>
      </w:r>
      <w:r>
        <w:rPr>
          <w:rFonts w:hint="eastAsia" w:ascii="仿宋_GB2312" w:hAnsi="仿宋_GB2312" w:eastAsia="仿宋_GB2312" w:cs="仿宋_GB2312"/>
          <w:sz w:val="32"/>
          <w:szCs w:val="32"/>
          <w:lang w:val="en-US" w:eastAsia="zh-CN"/>
        </w:rPr>
        <w:t>2334.91</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bCs/>
          <w:sz w:val="32"/>
          <w:szCs w:val="32"/>
        </w:rPr>
        <w:t>强化管理，较好</w:t>
      </w:r>
      <w:r>
        <w:rPr>
          <w:rFonts w:hint="eastAsia" w:ascii="仿宋_GB2312" w:hAnsi="仿宋_GB2312" w:eastAsia="仿宋_GB2312" w:cs="仿宋_GB2312"/>
          <w:bCs/>
          <w:sz w:val="32"/>
          <w:szCs w:val="32"/>
          <w:lang w:eastAsia="zh-CN"/>
        </w:rPr>
        <w:t>地</w:t>
      </w:r>
      <w:r>
        <w:rPr>
          <w:rFonts w:hint="eastAsia" w:ascii="仿宋_GB2312" w:hAnsi="仿宋_GB2312" w:eastAsia="仿宋_GB2312" w:cs="仿宋_GB2312"/>
          <w:bCs/>
          <w:sz w:val="32"/>
          <w:szCs w:val="32"/>
        </w:rPr>
        <w:t>完成了年度工作目标。通过加强预算收支管理，不断建立健全内部管理制度，梳理内部管理流程，部门整体支出管理水平得到提升。根据部门整体支出绩效评价指标体系，各项工作有序开展，社会和谐稳定。</w:t>
      </w:r>
      <w:r>
        <w:rPr>
          <w:rFonts w:hint="eastAsia" w:ascii="仿宋_GB2312" w:hAnsi="仿宋_GB2312" w:eastAsia="仿宋_GB2312" w:cs="仿宋_GB2312"/>
          <w:sz w:val="32"/>
          <w:szCs w:val="32"/>
        </w:rPr>
        <w:t>发现的主要问题：无。下一步改进措施：无</w:t>
      </w:r>
      <w:r>
        <w:rPr>
          <w:rFonts w:hint="eastAsia" w:ascii="仿宋_GB2312" w:hAnsi="仿宋_GB2312" w:eastAsia="仿宋_GB2312" w:cs="仿宋_GB2312"/>
          <w:sz w:val="32"/>
          <w:szCs w:val="32"/>
          <w:lang w:eastAsia="zh-CN"/>
        </w:rPr>
        <w:t>。</w:t>
      </w:r>
    </w:p>
    <w:p w14:paraId="673BFB27">
      <w:pPr>
        <w:pStyle w:val="2"/>
        <w:ind w:left="0" w:firstLine="0"/>
        <w:rPr>
          <w:rFonts w:ascii="仿宋_GB2312" w:hAnsi="仿宋_GB2312" w:eastAsia="仿宋_GB2312" w:cs="仿宋_GB2312"/>
          <w:sz w:val="32"/>
          <w:szCs w:val="32"/>
        </w:rPr>
      </w:pPr>
    </w:p>
    <w:p w14:paraId="6AE64698">
      <w:pPr>
        <w:pStyle w:val="2"/>
        <w:rPr>
          <w:rFonts w:ascii="仿宋_GB2312" w:hAnsi="仿宋_GB2312" w:eastAsia="仿宋_GB2312" w:cs="仿宋_GB2312"/>
          <w:sz w:val="32"/>
          <w:szCs w:val="32"/>
        </w:rPr>
      </w:pPr>
    </w:p>
    <w:p w14:paraId="3CB7B758">
      <w:pPr>
        <w:pStyle w:val="2"/>
        <w:rPr>
          <w:rFonts w:ascii="仿宋_GB2312" w:hAnsi="仿宋_GB2312" w:eastAsia="仿宋_GB2312" w:cs="仿宋_GB2312"/>
          <w:sz w:val="32"/>
          <w:szCs w:val="32"/>
        </w:rPr>
      </w:pPr>
    </w:p>
    <w:tbl>
      <w:tblPr>
        <w:tblStyle w:val="32"/>
        <w:tblpPr w:leftFromText="180" w:rightFromText="180" w:vertAnchor="text" w:horzAnchor="page" w:tblpXSpec="center" w:tblpY="423"/>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14:paraId="773E44BA">
        <w:tblPrEx>
          <w:tblCellMar>
            <w:top w:w="0" w:type="dxa"/>
            <w:left w:w="0" w:type="dxa"/>
            <w:bottom w:w="0" w:type="dxa"/>
            <w:right w:w="0" w:type="dxa"/>
          </w:tblCellMar>
        </w:tblPrEx>
        <w:trPr>
          <w:trHeight w:val="1034" w:hRule="atLeast"/>
        </w:trPr>
        <w:tc>
          <w:tcPr>
            <w:tcW w:w="9960" w:type="dxa"/>
            <w:gridSpan w:val="6"/>
            <w:noWrap w:val="0"/>
            <w:tcMar>
              <w:top w:w="15" w:type="dxa"/>
              <w:left w:w="15" w:type="dxa"/>
              <w:bottom w:w="0" w:type="dxa"/>
              <w:right w:w="15" w:type="dxa"/>
            </w:tcMar>
            <w:vAlign w:val="center"/>
          </w:tcPr>
          <w:p w14:paraId="06D1D4C7">
            <w:pPr>
              <w:pStyle w:val="190"/>
              <w:pageBreakBefore w:val="0"/>
              <w:widowControl/>
              <w:spacing w:line="576" w:lineRule="exact"/>
              <w:ind w:left="4173" w:hanging="1422"/>
              <w:rPr>
                <w:rFonts w:ascii="宋体" w:hAnsi="宋体" w:cs="宋体"/>
                <w:color w:val="000000"/>
                <w:sz w:val="36"/>
                <w:szCs w:val="36"/>
              </w:rPr>
            </w:pPr>
            <w:r>
              <w:rPr>
                <w:rFonts w:hint="eastAsia" w:ascii="黑体" w:hAnsi="黑体" w:eastAsia="黑体" w:cs="宋体"/>
                <w:bCs/>
                <w:color w:val="000000"/>
                <w:sz w:val="36"/>
                <w:szCs w:val="36"/>
                <w:lang w:bidi="ar"/>
              </w:rPr>
              <w:t>项目支出绩效目标完成情况表</w:t>
            </w:r>
            <w:r>
              <w:rPr>
                <w:rFonts w:hint="eastAsia" w:ascii="宋体" w:hAnsi="宋体" w:cs="宋体"/>
                <w:b/>
                <w:bCs/>
                <w:color w:val="000000"/>
                <w:sz w:val="36"/>
                <w:szCs w:val="36"/>
                <w:lang w:bidi="ar"/>
              </w:rPr>
              <w:br w:type="textWrapping"/>
            </w:r>
            <w:r>
              <w:rPr>
                <w:rFonts w:hint="eastAsia" w:ascii="宋体" w:hAnsi="宋体" w:cs="宋体"/>
                <w:color w:val="000000"/>
                <w:sz w:val="36"/>
                <w:szCs w:val="36"/>
                <w:lang w:bidi="ar"/>
              </w:rPr>
              <w:t>(20</w:t>
            </w:r>
            <w:r>
              <w:rPr>
                <w:rFonts w:hint="eastAsia" w:ascii="宋体" w:hAnsi="宋体" w:cs="宋体"/>
                <w:color w:val="000000"/>
                <w:sz w:val="36"/>
                <w:szCs w:val="36"/>
                <w:lang w:val="en-US" w:eastAsia="zh-CN" w:bidi="ar"/>
              </w:rPr>
              <w:t>21</w:t>
            </w:r>
            <w:r>
              <w:rPr>
                <w:rFonts w:hint="eastAsia" w:ascii="宋体" w:hAnsi="宋体" w:cs="宋体"/>
                <w:color w:val="000000"/>
                <w:sz w:val="36"/>
                <w:szCs w:val="36"/>
                <w:lang w:bidi="ar"/>
              </w:rPr>
              <w:t>年度</w:t>
            </w:r>
            <w:r>
              <w:rPr>
                <w:rFonts w:hint="eastAsia" w:ascii="宋体" w:hAnsi="宋体" w:cs="宋体"/>
                <w:color w:val="000000"/>
                <w:sz w:val="36"/>
                <w:szCs w:val="36"/>
                <w:lang w:eastAsia="zh-CN" w:bidi="ar"/>
              </w:rPr>
              <w:t>）</w:t>
            </w:r>
          </w:p>
        </w:tc>
      </w:tr>
      <w:tr w14:paraId="37AB51D4">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BD9009D">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4F4DD56">
            <w:pPr>
              <w:pageBreakBefore w:val="0"/>
              <w:widowControl/>
              <w:spacing w:line="576" w:lineRule="exact"/>
              <w:jc w:val="center"/>
              <w:rPr>
                <w:rFonts w:ascii="宋体" w:hAnsi="宋体" w:cs="宋体"/>
                <w:color w:val="000000"/>
                <w:sz w:val="24"/>
              </w:rPr>
            </w:pPr>
            <w:r>
              <w:rPr>
                <w:rFonts w:hint="eastAsia" w:ascii="仿宋_GB2312" w:eastAsia="仿宋_GB2312"/>
                <w:sz w:val="36"/>
                <w:szCs w:val="36"/>
                <w:shd w:val="clear" w:color="auto" w:fill="FFFFFF"/>
                <w:lang w:val="en-US" w:eastAsia="zh-CN"/>
              </w:rPr>
              <w:t>九寨沟县林业和草原生态旅游发展中心</w:t>
            </w:r>
            <w:r>
              <w:rPr>
                <w:rFonts w:hint="eastAsia" w:ascii="仿宋_GB2312" w:eastAsia="仿宋_GB2312" w:cs="仿宋"/>
                <w:color w:val="auto"/>
                <w:sz w:val="36"/>
                <w:szCs w:val="36"/>
                <w:highlight w:val="none"/>
                <w:lang w:val="en-US" w:eastAsia="zh-CN" w:bidi="ar-SA"/>
              </w:rPr>
              <w:t>整体绩效目标</w:t>
            </w:r>
          </w:p>
        </w:tc>
      </w:tr>
      <w:tr w14:paraId="245B6271">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BC236FF">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D305569">
            <w:pPr>
              <w:pageBreakBefore w:val="0"/>
              <w:widowControl/>
              <w:spacing w:line="576" w:lineRule="exact"/>
              <w:jc w:val="center"/>
              <w:rPr>
                <w:rFonts w:ascii="宋体" w:hAnsi="宋体" w:eastAsia="仿宋_GB2312" w:cs="宋体"/>
                <w:color w:val="000000"/>
                <w:sz w:val="24"/>
              </w:rPr>
            </w:pPr>
            <w:r>
              <w:rPr>
                <w:rFonts w:hint="eastAsia" w:ascii="仿宋_GB2312" w:eastAsia="仿宋_GB2312"/>
                <w:sz w:val="32"/>
                <w:szCs w:val="32"/>
                <w:shd w:val="clear" w:color="auto" w:fill="FFFFFF"/>
                <w:lang w:val="en-US" w:eastAsia="zh-CN"/>
              </w:rPr>
              <w:t>九寨沟县林业和草原生态旅游发展中心</w:t>
            </w:r>
          </w:p>
        </w:tc>
      </w:tr>
      <w:tr w14:paraId="61A469DA">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371E710">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预算执行情况</w:t>
            </w:r>
            <w:r>
              <w:rPr>
                <w:rFonts w:hint="eastAsia" w:ascii="宋体" w:hAnsi="宋体" w:cs="宋体"/>
                <w:color w:val="000000"/>
                <w:sz w:val="24"/>
                <w:lang w:eastAsia="zh-CN" w:bidi="ar"/>
              </w:rPr>
              <w:t>（</w:t>
            </w:r>
            <w:r>
              <w:rPr>
                <w:rFonts w:hint="eastAsia" w:ascii="宋体" w:hAnsi="宋体" w:cs="宋体"/>
                <w:color w:val="000000"/>
                <w:sz w:val="24"/>
                <w:lang w:bidi="ar"/>
              </w:rPr>
              <w:t>万元</w:t>
            </w:r>
            <w:r>
              <w:rPr>
                <w:rFonts w:hint="eastAsia" w:ascii="宋体" w:hAnsi="宋体" w:cs="宋体"/>
                <w:color w:val="000000"/>
                <w:sz w:val="24"/>
                <w:lang w:eastAsia="zh-CN" w:bidi="ar"/>
              </w:rPr>
              <w:t>）</w:t>
            </w: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D8227D0">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预算数</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735D070">
            <w:pPr>
              <w:pageBreakBefore w:val="0"/>
              <w:widowControl/>
              <w:spacing w:line="576" w:lineRule="exact"/>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2334.91</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42B5D61">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执行数</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354B4C3">
            <w:pPr>
              <w:pageBreakBefore w:val="0"/>
              <w:widowControl/>
              <w:spacing w:line="576" w:lineRule="exact"/>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2334.91</w:t>
            </w:r>
          </w:p>
        </w:tc>
      </w:tr>
      <w:tr w14:paraId="540C02E4">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4FF4C93">
            <w:pPr>
              <w:pageBreakBefore w:val="0"/>
              <w:widowControl/>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DC407AF">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其中</w:t>
            </w:r>
            <w:r>
              <w:rPr>
                <w:rFonts w:hint="eastAsia" w:ascii="宋体" w:hAnsi="宋体" w:cs="宋体"/>
                <w:color w:val="000000"/>
                <w:sz w:val="24"/>
                <w:lang w:eastAsia="zh-CN" w:bidi="ar"/>
              </w:rPr>
              <w:t>－</w:t>
            </w:r>
            <w:r>
              <w:rPr>
                <w:rFonts w:hint="eastAsia" w:ascii="宋体" w:hAnsi="宋体" w:cs="宋体"/>
                <w:color w:val="000000"/>
                <w:sz w:val="24"/>
                <w:lang w:bidi="ar"/>
              </w:rPr>
              <w:t>财政拨款</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271A4C9">
            <w:pPr>
              <w:pageBreakBefore w:val="0"/>
              <w:widowControl/>
              <w:spacing w:line="576" w:lineRule="exact"/>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2334.91</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DE1296B">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其中</w:t>
            </w:r>
            <w:r>
              <w:rPr>
                <w:rFonts w:hint="eastAsia" w:ascii="宋体" w:hAnsi="宋体" w:cs="宋体"/>
                <w:color w:val="000000"/>
                <w:sz w:val="24"/>
                <w:lang w:eastAsia="zh-CN" w:bidi="ar"/>
              </w:rPr>
              <w:t>－</w:t>
            </w:r>
            <w:r>
              <w:rPr>
                <w:rFonts w:hint="eastAsia" w:ascii="宋体" w:hAnsi="宋体" w:cs="宋体"/>
                <w:color w:val="000000"/>
                <w:sz w:val="24"/>
                <w:lang w:bidi="ar"/>
              </w:rPr>
              <w:t>财政拨款</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0D12658">
            <w:pPr>
              <w:pageBreakBefore w:val="0"/>
              <w:widowControl/>
              <w:spacing w:line="576" w:lineRule="exact"/>
              <w:jc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2334.91</w:t>
            </w:r>
          </w:p>
        </w:tc>
      </w:tr>
      <w:tr w14:paraId="4CD1A674">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77727E6">
            <w:pPr>
              <w:pageBreakBefore w:val="0"/>
              <w:widowControl/>
              <w:spacing w:line="576" w:lineRule="exact"/>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DFDF71D">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其它资金</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0096EA1">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0</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BA11C1A">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其它资金</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5A89F79">
            <w:pPr>
              <w:pageBreakBefore w:val="0"/>
              <w:spacing w:line="576" w:lineRule="exact"/>
              <w:jc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0</w:t>
            </w:r>
          </w:p>
        </w:tc>
      </w:tr>
      <w:tr w14:paraId="78B82224">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FFD30D7">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1ACF16D">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40F2DCC">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实际完成目标</w:t>
            </w:r>
          </w:p>
        </w:tc>
      </w:tr>
      <w:tr w14:paraId="0E39395B">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3B3BE40">
            <w:pPr>
              <w:pageBreakBefore w:val="0"/>
              <w:widowControl/>
              <w:spacing w:line="576" w:lineRule="exact"/>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311FA8B">
            <w:pPr>
              <w:pageBreakBefore w:val="0"/>
              <w:widowControl/>
              <w:spacing w:line="576" w:lineRule="exact"/>
              <w:jc w:val="center"/>
              <w:rPr>
                <w:rFonts w:hint="eastAsia" w:ascii="宋体" w:hAnsi="宋体" w:eastAsia="仿宋_GB2312" w:cs="宋体"/>
                <w:color w:val="000000"/>
                <w:sz w:val="24"/>
                <w:lang w:val="en-US" w:eastAsia="zh-CN"/>
              </w:rPr>
            </w:pPr>
            <w:r>
              <w:rPr>
                <w:rFonts w:hint="eastAsia" w:ascii="宋体" w:hAnsi="宋体" w:eastAsia="宋体" w:cs="宋体"/>
                <w:color w:val="333333"/>
                <w:sz w:val="24"/>
                <w:szCs w:val="24"/>
              </w:rPr>
              <w:t>保障单位日常运转</w:t>
            </w:r>
            <w:r>
              <w:rPr>
                <w:rFonts w:hint="eastAsia" w:ascii="宋体" w:hAnsi="宋体" w:eastAsia="宋体" w:cs="宋体"/>
                <w:color w:val="333333"/>
                <w:sz w:val="24"/>
                <w:szCs w:val="24"/>
                <w:lang w:val="en-US" w:eastAsia="zh-CN"/>
              </w:rPr>
              <w:t>顺畅</w:t>
            </w:r>
          </w:p>
        </w:tc>
        <w:tc>
          <w:tcPr>
            <w:tcW w:w="478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EAEA385">
            <w:pPr>
              <w:pageBreakBefore w:val="0"/>
              <w:widowControl/>
              <w:spacing w:line="576" w:lineRule="exact"/>
              <w:jc w:val="center"/>
              <w:rPr>
                <w:rFonts w:hint="eastAsia" w:ascii="宋体" w:hAnsi="宋体" w:eastAsia="宋体" w:cs="宋体"/>
                <w:color w:val="000000"/>
                <w:sz w:val="24"/>
                <w:lang w:eastAsia="zh-CN"/>
              </w:rPr>
            </w:pPr>
            <w:r>
              <w:rPr>
                <w:rFonts w:hint="eastAsia" w:ascii="宋体" w:hAnsi="宋体" w:cs="宋体"/>
                <w:sz w:val="24"/>
                <w:lang w:val="en-US" w:eastAsia="zh-CN"/>
              </w:rPr>
              <w:t>项目</w:t>
            </w:r>
            <w:r>
              <w:rPr>
                <w:rFonts w:hint="eastAsia" w:ascii="宋体" w:hAnsi="宋体" w:cs="宋体"/>
                <w:sz w:val="24"/>
              </w:rPr>
              <w:t>全面</w:t>
            </w:r>
            <w:r>
              <w:rPr>
                <w:rFonts w:hint="eastAsia" w:ascii="宋体" w:hAnsi="宋体" w:cs="宋体"/>
                <w:sz w:val="24"/>
                <w:lang w:val="en-US" w:eastAsia="zh-CN"/>
              </w:rPr>
              <w:t>完工</w:t>
            </w:r>
          </w:p>
        </w:tc>
      </w:tr>
      <w:tr w14:paraId="2197434D">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94CA6A0">
            <w:pPr>
              <w:pageBreakBefore w:val="0"/>
              <w:widowControl/>
              <w:spacing w:line="576" w:lineRule="exact"/>
              <w:jc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9B461D7">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一级指标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BC6665D">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二级指标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05BE0DE">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三级指标</w:t>
            </w: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944B026">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预期指标值</w:t>
            </w:r>
            <w:r>
              <w:rPr>
                <w:rFonts w:hint="eastAsia" w:ascii="宋体" w:hAnsi="宋体" w:cs="宋体"/>
                <w:color w:val="000000"/>
                <w:sz w:val="24"/>
                <w:lang w:eastAsia="zh-CN" w:bidi="ar"/>
              </w:rPr>
              <w:t>（</w:t>
            </w:r>
            <w:r>
              <w:rPr>
                <w:rFonts w:hint="eastAsia" w:ascii="宋体" w:hAnsi="宋体" w:cs="宋体"/>
                <w:color w:val="000000"/>
                <w:sz w:val="24"/>
                <w:lang w:bidi="ar"/>
              </w:rPr>
              <w:t>包含数字及文字描述</w:t>
            </w:r>
            <w:r>
              <w:rPr>
                <w:rFonts w:hint="eastAsia" w:ascii="宋体" w:hAnsi="宋体" w:cs="宋体"/>
                <w:color w:val="000000"/>
                <w:sz w:val="24"/>
                <w:lang w:eastAsia="zh-CN" w:bidi="ar"/>
              </w:rPr>
              <w:t>）</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4958E87">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实际完成指标值</w:t>
            </w:r>
            <w:r>
              <w:rPr>
                <w:rFonts w:hint="eastAsia" w:ascii="宋体" w:hAnsi="宋体" w:cs="宋体"/>
                <w:color w:val="000000"/>
                <w:sz w:val="24"/>
                <w:lang w:eastAsia="zh-CN" w:bidi="ar"/>
              </w:rPr>
              <w:t>（</w:t>
            </w:r>
            <w:r>
              <w:rPr>
                <w:rFonts w:hint="eastAsia" w:ascii="宋体" w:hAnsi="宋体" w:cs="宋体"/>
                <w:color w:val="000000"/>
                <w:sz w:val="24"/>
                <w:lang w:bidi="ar"/>
              </w:rPr>
              <w:t>包含数字及文字描述</w:t>
            </w:r>
            <w:r>
              <w:rPr>
                <w:rFonts w:hint="eastAsia" w:ascii="宋体" w:hAnsi="宋体" w:cs="宋体"/>
                <w:color w:val="000000"/>
                <w:sz w:val="24"/>
                <w:lang w:eastAsia="zh-CN" w:bidi="ar"/>
              </w:rPr>
              <w:t>）</w:t>
            </w:r>
          </w:p>
        </w:tc>
      </w:tr>
      <w:tr w14:paraId="42D616BA">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C983995">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E4AB3AF">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0FCD391">
            <w:pPr>
              <w:pageBreakBefore w:val="0"/>
              <w:widowControl/>
              <w:spacing w:line="576" w:lineRule="exact"/>
              <w:jc w:val="center"/>
              <w:rPr>
                <w:rFonts w:ascii="宋体" w:hAnsi="宋体" w:cs="宋体"/>
                <w:color w:val="000000"/>
                <w:sz w:val="24"/>
              </w:rPr>
            </w:pPr>
            <w:r>
              <w:rPr>
                <w:rFonts w:hint="eastAsia" w:eastAsia="仿宋_GB2312" w:cs="仿宋_GB2312"/>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8116821">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C90B633">
            <w:pPr>
              <w:pageBreakBefore w:val="0"/>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90E870E">
            <w:pPr>
              <w:pageBreakBefore w:val="0"/>
              <w:widowControl/>
              <w:spacing w:line="576" w:lineRule="exact"/>
              <w:jc w:val="center"/>
              <w:rPr>
                <w:rFonts w:ascii="宋体" w:hAnsi="宋体" w:cs="宋体"/>
                <w:color w:val="000000"/>
                <w:sz w:val="24"/>
              </w:rPr>
            </w:pPr>
          </w:p>
        </w:tc>
      </w:tr>
      <w:tr w14:paraId="4B1697F0">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05539B">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2903FDD">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3670B13">
            <w:pPr>
              <w:pageBreakBefore w:val="0"/>
              <w:widowControl/>
              <w:spacing w:line="576" w:lineRule="exact"/>
              <w:jc w:val="center"/>
              <w:rPr>
                <w:rFonts w:ascii="宋体" w:hAnsi="宋体" w:cs="宋体"/>
                <w:color w:val="000000"/>
                <w:sz w:val="24"/>
              </w:rPr>
            </w:pPr>
            <w:r>
              <w:rPr>
                <w:rFonts w:hint="eastAsia" w:eastAsia="仿宋_GB2312" w:cs="仿宋_GB2312"/>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4276258">
            <w:pPr>
              <w:pageBreakBefore w:val="0"/>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EF572D5">
            <w:pPr>
              <w:pageBreakBefore w:val="0"/>
              <w:spacing w:line="576" w:lineRule="exact"/>
              <w:jc w:val="center"/>
              <w:rPr>
                <w:rFonts w:hint="default" w:ascii="宋体" w:hAnsi="宋体" w:eastAsia="仿宋_GB2312" w:cs="宋体"/>
                <w:color w:val="000000"/>
                <w:sz w:val="24"/>
                <w:lang w:val="en-US" w:eastAsia="zh-CN"/>
              </w:rPr>
            </w:pPr>
            <w:r>
              <w:rPr>
                <w:rFonts w:hint="eastAsia" w:eastAsia="仿宋_GB2312" w:cs="仿宋_GB2312"/>
                <w:sz w:val="24"/>
              </w:rPr>
              <w:t>20</w:t>
            </w:r>
            <w:r>
              <w:rPr>
                <w:rFonts w:hint="eastAsia" w:eastAsia="仿宋_GB2312" w:cs="仿宋_GB2312"/>
                <w:sz w:val="24"/>
                <w:lang w:val="en-US" w:eastAsia="zh-CN"/>
              </w:rPr>
              <w:t>21.1</w:t>
            </w:r>
            <w:r>
              <w:rPr>
                <w:rFonts w:hint="eastAsia" w:eastAsia="仿宋_GB2312" w:cs="仿宋_GB2312"/>
                <w:sz w:val="24"/>
              </w:rPr>
              <w:t>-</w:t>
            </w:r>
            <w:r>
              <w:rPr>
                <w:rFonts w:eastAsia="仿宋_GB2312"/>
                <w:sz w:val="24"/>
              </w:rPr>
              <w:t xml:space="preserve"> </w:t>
            </w:r>
            <w:r>
              <w:rPr>
                <w:rFonts w:hint="eastAsia" w:eastAsia="仿宋_GB2312"/>
                <w:sz w:val="24"/>
              </w:rPr>
              <w:t>202</w:t>
            </w:r>
            <w:r>
              <w:rPr>
                <w:rFonts w:hint="eastAsia" w:eastAsia="仿宋_GB2312"/>
                <w:sz w:val="24"/>
                <w:lang w:val="en-US" w:eastAsia="zh-CN"/>
              </w:rPr>
              <w:t>1</w:t>
            </w:r>
            <w:r>
              <w:rPr>
                <w:rFonts w:hint="eastAsia" w:eastAsia="仿宋_GB2312"/>
                <w:sz w:val="24"/>
              </w:rPr>
              <w:t>.</w:t>
            </w:r>
            <w:r>
              <w:rPr>
                <w:rFonts w:hint="eastAsia" w:eastAsia="仿宋_GB2312"/>
                <w:sz w:val="24"/>
                <w:lang w:val="en-US" w:eastAsia="zh-CN"/>
              </w:rPr>
              <w:t>12</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6323F37">
            <w:pPr>
              <w:pageBreakBefore w:val="0"/>
              <w:spacing w:line="576" w:lineRule="exact"/>
              <w:jc w:val="center"/>
              <w:rPr>
                <w:rFonts w:ascii="宋体" w:hAnsi="宋体" w:cs="宋体"/>
                <w:color w:val="000000"/>
                <w:sz w:val="24"/>
              </w:rPr>
            </w:pPr>
            <w:r>
              <w:rPr>
                <w:rFonts w:hint="eastAsia" w:eastAsia="仿宋_GB2312"/>
                <w:sz w:val="24"/>
              </w:rPr>
              <w:t>按时完成</w:t>
            </w:r>
          </w:p>
        </w:tc>
      </w:tr>
      <w:tr w14:paraId="4D76FDE7">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05686E">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346A648">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49C1928">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607A9BC">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C15F106">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0A9318D">
            <w:pPr>
              <w:pageBreakBefore w:val="0"/>
              <w:widowControl/>
              <w:spacing w:line="576" w:lineRule="exact"/>
              <w:jc w:val="center"/>
              <w:rPr>
                <w:rFonts w:ascii="宋体" w:hAnsi="宋体" w:cs="宋体"/>
                <w:color w:val="000000"/>
                <w:sz w:val="24"/>
              </w:rPr>
            </w:pPr>
          </w:p>
        </w:tc>
      </w:tr>
      <w:tr w14:paraId="0870820B">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24EB982">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2300A31">
            <w:pPr>
              <w:pageBreakBefore w:val="0"/>
              <w:widowControl/>
              <w:spacing w:line="576" w:lineRule="exact"/>
              <w:jc w:val="center"/>
              <w:rPr>
                <w:rFonts w:ascii="宋体" w:hAnsi="宋体" w:cs="宋体"/>
                <w:color w:val="000000"/>
                <w:sz w:val="24"/>
                <w:lang w:bidi="ar"/>
              </w:rPr>
            </w:pPr>
            <w:r>
              <w:rPr>
                <w:rFonts w:hint="eastAsia" w:ascii="宋体" w:hAnsi="宋体" w:cs="宋体"/>
                <w:color w:val="00000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95C79FC">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1B6A51C">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75412D5">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550CD96">
            <w:pPr>
              <w:pageBreakBefore w:val="0"/>
              <w:widowControl/>
              <w:spacing w:line="576" w:lineRule="exact"/>
              <w:jc w:val="center"/>
              <w:rPr>
                <w:rFonts w:ascii="宋体" w:hAnsi="宋体" w:cs="宋体"/>
                <w:color w:val="000000"/>
                <w:sz w:val="24"/>
              </w:rPr>
            </w:pPr>
          </w:p>
        </w:tc>
      </w:tr>
      <w:tr w14:paraId="63DD557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77BBF7C">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4CCDB91">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11712D6">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AD26A3E">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1AACCCD">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C0841FD">
            <w:pPr>
              <w:pageBreakBefore w:val="0"/>
              <w:widowControl/>
              <w:spacing w:line="576" w:lineRule="exact"/>
              <w:jc w:val="center"/>
              <w:rPr>
                <w:rFonts w:ascii="宋体" w:hAnsi="宋体" w:cs="宋体"/>
                <w:color w:val="000000"/>
                <w:sz w:val="24"/>
              </w:rPr>
            </w:pPr>
          </w:p>
        </w:tc>
      </w:tr>
      <w:tr w14:paraId="4024D0B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080528">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22B9302">
            <w:pPr>
              <w:pageBreakBefore w:val="0"/>
              <w:widowControl/>
              <w:spacing w:line="576" w:lineRule="exact"/>
              <w:jc w:val="center"/>
              <w:rPr>
                <w:rFonts w:ascii="宋体" w:hAnsi="宋体" w:cs="宋体"/>
                <w:color w:val="000000"/>
                <w:sz w:val="24"/>
              </w:rPr>
            </w:pPr>
            <w:r>
              <w:rPr>
                <w:rFonts w:hint="eastAsia" w:ascii="宋体" w:hAnsi="宋体" w:cs="宋体"/>
                <w:color w:val="000000"/>
                <w:sz w:val="24"/>
              </w:rPr>
              <w:t>……</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80F45AC">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B734B96">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58574E9">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8A9F132">
            <w:pPr>
              <w:pageBreakBefore w:val="0"/>
              <w:widowControl/>
              <w:spacing w:line="576" w:lineRule="exact"/>
              <w:jc w:val="center"/>
              <w:rPr>
                <w:rFonts w:ascii="宋体" w:hAnsi="宋体" w:cs="宋体"/>
                <w:color w:val="000000"/>
                <w:sz w:val="24"/>
              </w:rPr>
            </w:pPr>
          </w:p>
        </w:tc>
      </w:tr>
      <w:tr w14:paraId="1BED191E">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DF5CA">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9CB1D53">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6EEBD6F2">
            <w:pPr>
              <w:pageBreakBefore w:val="0"/>
              <w:spacing w:line="576" w:lineRule="exact"/>
              <w:jc w:val="center"/>
              <w:rPr>
                <w:rFonts w:eastAsia="仿宋_GB2312"/>
                <w:sz w:val="24"/>
              </w:rPr>
            </w:pPr>
            <w:r>
              <w:rPr>
                <w:rFonts w:hint="eastAsia" w:eastAsia="仿宋_GB2312" w:cs="仿宋_GB2312"/>
                <w:sz w:val="24"/>
              </w:rPr>
              <w:t>经济效益</w:t>
            </w:r>
          </w:p>
          <w:p w14:paraId="57B206EE">
            <w:pPr>
              <w:pageBreakBefore w:val="0"/>
              <w:widowControl/>
              <w:spacing w:line="576" w:lineRule="exact"/>
              <w:jc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571C30B">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BA41E04">
            <w:pPr>
              <w:pageBreakBefore w:val="0"/>
              <w:widowControl/>
              <w:spacing w:line="576" w:lineRule="exact"/>
              <w:jc w:val="center"/>
              <w:rPr>
                <w:rFonts w:ascii="宋体" w:hAnsi="宋体" w:cs="宋体"/>
                <w:color w:val="000000"/>
                <w:sz w:val="24"/>
              </w:rPr>
            </w:pPr>
            <w:r>
              <w:rPr>
                <w:rFonts w:hint="eastAsia"/>
                <w:color w:val="7F7F7F"/>
              </w:rPr>
              <w:t>提高九寨沟县生态旅游竞争力、促进经济社会可持续发展</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6C115C3">
            <w:pPr>
              <w:pageBreakBefore w:val="0"/>
              <w:widowControl/>
              <w:spacing w:line="576" w:lineRule="exact"/>
              <w:jc w:val="center"/>
              <w:rPr>
                <w:rFonts w:ascii="宋体" w:hAnsi="宋体" w:cs="宋体"/>
                <w:color w:val="000000"/>
                <w:sz w:val="24"/>
              </w:rPr>
            </w:pPr>
            <w:r>
              <w:rPr>
                <w:rFonts w:hint="eastAsia" w:ascii="宋体" w:hAnsi="宋体" w:eastAsia="宋体" w:cs="宋体"/>
                <w:b w:val="0"/>
                <w:bCs w:val="0"/>
                <w:sz w:val="21"/>
                <w:szCs w:val="21"/>
              </w:rPr>
              <w:t>有效保障</w:t>
            </w:r>
            <w:r>
              <w:rPr>
                <w:rFonts w:hint="eastAsia"/>
                <w:color w:val="7F7F7F"/>
              </w:rPr>
              <w:t>生态建设与保护，维护生态安全</w:t>
            </w:r>
          </w:p>
        </w:tc>
      </w:tr>
      <w:tr w14:paraId="758F8D2B">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125B58">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5E531D8">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876C0DE">
            <w:pPr>
              <w:pageBreakBefore w:val="0"/>
              <w:spacing w:line="576" w:lineRule="exact"/>
              <w:jc w:val="center"/>
              <w:rPr>
                <w:rFonts w:eastAsia="仿宋_GB2312"/>
                <w:sz w:val="24"/>
              </w:rPr>
            </w:pPr>
            <w:r>
              <w:rPr>
                <w:rFonts w:hint="eastAsia" w:eastAsia="仿宋_GB2312" w:cs="仿宋_GB2312"/>
                <w:sz w:val="24"/>
              </w:rPr>
              <w:t>社会效益</w:t>
            </w:r>
          </w:p>
          <w:p w14:paraId="7B397CE4">
            <w:pPr>
              <w:pageBreakBefore w:val="0"/>
              <w:widowControl/>
              <w:spacing w:line="576" w:lineRule="exact"/>
              <w:jc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5264B3E5">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69E64AE">
            <w:pPr>
              <w:pageBreakBefore w:val="0"/>
              <w:spacing w:line="576" w:lineRule="exact"/>
              <w:jc w:val="center"/>
              <w:rPr>
                <w:rFonts w:ascii="宋体" w:hAnsi="宋体" w:cs="宋体"/>
                <w:color w:val="000000"/>
                <w:sz w:val="24"/>
              </w:rPr>
            </w:pPr>
            <w:r>
              <w:rPr>
                <w:rFonts w:hint="eastAsia"/>
                <w:color w:val="7F7F7F"/>
              </w:rPr>
              <w:t>保障人民群众生命健康和维护和谐稳定大局</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F43B535">
            <w:pPr>
              <w:pageBreakBefore w:val="0"/>
              <w:widowControl/>
              <w:spacing w:line="576" w:lineRule="exact"/>
              <w:jc w:val="center"/>
              <w:rPr>
                <w:rFonts w:ascii="宋体" w:hAnsi="宋体" w:cs="宋体"/>
                <w:color w:val="000000"/>
                <w:sz w:val="24"/>
              </w:rPr>
            </w:pPr>
            <w:r>
              <w:rPr>
                <w:rFonts w:hint="eastAsia" w:eastAsia="仿宋_GB2312"/>
                <w:sz w:val="24"/>
              </w:rPr>
              <w:t>有效保障</w:t>
            </w:r>
            <w:r>
              <w:rPr>
                <w:rFonts w:hint="eastAsia"/>
                <w:color w:val="7F7F7F"/>
              </w:rPr>
              <w:t>人民群众生命健康和维护和谐稳定</w:t>
            </w:r>
          </w:p>
        </w:tc>
      </w:tr>
      <w:tr w14:paraId="2F4304EE">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F54C5F">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3EBC427F">
            <w:pPr>
              <w:pageBreakBefore w:val="0"/>
              <w:widowControl/>
              <w:spacing w:line="576" w:lineRule="exact"/>
              <w:jc w:val="center"/>
              <w:rPr>
                <w:rFonts w:ascii="宋体" w:hAnsi="宋体" w:cs="宋体"/>
                <w:color w:val="000000"/>
                <w:sz w:val="24"/>
                <w:lang w:bidi="ar"/>
              </w:rPr>
            </w:pPr>
            <w:r>
              <w:rPr>
                <w:rFonts w:hint="eastAsia" w:ascii="宋体" w:hAnsi="宋体" w:cs="宋体"/>
                <w:color w:val="000000"/>
                <w:sz w:val="24"/>
                <w:lang w:bidi="ar"/>
              </w:rPr>
              <w:t>…效益指标…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7200AD6D">
            <w:pPr>
              <w:pageBreakBefore w:val="0"/>
              <w:spacing w:line="576" w:lineRule="exact"/>
              <w:jc w:val="center"/>
              <w:rPr>
                <w:rFonts w:eastAsia="仿宋_GB2312"/>
                <w:sz w:val="24"/>
              </w:rPr>
            </w:pPr>
            <w:r>
              <w:rPr>
                <w:rFonts w:hint="eastAsia" w:eastAsia="仿宋_GB2312" w:cs="仿宋_GB2312"/>
                <w:sz w:val="24"/>
              </w:rPr>
              <w:t>生态效益</w:t>
            </w:r>
          </w:p>
          <w:p w14:paraId="1B464A1B">
            <w:pPr>
              <w:pageBreakBefore w:val="0"/>
              <w:widowControl/>
              <w:spacing w:line="576" w:lineRule="exact"/>
              <w:jc w:val="center"/>
              <w:rPr>
                <w:rFonts w:ascii="宋体" w:hAnsi="宋体" w:cs="宋体"/>
                <w:color w:val="000000"/>
                <w:sz w:val="24"/>
              </w:rPr>
            </w:pPr>
            <w:r>
              <w:rPr>
                <w:rFonts w:hint="eastAsia" w:eastAsia="仿宋_GB2312" w:cs="仿宋_GB2312"/>
                <w:sz w:val="24"/>
              </w:rPr>
              <w:t>指标</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E5E5CB3">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13A4F2A">
            <w:pPr>
              <w:pageBreakBefore w:val="0"/>
              <w:spacing w:line="576" w:lineRule="exact"/>
              <w:jc w:val="center"/>
              <w:rPr>
                <w:rFonts w:ascii="宋体" w:hAnsi="宋体" w:cs="宋体"/>
                <w:color w:val="000000"/>
                <w:sz w:val="24"/>
              </w:rPr>
            </w:pPr>
            <w:r>
              <w:rPr>
                <w:rFonts w:hint="eastAsia"/>
                <w:color w:val="7F7F7F"/>
              </w:rPr>
              <w:t>提高项目区森林防火控制能力</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8717A5F">
            <w:pPr>
              <w:pageBreakBefore w:val="0"/>
              <w:widowControl/>
              <w:spacing w:line="576" w:lineRule="exact"/>
              <w:jc w:val="center"/>
              <w:rPr>
                <w:rFonts w:ascii="宋体" w:hAnsi="宋体" w:cs="宋体"/>
                <w:color w:val="000000"/>
                <w:sz w:val="24"/>
              </w:rPr>
            </w:pPr>
            <w:r>
              <w:rPr>
                <w:rFonts w:hint="eastAsia"/>
                <w:color w:val="7F7F7F"/>
              </w:rPr>
              <w:t>提高园区内预测、预报和控制森林防火的综合能力</w:t>
            </w:r>
          </w:p>
        </w:tc>
      </w:tr>
      <w:tr w14:paraId="78064F77">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2C5572">
            <w:pPr>
              <w:pageBreakBefore w:val="0"/>
              <w:widowControl/>
              <w:spacing w:line="576" w:lineRule="exact"/>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294B33B">
            <w:pPr>
              <w:pageBreakBefore w:val="0"/>
              <w:widowControl/>
              <w:spacing w:line="576" w:lineRule="exact"/>
              <w:jc w:val="center"/>
              <w:rPr>
                <w:rFonts w:ascii="宋体" w:hAnsi="宋体" w:cs="宋体"/>
                <w:color w:val="000000"/>
                <w:sz w:val="24"/>
              </w:rPr>
            </w:pPr>
            <w:r>
              <w:rPr>
                <w:rFonts w:hint="eastAsia" w:ascii="宋体" w:hAnsi="宋体" w:cs="宋体"/>
                <w:color w:val="000000"/>
                <w:sz w:val="24"/>
                <w:lang w:bidi="ar"/>
              </w:rPr>
              <w:t>满意度指标</w:t>
            </w:r>
          </w:p>
        </w:tc>
        <w:tc>
          <w:tcPr>
            <w:tcW w:w="1025"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41187F32">
            <w:pPr>
              <w:pageBreakBefore w:val="0"/>
              <w:widowControl/>
              <w:spacing w:line="576" w:lineRule="exact"/>
              <w:jc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15514AED">
            <w:pPr>
              <w:pageBreakBefore w:val="0"/>
              <w:widowControl/>
              <w:spacing w:line="576" w:lineRule="exact"/>
              <w:jc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03C546AE">
            <w:pPr>
              <w:pageBreakBefore w:val="0"/>
              <w:widowControl/>
              <w:spacing w:line="576" w:lineRule="exact"/>
              <w:jc w:val="center"/>
              <w:rPr>
                <w:rFonts w:ascii="宋体" w:hAnsi="宋体" w:cs="宋体"/>
                <w:color w:val="000000"/>
                <w:sz w:val="24"/>
              </w:rPr>
            </w:pPr>
            <w:r>
              <w:rPr>
                <w:rFonts w:hint="eastAsia" w:ascii="宋体" w:hAns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val="0"/>
            <w:tcMar>
              <w:top w:w="15" w:type="dxa"/>
              <w:left w:w="15" w:type="dxa"/>
              <w:bottom w:w="0" w:type="dxa"/>
              <w:right w:w="15" w:type="dxa"/>
            </w:tcMar>
            <w:vAlign w:val="center"/>
          </w:tcPr>
          <w:p w14:paraId="293AF229">
            <w:pPr>
              <w:pageBreakBefore w:val="0"/>
              <w:widowControl/>
              <w:spacing w:line="576" w:lineRule="exact"/>
              <w:jc w:val="center"/>
              <w:rPr>
                <w:rFonts w:ascii="宋体" w:hAnsi="宋体" w:cs="宋体"/>
                <w:color w:val="000000"/>
                <w:sz w:val="24"/>
              </w:rPr>
            </w:pPr>
            <w:r>
              <w:rPr>
                <w:rFonts w:hint="eastAsia" w:ascii="宋体" w:hAnsi="宋体" w:cs="宋体"/>
                <w:color w:val="000000"/>
                <w:sz w:val="24"/>
              </w:rPr>
              <w:t>满意</w:t>
            </w:r>
          </w:p>
        </w:tc>
      </w:tr>
    </w:tbl>
    <w:p w14:paraId="0D928AE5">
      <w:pPr>
        <w:spacing w:line="600" w:lineRule="exact"/>
        <w:ind w:firstLine="643"/>
        <w:jc w:val="left"/>
        <w:outlineLvl w:val="2"/>
        <w:rPr>
          <w:rFonts w:ascii="仿宋" w:eastAsia="仿宋"/>
          <w:b/>
          <w:sz w:val="32"/>
          <w:szCs w:val="32"/>
        </w:rPr>
      </w:pPr>
    </w:p>
    <w:p w14:paraId="63ACE853">
      <w:pPr>
        <w:widowControl/>
        <w:jc w:val="left"/>
        <w:rPr>
          <w:rFonts w:ascii="仿宋_GB2312" w:eastAsia="仿宋_GB2312"/>
          <w:b/>
          <w:sz w:val="32"/>
          <w:szCs w:val="32"/>
        </w:rPr>
      </w:pPr>
      <w:r>
        <w:rPr>
          <w:rFonts w:ascii="仿宋_GB2312" w:eastAsia="仿宋_GB2312"/>
          <w:b/>
          <w:sz w:val="32"/>
          <w:szCs w:val="32"/>
        </w:rPr>
        <w:br w:type="page" w:clear="all"/>
      </w:r>
    </w:p>
    <w:p w14:paraId="40A1867E">
      <w:pPr>
        <w:numPr>
          <w:ilvl w:val="0"/>
          <w:numId w:val="5"/>
        </w:numPr>
        <w:spacing w:line="600" w:lineRule="exact"/>
        <w:ind w:firstLine="660"/>
        <w:jc w:val="center"/>
        <w:outlineLvl w:val="0"/>
        <w:rPr>
          <w:rStyle w:val="184"/>
          <w:rFonts w:ascii="黑体" w:eastAsia="黑体"/>
          <w:b w:val="0"/>
        </w:rPr>
      </w:pPr>
      <w:bookmarkStart w:id="47" w:name="_Toc15377225"/>
      <w:bookmarkStart w:id="48" w:name="_Toc15396613"/>
      <w:r>
        <w:rPr>
          <w:rFonts w:hint="eastAsia" w:ascii="黑体" w:eastAsia="黑体"/>
          <w:sz w:val="44"/>
          <w:szCs w:val="44"/>
        </w:rPr>
        <w:t>名</w:t>
      </w:r>
      <w:r>
        <w:rPr>
          <w:rStyle w:val="184"/>
          <w:rFonts w:hint="eastAsia" w:ascii="黑体" w:eastAsia="黑体"/>
          <w:b w:val="0"/>
        </w:rPr>
        <w:t>词解释</w:t>
      </w:r>
      <w:bookmarkEnd w:id="47"/>
      <w:bookmarkEnd w:id="48"/>
    </w:p>
    <w:p w14:paraId="5DFD9F08">
      <w:pPr>
        <w:spacing w:line="600" w:lineRule="exact"/>
        <w:jc w:val="left"/>
        <w:rPr>
          <w:rFonts w:ascii="宋体"/>
          <w:b/>
          <w:sz w:val="44"/>
          <w:szCs w:val="44"/>
        </w:rPr>
      </w:pPr>
    </w:p>
    <w:p w14:paraId="6F7A23D9">
      <w:pPr>
        <w:pageBreakBefore w:val="0"/>
        <w:spacing w:line="576" w:lineRule="exact"/>
        <w:jc w:val="left"/>
        <w:rPr>
          <w:rFonts w:ascii="宋体"/>
          <w:b/>
          <w:color w:val="000000"/>
          <w:sz w:val="44"/>
          <w:szCs w:val="44"/>
        </w:rPr>
      </w:pPr>
    </w:p>
    <w:p w14:paraId="0AE1A9A5">
      <w:pPr>
        <w:pStyle w:val="189"/>
        <w:pageBreakBefore w:val="0"/>
        <w:spacing w:line="576" w:lineRule="exact"/>
        <w:ind w:firstLine="64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7367198">
      <w:pPr>
        <w:pStyle w:val="189"/>
        <w:pageBreakBefore w:val="0"/>
        <w:spacing w:line="576" w:lineRule="exact"/>
        <w:ind w:firstLine="64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1CD59252">
      <w:pPr>
        <w:pStyle w:val="189"/>
        <w:pageBreakBefore w:val="0"/>
        <w:spacing w:line="576" w:lineRule="exact"/>
        <w:ind w:firstLine="64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29C57A57">
      <w:pPr>
        <w:pStyle w:val="189"/>
        <w:pageBreakBefore w:val="0"/>
        <w:spacing w:line="576" w:lineRule="exact"/>
        <w:ind w:firstLine="64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2FEE3FF0">
      <w:pPr>
        <w:pStyle w:val="189"/>
        <w:pageBreakBefore w:val="0"/>
        <w:spacing w:line="576" w:lineRule="exact"/>
        <w:ind w:firstLine="64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6169C6E5">
      <w:pPr>
        <w:pStyle w:val="189"/>
        <w:pageBreakBefore w:val="0"/>
        <w:spacing w:line="576" w:lineRule="exact"/>
        <w:ind w:firstLine="64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6D61A756">
      <w:pPr>
        <w:pStyle w:val="189"/>
        <w:pageBreakBefore w:val="0"/>
        <w:spacing w:line="576" w:lineRule="exact"/>
        <w:ind w:firstLine="64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31753DC5">
      <w:pPr>
        <w:pStyle w:val="189"/>
        <w:pageBreakBefore w:val="0"/>
        <w:spacing w:line="576" w:lineRule="exact"/>
        <w:ind w:firstLine="64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7F688AD0">
      <w:pPr>
        <w:pageBreakBefore w:val="0"/>
        <w:spacing w:line="576" w:lineRule="exact"/>
        <w:ind w:firstLine="640"/>
        <w:rPr>
          <w:rFonts w:ascii="仿宋_GB2312" w:eastAsia="仿宋_GB2312"/>
          <w:color w:val="000000"/>
          <w:sz w:val="32"/>
          <w:szCs w:val="32"/>
        </w:rPr>
      </w:pPr>
      <w:r>
        <w:rPr>
          <w:rFonts w:ascii="仿宋_GB2312" w:eastAsia="仿宋_GB2312"/>
          <w:color w:val="000000"/>
          <w:sz w:val="32"/>
          <w:szCs w:val="32"/>
        </w:rPr>
        <w:t>9.</w:t>
      </w:r>
      <w:r>
        <w:rPr>
          <w:rStyle w:val="35"/>
          <w:rFonts w:hint="eastAsia" w:ascii="仿宋" w:hAnsi="仿宋" w:eastAsia="仿宋"/>
          <w:b w:val="0"/>
          <w:color w:val="000000"/>
          <w:sz w:val="32"/>
          <w:szCs w:val="32"/>
        </w:rPr>
        <w:t>一般公共服务201组织事务32其他组织事务支出99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反映</w:t>
      </w:r>
      <w:r>
        <w:rPr>
          <w:rFonts w:hint="eastAsia" w:ascii="仿宋_GB2312" w:eastAsia="仿宋_GB2312"/>
          <w:color w:val="000000"/>
          <w:sz w:val="32"/>
          <w:szCs w:val="32"/>
        </w:rPr>
        <w:t>除上述项目以外其他用于中国共产党组织部门的事务支出。</w:t>
      </w:r>
    </w:p>
    <w:p w14:paraId="15CBAF66">
      <w:pPr>
        <w:pageBreakBefore w:val="0"/>
        <w:spacing w:line="576" w:lineRule="exact"/>
        <w:ind w:firstLine="640"/>
        <w:rPr>
          <w:rFonts w:ascii="仿宋_GB2312" w:eastAsia="仿宋_GB2312"/>
          <w:bCs/>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社会保障和就业</w:t>
      </w:r>
      <w:r>
        <w:rPr>
          <w:rStyle w:val="35"/>
          <w:rFonts w:hint="eastAsia" w:ascii="仿宋" w:hAnsi="仿宋" w:eastAsia="仿宋"/>
          <w:b w:val="0"/>
          <w:color w:val="000000"/>
          <w:sz w:val="32"/>
          <w:szCs w:val="32"/>
        </w:rPr>
        <w:t>208行政事业单位离退休05机关事业单位基本养老保险缴费</w:t>
      </w:r>
      <w:r>
        <w:rPr>
          <w:rStyle w:val="35"/>
          <w:rFonts w:hint="eastAsia" w:ascii="仿宋" w:hAnsi="仿宋" w:eastAsia="仿宋"/>
          <w:b w:val="0"/>
          <w:bCs/>
          <w:color w:val="000000"/>
          <w:sz w:val="32"/>
          <w:szCs w:val="32"/>
        </w:rPr>
        <w:t>支出</w:t>
      </w:r>
      <w:r>
        <w:rPr>
          <w:rFonts w:hint="eastAsia" w:ascii="仿宋_GB2312" w:eastAsia="仿宋_GB2312"/>
          <w:bCs/>
          <w:color w:val="000000"/>
          <w:sz w:val="32"/>
          <w:szCs w:val="32"/>
        </w:rPr>
        <w:t>：指反映机关事业单位实施养老保险制度由单位缴纳的基本养老保险费支出。</w:t>
      </w:r>
      <w:r>
        <w:rPr>
          <w:rStyle w:val="35"/>
          <w:rFonts w:hint="eastAsia" w:ascii="仿宋" w:hAnsi="仿宋" w:eastAsia="仿宋"/>
          <w:b w:val="0"/>
          <w:bCs/>
          <w:color w:val="000000"/>
          <w:sz w:val="32"/>
          <w:szCs w:val="32"/>
        </w:rPr>
        <w:t>208其他社会保障和就业支出99其他社会保障和就业支出01</w:t>
      </w:r>
      <w:r>
        <w:rPr>
          <w:rFonts w:hint="eastAsia" w:ascii="仿宋_GB2312" w:eastAsia="仿宋_GB2312"/>
          <w:bCs/>
          <w:color w:val="000000"/>
          <w:sz w:val="32"/>
          <w:szCs w:val="32"/>
        </w:rPr>
        <w:t>支出：指</w:t>
      </w:r>
      <w:r>
        <w:rPr>
          <w:rFonts w:hint="eastAsia" w:ascii="仿宋_GB2312" w:eastAsia="仿宋_GB2312"/>
          <w:color w:val="000000"/>
          <w:sz w:val="32"/>
          <w:szCs w:val="32"/>
        </w:rPr>
        <w:t>反映除上述项目以外其他用于</w:t>
      </w:r>
      <w:r>
        <w:rPr>
          <w:rFonts w:hint="eastAsia" w:ascii="仿宋_GB2312" w:eastAsia="仿宋_GB2312"/>
          <w:bCs/>
          <w:color w:val="000000"/>
          <w:sz w:val="32"/>
          <w:szCs w:val="32"/>
        </w:rPr>
        <w:t>社会保障和就业方面的支出</w:t>
      </w:r>
    </w:p>
    <w:p w14:paraId="5BF25D67">
      <w:pPr>
        <w:pageBreakBefore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Style w:val="35"/>
          <w:rFonts w:hint="eastAsia" w:ascii="仿宋" w:hAnsi="仿宋" w:eastAsia="仿宋"/>
          <w:b w:val="0"/>
          <w:bCs/>
          <w:color w:val="000000"/>
          <w:sz w:val="32"/>
          <w:szCs w:val="32"/>
        </w:rPr>
        <w:t>医疗卫生与计划生育支出210行政事业单位医疗11事业单位医疗02</w:t>
      </w:r>
      <w:r>
        <w:rPr>
          <w:rFonts w:hint="eastAsia" w:ascii="仿宋" w:hAnsi="仿宋" w:eastAsia="仿宋"/>
          <w:b/>
          <w:sz w:val="32"/>
          <w:szCs w:val="32"/>
        </w:rPr>
        <w:t>：</w:t>
      </w:r>
      <w:r>
        <w:rPr>
          <w:rFonts w:hint="eastAsia" w:ascii="仿宋_GB2312" w:eastAsia="仿宋_GB2312"/>
          <w:color w:val="000000"/>
          <w:sz w:val="32"/>
          <w:szCs w:val="32"/>
        </w:rPr>
        <w:t>指反映财政部门集中安排的事业单位基本医疗保险缴费经费，未参加医疗保险的事业单位的公费医疗经费，按国家规定享受离休人员待遇人员的医疗经费。</w:t>
      </w:r>
    </w:p>
    <w:p w14:paraId="1F6B8833">
      <w:pPr>
        <w:pageBreakBefore w:val="0"/>
        <w:spacing w:line="576" w:lineRule="exact"/>
        <w:ind w:firstLine="640"/>
        <w:rPr>
          <w:rFonts w:ascii="仿宋" w:hAnsi="仿宋" w:eastAsia="仿宋"/>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 w:hAnsi="仿宋" w:eastAsia="仿宋"/>
          <w:b/>
          <w:bCs/>
          <w:color w:val="000000"/>
          <w:sz w:val="32"/>
          <w:szCs w:val="32"/>
        </w:rPr>
        <w:t>节能环保支出</w:t>
      </w:r>
      <w:r>
        <w:rPr>
          <w:rFonts w:hint="eastAsia" w:ascii="仿宋" w:hAnsi="仿宋" w:eastAsia="仿宋"/>
          <w:color w:val="000000"/>
          <w:sz w:val="32"/>
          <w:szCs w:val="32"/>
        </w:rPr>
        <w:t>211自然生态保护04生态保护01</w:t>
      </w:r>
      <w:r>
        <w:rPr>
          <w:rStyle w:val="35"/>
          <w:rFonts w:hint="eastAsia" w:ascii="仿宋" w:hAnsi="仿宋" w:eastAsia="仿宋"/>
          <w:color w:val="000000"/>
          <w:sz w:val="32"/>
          <w:szCs w:val="32"/>
        </w:rPr>
        <w:t>：</w:t>
      </w:r>
      <w:r>
        <w:rPr>
          <w:rFonts w:hint="eastAsia" w:ascii="仿宋_GB2312" w:eastAsia="仿宋_GB2312"/>
          <w:color w:val="000000"/>
          <w:sz w:val="32"/>
          <w:szCs w:val="32"/>
        </w:rPr>
        <w:t>指反映用于生态保护区、生态示范区、生态省（市、县）管理及建设、日常管护、宣教、试点示范等支出，生态修复支出，资源开发生态监管等支出。</w:t>
      </w:r>
      <w:r>
        <w:rPr>
          <w:rFonts w:hint="eastAsia" w:ascii="仿宋" w:hAnsi="仿宋" w:eastAsia="仿宋"/>
          <w:color w:val="000000"/>
          <w:sz w:val="32"/>
          <w:szCs w:val="32"/>
        </w:rPr>
        <w:t>211自然生态保护04其他自然生态保护99</w:t>
      </w:r>
    </w:p>
    <w:p w14:paraId="35356862">
      <w:pPr>
        <w:pageBreakBefore w:val="0"/>
        <w:spacing w:line="576" w:lineRule="exact"/>
        <w:ind w:firstLine="640"/>
        <w:rPr>
          <w:rFonts w:ascii="仿宋_GB2312" w:eastAsia="仿宋_GB2312"/>
          <w:color w:val="000000"/>
          <w:sz w:val="32"/>
          <w:szCs w:val="32"/>
        </w:rPr>
      </w:pPr>
      <w:r>
        <w:rPr>
          <w:rFonts w:ascii="仿宋_GB2312" w:eastAsia="仿宋_GB2312"/>
          <w:color w:val="000000"/>
          <w:sz w:val="32"/>
          <w:szCs w:val="32"/>
        </w:rPr>
        <w:t>1</w:t>
      </w:r>
      <w:r>
        <w:rPr>
          <w:rFonts w:hint="eastAsia" w:ascii="仿宋_GB2312" w:eastAsia="仿宋_GB2312"/>
          <w:color w:val="000000"/>
          <w:sz w:val="32"/>
          <w:szCs w:val="32"/>
        </w:rPr>
        <w:t>3</w:t>
      </w:r>
      <w:r>
        <w:rPr>
          <w:rFonts w:ascii="仿宋_GB2312" w:eastAsia="仿宋_GB2312"/>
          <w:color w:val="000000"/>
          <w:sz w:val="32"/>
          <w:szCs w:val="32"/>
        </w:rPr>
        <w:t>.</w:t>
      </w:r>
      <w:r>
        <w:rPr>
          <w:rStyle w:val="35"/>
          <w:rFonts w:hint="eastAsia" w:ascii="仿宋" w:hAnsi="仿宋" w:eastAsia="仿宋"/>
          <w:color w:val="000000"/>
          <w:sz w:val="32"/>
          <w:szCs w:val="32"/>
        </w:rPr>
        <w:t>农林水支出</w:t>
      </w:r>
      <w:r>
        <w:rPr>
          <w:rStyle w:val="35"/>
          <w:rFonts w:hint="eastAsia" w:ascii="仿宋" w:hAnsi="仿宋" w:eastAsia="仿宋"/>
          <w:b w:val="0"/>
          <w:bCs/>
          <w:color w:val="000000"/>
          <w:sz w:val="32"/>
          <w:szCs w:val="32"/>
        </w:rPr>
        <w:t>213林业和草原02事业机构04</w:t>
      </w:r>
      <w:r>
        <w:rPr>
          <w:rStyle w:val="35"/>
          <w:rFonts w:hint="eastAsia" w:ascii="仿宋" w:hAnsi="仿宋" w:eastAsia="仿宋"/>
          <w:color w:val="000000"/>
          <w:sz w:val="32"/>
          <w:szCs w:val="32"/>
        </w:rPr>
        <w:t>：</w:t>
      </w:r>
      <w:r>
        <w:rPr>
          <w:rFonts w:hint="eastAsia" w:ascii="仿宋_GB2312" w:eastAsia="仿宋_GB2312"/>
          <w:color w:val="000000"/>
          <w:sz w:val="32"/>
          <w:szCs w:val="32"/>
        </w:rPr>
        <w:t>指反映用于林业事业单位的基本支出。213</w:t>
      </w:r>
      <w:r>
        <w:rPr>
          <w:rStyle w:val="35"/>
          <w:rFonts w:hint="eastAsia" w:ascii="仿宋" w:hAnsi="仿宋" w:eastAsia="仿宋"/>
          <w:b w:val="0"/>
          <w:bCs/>
          <w:color w:val="000000"/>
          <w:sz w:val="32"/>
          <w:szCs w:val="32"/>
        </w:rPr>
        <w:t>林业和草原</w:t>
      </w:r>
      <w:r>
        <w:rPr>
          <w:rFonts w:hint="eastAsia" w:ascii="仿宋_GB2312" w:eastAsia="仿宋_GB2312"/>
          <w:color w:val="000000"/>
          <w:sz w:val="32"/>
          <w:szCs w:val="32"/>
        </w:rPr>
        <w:t>02其他林业和草原支出99其他林业和草原支出：指反映除上述项目以外其他用于林业和草原方面的支出。</w:t>
      </w:r>
    </w:p>
    <w:p w14:paraId="6C2990D1">
      <w:pPr>
        <w:pageBreakBefore w:val="0"/>
        <w:spacing w:line="576" w:lineRule="exact"/>
        <w:ind w:firstLine="640"/>
        <w:rPr>
          <w:rFonts w:ascii="仿宋" w:hAnsi="仿宋" w:eastAsia="仿宋"/>
          <w:b/>
          <w:bCs/>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lang w:eastAsia="zh-CN"/>
        </w:rPr>
        <w:t>住房保障支出</w:t>
      </w:r>
      <w:r>
        <w:rPr>
          <w:rStyle w:val="35"/>
          <w:rFonts w:hint="eastAsia" w:ascii="仿宋" w:hAnsi="仿宋" w:eastAsia="仿宋"/>
          <w:b w:val="0"/>
          <w:bCs/>
          <w:color w:val="000000"/>
          <w:sz w:val="32"/>
          <w:szCs w:val="32"/>
        </w:rPr>
        <w:t>221住房改革支出02住房公积金01：</w:t>
      </w:r>
      <w:r>
        <w:rPr>
          <w:rFonts w:hint="eastAsia" w:ascii="仿宋_GB2312" w:eastAsia="仿宋_GB2312"/>
          <w:color w:val="000000"/>
          <w:sz w:val="32"/>
          <w:szCs w:val="32"/>
        </w:rPr>
        <w:t>指反映行政事业单位按人力资源和社会保障部、财政部规定的基本工资和津贴补贴以及规定比例为职工缴纳的住房公积金。</w:t>
      </w:r>
    </w:p>
    <w:p w14:paraId="4A9E028A">
      <w:pPr>
        <w:pageBreakBefore w:val="0"/>
        <w:spacing w:line="576"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hint="eastAsia" w:ascii="仿宋" w:hAnsi="仿宋" w:eastAsia="仿宋"/>
          <w:b/>
          <w:color w:val="000000"/>
          <w:sz w:val="32"/>
          <w:szCs w:val="32"/>
          <w:lang w:eastAsia="zh-CN"/>
        </w:rPr>
        <w:t>2020年</w:t>
      </w:r>
      <w:r>
        <w:rPr>
          <w:rFonts w:hint="eastAsia" w:ascii="仿宋" w:hAnsi="仿宋" w:eastAsia="仿宋"/>
          <w:b/>
          <w:color w:val="000000"/>
          <w:sz w:val="32"/>
          <w:szCs w:val="32"/>
        </w:rPr>
        <w:t>政府收支分类科目》增减内容。）</w:t>
      </w:r>
    </w:p>
    <w:p w14:paraId="730904BF">
      <w:pPr>
        <w:pageBreakBefore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14:paraId="232B719F">
      <w:pPr>
        <w:pageBreakBefore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3CC1CAF0">
      <w:pPr>
        <w:pageBreakBefore w:val="0"/>
        <w:spacing w:line="576" w:lineRule="exact"/>
        <w:ind w:firstLine="64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14:paraId="556D69B6">
      <w:pPr>
        <w:pStyle w:val="189"/>
        <w:pageBreakBefore w:val="0"/>
        <w:spacing w:line="576" w:lineRule="exact"/>
        <w:ind w:firstLine="64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6794AF22">
      <w:pPr>
        <w:pStyle w:val="189"/>
        <w:pageBreakBefore w:val="0"/>
        <w:spacing w:line="576" w:lineRule="exact"/>
        <w:ind w:firstLine="64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6D579CE">
      <w:pPr>
        <w:pStyle w:val="189"/>
        <w:pageBreakBefore w:val="0"/>
        <w:spacing w:line="576" w:lineRule="exact"/>
        <w:ind w:firstLine="640"/>
        <w:rPr>
          <w:rFonts w:ascii="仿宋_GB2312" w:eastAsia="仿宋_GB2312" w:cs="黑体"/>
          <w:sz w:val="32"/>
          <w:szCs w:val="32"/>
        </w:rPr>
      </w:pPr>
    </w:p>
    <w:p w14:paraId="0E1844CA">
      <w:pPr>
        <w:pageBreakBefore w:val="0"/>
        <w:spacing w:line="576" w:lineRule="exact"/>
        <w:rPr>
          <w:rFonts w:hint="eastAsia" w:ascii="仿宋" w:hAnsi="仿宋" w:eastAsia="仿宋"/>
          <w:b/>
          <w:color w:val="000000"/>
          <w:sz w:val="32"/>
          <w:szCs w:val="32"/>
        </w:rPr>
      </w:pPr>
    </w:p>
    <w:p w14:paraId="07A3F96A">
      <w:pPr>
        <w:pageBreakBefore w:val="0"/>
        <w:spacing w:line="576" w:lineRule="exact"/>
        <w:rPr>
          <w:rFonts w:ascii="仿宋" w:hAnsi="仿宋" w:eastAsia="仿宋"/>
          <w:b/>
          <w:color w:val="000000"/>
          <w:sz w:val="32"/>
          <w:szCs w:val="32"/>
        </w:rPr>
      </w:pPr>
      <w:r>
        <w:rPr>
          <w:rFonts w:hint="eastAsia" w:ascii="仿宋" w:hAnsi="仿宋" w:eastAsia="仿宋"/>
          <w:b/>
          <w:color w:val="000000"/>
          <w:sz w:val="32"/>
          <w:szCs w:val="32"/>
          <w:lang w:val="en-US" w:eastAsia="zh-CN"/>
        </w:rPr>
        <w:t>（</w:t>
      </w:r>
      <w:r>
        <w:rPr>
          <w:rFonts w:hint="eastAsia" w:ascii="仿宋" w:hAnsi="仿宋" w:eastAsia="仿宋"/>
          <w:b/>
          <w:color w:val="000000"/>
          <w:sz w:val="32"/>
          <w:szCs w:val="32"/>
        </w:rPr>
        <w:t>名词解释部分请根据各部门实际列支情况罗列，并根据本部门职责职能增减名词解释内容。）</w:t>
      </w:r>
    </w:p>
    <w:p w14:paraId="604DCFBC">
      <w:pPr>
        <w:pageBreakBefore w:val="0"/>
        <w:numPr>
          <w:ilvl w:val="0"/>
          <w:numId w:val="5"/>
        </w:numPr>
        <w:spacing w:line="576" w:lineRule="exact"/>
        <w:ind w:firstLine="663"/>
        <w:jc w:val="center"/>
        <w:outlineLvl w:val="0"/>
        <w:rPr>
          <w:rStyle w:val="193"/>
          <w:rFonts w:ascii="黑体" w:hAnsi="黑体" w:eastAsia="黑体"/>
          <w:b w:val="0"/>
        </w:rPr>
      </w:pPr>
      <w:bookmarkStart w:id="49" w:name="_Toc15377226"/>
      <w:r>
        <w:rPr>
          <w:rFonts w:ascii="宋体"/>
          <w:b/>
          <w:sz w:val="44"/>
          <w:szCs w:val="44"/>
        </w:rPr>
        <w:br w:type="page" w:clear="all"/>
      </w:r>
      <w:bookmarkStart w:id="50" w:name="_Toc15396614"/>
      <w:r>
        <w:rPr>
          <w:rStyle w:val="193"/>
          <w:rFonts w:hint="eastAsia" w:ascii="黑体" w:hAnsi="黑体" w:eastAsia="黑体"/>
          <w:b w:val="0"/>
        </w:rPr>
        <w:t>附件</w:t>
      </w:r>
      <w:bookmarkStart w:id="51" w:name="_Toc15396615"/>
    </w:p>
    <w:p w14:paraId="71065FD4">
      <w:pPr>
        <w:pageBreakBefore w:val="0"/>
        <w:spacing w:line="576" w:lineRule="exact"/>
        <w:ind w:left="315"/>
        <w:outlineLvl w:val="0"/>
        <w:rPr>
          <w:rStyle w:val="193"/>
          <w:rFonts w:ascii="仿宋" w:hAnsi="仿宋" w:eastAsia="仿宋"/>
          <w:b w:val="0"/>
          <w:bCs w:val="0"/>
          <w:sz w:val="32"/>
          <w:szCs w:val="32"/>
        </w:rPr>
      </w:pPr>
      <w:r>
        <w:rPr>
          <w:rStyle w:val="193"/>
          <w:rFonts w:hint="eastAsia" w:ascii="仿宋" w:hAnsi="仿宋" w:eastAsia="仿宋"/>
          <w:b w:val="0"/>
          <w:bCs w:val="0"/>
          <w:sz w:val="32"/>
          <w:szCs w:val="32"/>
        </w:rPr>
        <w:t>附件1</w:t>
      </w:r>
      <w:bookmarkEnd w:id="51"/>
    </w:p>
    <w:p w14:paraId="69AB7DC1">
      <w:pPr>
        <w:pageBreakBefore w:val="0"/>
        <w:spacing w:line="576" w:lineRule="exact"/>
        <w:jc w:val="center"/>
        <w:outlineLvl w:val="0"/>
        <w:rPr>
          <w:rFonts w:hint="eastAsia" w:ascii="黑体" w:hAnsi="黑体" w:eastAsia="黑体" w:cs="黑体"/>
          <w:sz w:val="36"/>
          <w:szCs w:val="36"/>
          <w:shd w:val="clear" w:color="auto" w:fill="FFFFFF"/>
          <w:lang w:val="en-US" w:eastAsia="zh-CN"/>
        </w:rPr>
      </w:pPr>
      <w:bookmarkStart w:id="52" w:name="_Toc15396616"/>
      <w:r>
        <w:rPr>
          <w:rFonts w:hint="eastAsia" w:ascii="黑体" w:hAnsi="黑体" w:eastAsia="黑体" w:cs="黑体"/>
          <w:sz w:val="36"/>
          <w:szCs w:val="36"/>
          <w:shd w:val="clear" w:color="auto" w:fill="FFFFFF"/>
          <w:lang w:val="en-US" w:eastAsia="zh-CN"/>
        </w:rPr>
        <w:t>九寨沟县林业和草原生态旅游发展中心</w:t>
      </w:r>
    </w:p>
    <w:p w14:paraId="5EB23E9C">
      <w:pPr>
        <w:pageBreakBefore w:val="0"/>
        <w:spacing w:line="576" w:lineRule="exact"/>
        <w:jc w:val="center"/>
        <w:outlineLvl w:val="0"/>
        <w:rPr>
          <w:rFonts w:hint="eastAsia" w:ascii="黑体" w:hAnsi="黑体" w:eastAsia="黑体" w:cs="方正小标宋简体"/>
          <w:sz w:val="36"/>
          <w:szCs w:val="36"/>
        </w:rPr>
      </w:pPr>
      <w:r>
        <w:rPr>
          <w:rFonts w:hint="eastAsia" w:ascii="黑体" w:hAnsi="黑体" w:eastAsia="黑体" w:cs="方正小标宋简体"/>
          <w:sz w:val="36"/>
          <w:szCs w:val="36"/>
          <w:lang w:eastAsia="zh-CN"/>
        </w:rPr>
        <w:t>202</w:t>
      </w:r>
      <w:r>
        <w:rPr>
          <w:rFonts w:hint="eastAsia" w:ascii="黑体" w:hAnsi="黑体" w:eastAsia="黑体" w:cs="方正小标宋简体"/>
          <w:sz w:val="36"/>
          <w:szCs w:val="36"/>
          <w:lang w:val="en-US" w:eastAsia="zh-CN"/>
        </w:rPr>
        <w:t>1</w:t>
      </w:r>
      <w:r>
        <w:rPr>
          <w:rFonts w:hint="eastAsia" w:ascii="黑体" w:hAnsi="黑体" w:eastAsia="黑体" w:cs="方正小标宋简体"/>
          <w:sz w:val="36"/>
          <w:szCs w:val="36"/>
          <w:lang w:eastAsia="zh-CN"/>
        </w:rPr>
        <w:t>年</w:t>
      </w:r>
      <w:r>
        <w:rPr>
          <w:rFonts w:hint="eastAsia" w:ascii="黑体" w:hAnsi="黑体" w:eastAsia="黑体" w:cs="方正小标宋简体"/>
          <w:sz w:val="36"/>
          <w:szCs w:val="36"/>
        </w:rPr>
        <w:t>部门整体支出绩效评价报告</w:t>
      </w:r>
      <w:bookmarkEnd w:id="52"/>
    </w:p>
    <w:p w14:paraId="16A8CC41">
      <w:pPr>
        <w:pStyle w:val="2"/>
      </w:pPr>
    </w:p>
    <w:p w14:paraId="07605B48">
      <w:pPr>
        <w:widowControl/>
        <w:spacing w:line="580" w:lineRule="exact"/>
        <w:ind w:firstLine="640"/>
        <w:contextualSpacing/>
        <w:jc w:val="left"/>
        <w:rPr>
          <w:rFonts w:ascii="黑体" w:hAnsi="宋体" w:eastAsia="黑体" w:cs="宋体"/>
          <w:color w:val="000000"/>
          <w:sz w:val="32"/>
          <w:szCs w:val="32"/>
          <w:shd w:val="clear" w:color="auto" w:fill="FFFFFF"/>
          <w:lang w:val="zh-CN"/>
        </w:rPr>
      </w:pPr>
      <w:bookmarkStart w:id="53" w:name="_Toc15396617"/>
      <w:r>
        <w:rPr>
          <w:rFonts w:hint="eastAsia" w:ascii="黑体" w:hAnsi="宋体" w:eastAsia="黑体" w:cs="宋体"/>
          <w:color w:val="000000"/>
          <w:sz w:val="32"/>
          <w:szCs w:val="32"/>
          <w:shd w:val="clear" w:color="auto" w:fill="FFFFFF"/>
        </w:rPr>
        <w:t>一、</w:t>
      </w:r>
      <w:r>
        <w:rPr>
          <w:rFonts w:hint="eastAsia" w:ascii="黑体" w:hAnsi="宋体" w:eastAsia="黑体" w:cs="宋体"/>
          <w:color w:val="000000"/>
          <w:sz w:val="32"/>
          <w:szCs w:val="32"/>
          <w:shd w:val="clear" w:color="auto" w:fill="FFFFFF"/>
          <w:lang w:val="zh-CN"/>
        </w:rPr>
        <w:t>部门（单位）概况</w:t>
      </w:r>
    </w:p>
    <w:p w14:paraId="14C98E4A">
      <w:pPr>
        <w:widowControl/>
        <w:spacing w:line="580" w:lineRule="exact"/>
        <w:ind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（一）机构组成。</w:t>
      </w:r>
    </w:p>
    <w:p w14:paraId="27958815">
      <w:pPr>
        <w:pageBreakBefore w:val="0"/>
        <w:spacing w:line="576" w:lineRule="exact"/>
        <w:ind w:firstLine="640"/>
        <w:rPr>
          <w:rFonts w:hint="eastAsia" w:ascii="仿宋_GB2312" w:hAnsi="宋体" w:eastAsia="仿宋_GB2312" w:cs="宋体"/>
          <w:color w:val="000000"/>
          <w:sz w:val="32"/>
          <w:szCs w:val="32"/>
          <w:shd w:val="clear" w:color="auto" w:fill="FFFFFF"/>
          <w:lang w:val="zh-CN"/>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w:t>
      </w:r>
      <w:r>
        <w:rPr>
          <w:rFonts w:hint="eastAsia" w:ascii="仿宋_GB2312" w:eastAsia="仿宋_GB2312"/>
          <w:sz w:val="32"/>
          <w:szCs w:val="32"/>
        </w:rPr>
        <w:t>单位机构数为 1个，事业机构1个；</w:t>
      </w:r>
    </w:p>
    <w:p w14:paraId="35D91C69">
      <w:pPr>
        <w:widowControl/>
        <w:numPr>
          <w:ilvl w:val="0"/>
          <w:numId w:val="6"/>
        </w:numPr>
        <w:spacing w:line="580" w:lineRule="exact"/>
        <w:ind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机构职能。</w:t>
      </w:r>
    </w:p>
    <w:p w14:paraId="050B46F0">
      <w:pPr>
        <w:pageBreakBefore w:val="0"/>
        <w:spacing w:line="576" w:lineRule="exact"/>
        <w:ind w:firstLine="640"/>
        <w:rPr>
          <w:lang w:val="zh-CN"/>
        </w:rPr>
      </w:pPr>
      <w:r>
        <w:rPr>
          <w:rFonts w:hint="eastAsia" w:ascii="仿宋" w:hAnsi="仿宋" w:eastAsia="仿宋_GB2312" w:cs="宋体"/>
          <w:sz w:val="32"/>
          <w:szCs w:val="32"/>
          <w:lang w:val="en-US" w:eastAsia="zh-CN"/>
        </w:rPr>
        <w:t>负责林业草原生态旅游资源开发利用，筹办各种生态旅游节会，组织实施林业草原生态环境保护与维护。为森林公园管理等相关事务性工作提供技术支持和服务保障，做好花卉、特色经济林、森林林下经济、森林康养和生态旅游产业发展。为林业和草原生态旅游提供产品开发、客源市场、招商引资和经营管理等方面的信息、技术咨询和人才培训服务。负责林业和草原生态旅游的社会宣传和网络建设服务。</w:t>
      </w:r>
    </w:p>
    <w:p w14:paraId="00D404E7">
      <w:pPr>
        <w:widowControl/>
        <w:spacing w:line="580" w:lineRule="exact"/>
        <w:ind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（三）人员概况。</w:t>
      </w:r>
    </w:p>
    <w:p w14:paraId="10E2A629">
      <w:pPr>
        <w:pageBreakBefore w:val="0"/>
        <w:spacing w:line="576" w:lineRule="exact"/>
        <w:ind w:firstLine="640"/>
        <w:rPr>
          <w:rFonts w:ascii="仿宋_GB2312" w:eastAsia="仿宋_GB2312"/>
          <w:b/>
          <w:sz w:val="32"/>
          <w:szCs w:val="32"/>
        </w:rPr>
      </w:pPr>
      <w:r>
        <w:rPr>
          <w:rFonts w:hint="eastAsia" w:ascii="仿宋_GB2312" w:eastAsia="仿宋_GB2312"/>
          <w:sz w:val="32"/>
          <w:szCs w:val="32"/>
          <w:lang w:eastAsia="zh-CN"/>
        </w:rPr>
        <w:t>202</w:t>
      </w:r>
      <w:r>
        <w:rPr>
          <w:rFonts w:hint="eastAsia" w:ascii="仿宋_GB2312" w:eastAsia="仿宋_GB2312"/>
          <w:sz w:val="32"/>
          <w:szCs w:val="32"/>
          <w:lang w:val="en-US" w:eastAsia="zh-CN"/>
        </w:rPr>
        <w:t>1</w:t>
      </w:r>
      <w:r>
        <w:rPr>
          <w:rFonts w:hint="eastAsia" w:ascii="仿宋_GB2312" w:eastAsia="仿宋_GB2312"/>
          <w:sz w:val="32"/>
          <w:szCs w:val="32"/>
          <w:lang w:eastAsia="zh-CN"/>
        </w:rPr>
        <w:t>年</w:t>
      </w:r>
      <w:r>
        <w:rPr>
          <w:rFonts w:hint="eastAsia" w:ascii="仿宋_GB2312" w:eastAsia="仿宋_GB2312"/>
          <w:sz w:val="32"/>
          <w:szCs w:val="32"/>
        </w:rPr>
        <w:t>财政供养人员编制为</w:t>
      </w:r>
      <w:r>
        <w:rPr>
          <w:rFonts w:hint="eastAsia" w:ascii="仿宋_GB2312" w:eastAsia="仿宋_GB2312"/>
          <w:sz w:val="32"/>
          <w:szCs w:val="32"/>
          <w:lang w:val="en-US" w:eastAsia="zh-CN"/>
        </w:rPr>
        <w:t>28</w:t>
      </w:r>
      <w:r>
        <w:rPr>
          <w:rFonts w:hint="eastAsia" w:ascii="仿宋_GB2312" w:eastAsia="仿宋_GB2312"/>
          <w:sz w:val="32"/>
          <w:szCs w:val="32"/>
        </w:rPr>
        <w:t>名，事业编制</w:t>
      </w:r>
      <w:r>
        <w:rPr>
          <w:rFonts w:hint="eastAsia" w:ascii="仿宋_GB2312" w:eastAsia="仿宋_GB2312"/>
          <w:sz w:val="32"/>
          <w:szCs w:val="32"/>
          <w:lang w:val="en-US" w:eastAsia="zh-CN"/>
        </w:rPr>
        <w:t>28</w:t>
      </w:r>
      <w:r>
        <w:rPr>
          <w:rFonts w:hint="eastAsia" w:ascii="仿宋_GB2312" w:eastAsia="仿宋_GB2312"/>
          <w:sz w:val="32"/>
          <w:szCs w:val="32"/>
        </w:rPr>
        <w:t>名；</w:t>
      </w:r>
      <w:r>
        <w:rPr>
          <w:rFonts w:hint="eastAsia" w:ascii="仿宋_GB2312" w:eastAsia="仿宋_GB2312" w:cs="仿宋_GB2312"/>
          <w:bCs/>
          <w:sz w:val="32"/>
          <w:szCs w:val="32"/>
          <w:lang w:val="zh-CN"/>
        </w:rPr>
        <w:t>2020年实际财政供养人员</w:t>
      </w:r>
      <w:r>
        <w:rPr>
          <w:rFonts w:hint="eastAsia" w:ascii="仿宋_GB2312" w:eastAsia="仿宋_GB2312" w:cs="仿宋_GB2312"/>
          <w:bCs/>
          <w:sz w:val="32"/>
          <w:szCs w:val="32"/>
          <w:lang w:val="en-US" w:eastAsia="zh-CN"/>
        </w:rPr>
        <w:t>26</w:t>
      </w:r>
      <w:r>
        <w:rPr>
          <w:rFonts w:hint="eastAsia" w:ascii="仿宋_GB2312" w:eastAsia="仿宋_GB2312" w:cs="仿宋_GB2312"/>
          <w:bCs/>
          <w:sz w:val="32"/>
          <w:szCs w:val="32"/>
          <w:lang w:val="zh-CN"/>
        </w:rPr>
        <w:t>人，较上年</w:t>
      </w:r>
      <w:r>
        <w:rPr>
          <w:rFonts w:hint="eastAsia" w:ascii="仿宋_GB2312" w:eastAsia="仿宋_GB2312" w:cs="仿宋_GB2312"/>
          <w:bCs/>
          <w:sz w:val="32"/>
          <w:szCs w:val="32"/>
          <w:lang w:val="en-US" w:eastAsia="zh-CN"/>
        </w:rPr>
        <w:t>减少2</w:t>
      </w:r>
      <w:r>
        <w:rPr>
          <w:rFonts w:hint="eastAsia" w:ascii="仿宋_GB2312" w:eastAsia="仿宋_GB2312" w:cs="仿宋_GB2312"/>
          <w:bCs/>
          <w:sz w:val="32"/>
          <w:szCs w:val="32"/>
          <w:lang w:val="zh-CN"/>
        </w:rPr>
        <w:t>人，其中：事业2</w:t>
      </w:r>
      <w:r>
        <w:rPr>
          <w:rFonts w:hint="eastAsia" w:ascii="仿宋_GB2312" w:eastAsia="仿宋_GB2312" w:cs="仿宋_GB2312"/>
          <w:bCs/>
          <w:sz w:val="32"/>
          <w:szCs w:val="32"/>
          <w:lang w:val="en-US" w:eastAsia="zh-CN"/>
        </w:rPr>
        <w:t>6</w:t>
      </w:r>
      <w:r>
        <w:rPr>
          <w:rFonts w:hint="eastAsia" w:ascii="仿宋_GB2312" w:eastAsia="仿宋_GB2312" w:cs="仿宋_GB2312"/>
          <w:bCs/>
          <w:sz w:val="32"/>
          <w:szCs w:val="32"/>
          <w:lang w:val="zh-CN"/>
        </w:rPr>
        <w:t>人。</w:t>
      </w:r>
    </w:p>
    <w:p w14:paraId="068CD5D2">
      <w:pPr>
        <w:pStyle w:val="2"/>
        <w:rPr>
          <w:lang w:val="zh-CN"/>
        </w:rPr>
      </w:pPr>
    </w:p>
    <w:p w14:paraId="4682EF5A">
      <w:pPr>
        <w:widowControl/>
        <w:spacing w:line="580" w:lineRule="exact"/>
        <w:ind w:firstLine="640"/>
        <w:contextualSpacing/>
        <w:jc w:val="left"/>
        <w:rPr>
          <w:rFonts w:ascii="黑体" w:hAnsi="宋体" w:eastAsia="黑体" w:cs="宋体"/>
          <w:color w:val="000000"/>
          <w:sz w:val="32"/>
          <w:szCs w:val="32"/>
          <w:shd w:val="clear" w:color="auto" w:fill="FFFFFF"/>
        </w:rPr>
      </w:pPr>
      <w:r>
        <w:rPr>
          <w:rFonts w:hint="eastAsia" w:ascii="黑体" w:hAnsi="宋体" w:eastAsia="黑体" w:cs="宋体"/>
          <w:color w:val="000000"/>
          <w:sz w:val="32"/>
          <w:szCs w:val="32"/>
          <w:shd w:val="clear" w:color="auto" w:fill="FFFFFF"/>
        </w:rPr>
        <w:t>二、部门财政资金收支情况</w:t>
      </w:r>
    </w:p>
    <w:p w14:paraId="110564B3">
      <w:pPr>
        <w:widowControl/>
        <w:spacing w:line="580" w:lineRule="exact"/>
        <w:ind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（一）部门财政资金收入情况。</w:t>
      </w:r>
    </w:p>
    <w:p w14:paraId="53562418">
      <w:pPr>
        <w:pageBreakBefore w:val="0"/>
        <w:spacing w:line="576" w:lineRule="exact"/>
        <w:ind w:firstLine="640"/>
        <w:outlineLvl w:val="1"/>
        <w:rPr>
          <w:lang w:val="zh-CN"/>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本年收入合计</w:t>
      </w:r>
      <w:r>
        <w:rPr>
          <w:rFonts w:hint="eastAsia" w:ascii="仿宋" w:hAnsi="仿宋" w:eastAsia="仿宋"/>
          <w:color w:val="000000"/>
          <w:sz w:val="32"/>
          <w:szCs w:val="32"/>
          <w:lang w:val="en-US" w:eastAsia="zh-CN"/>
        </w:rPr>
        <w:t>617.71</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617.71</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04988039">
      <w:pPr>
        <w:widowControl/>
        <w:numPr>
          <w:ilvl w:val="0"/>
          <w:numId w:val="6"/>
        </w:numPr>
        <w:spacing w:line="580" w:lineRule="exact"/>
        <w:ind w:left="0"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部门财政资金支出情况。</w:t>
      </w:r>
    </w:p>
    <w:p w14:paraId="2EF72050">
      <w:pPr>
        <w:pageBreakBefore w:val="0"/>
        <w:spacing w:line="576" w:lineRule="exact"/>
        <w:ind w:firstLine="640"/>
        <w:rPr>
          <w:rFonts w:hint="eastAsia" w:ascii="黑体" w:hAnsi="宋体" w:eastAsia="黑体" w:cs="宋体"/>
          <w:color w:val="000000"/>
          <w:sz w:val="32"/>
          <w:szCs w:val="32"/>
          <w:shd w:val="clear" w:color="auto" w:fill="FFFFFF"/>
        </w:rPr>
      </w:pPr>
      <w:r>
        <w:rPr>
          <w:rFonts w:hint="eastAsia" w:ascii="仿宋" w:hAnsi="仿宋" w:eastAsia="仿宋"/>
          <w:color w:val="000000"/>
          <w:sz w:val="32"/>
          <w:szCs w:val="32"/>
          <w:lang w:eastAsia="zh-CN"/>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lang w:eastAsia="zh-CN"/>
        </w:rPr>
        <w:t>年</w:t>
      </w:r>
      <w:r>
        <w:rPr>
          <w:rFonts w:hint="eastAsia" w:ascii="仿宋" w:hAnsi="仿宋" w:eastAsia="仿宋"/>
          <w:color w:val="000000"/>
          <w:sz w:val="32"/>
          <w:szCs w:val="32"/>
        </w:rPr>
        <w:t>本年支出合计</w:t>
      </w:r>
      <w:r>
        <w:rPr>
          <w:rFonts w:hint="eastAsia" w:ascii="仿宋" w:hAnsi="仿宋" w:eastAsia="仿宋"/>
          <w:color w:val="000000"/>
          <w:sz w:val="32"/>
          <w:szCs w:val="32"/>
          <w:lang w:val="en-US" w:eastAsia="zh-CN"/>
        </w:rPr>
        <w:t>1717.2</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483.14</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28</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1234.06</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6712CCE3">
      <w:pPr>
        <w:widowControl/>
        <w:numPr>
          <w:ilvl w:val="0"/>
          <w:numId w:val="0"/>
        </w:numPr>
        <w:spacing w:line="580" w:lineRule="exact"/>
        <w:contextualSpacing/>
        <w:jc w:val="left"/>
        <w:rPr>
          <w:rFonts w:ascii="黑体" w:hAnsi="宋体" w:eastAsia="黑体" w:cs="宋体"/>
          <w:color w:val="000000"/>
          <w:sz w:val="32"/>
          <w:szCs w:val="32"/>
          <w:shd w:val="clear" w:color="auto" w:fill="FFFFFF"/>
        </w:rPr>
      </w:pPr>
      <w:r>
        <w:rPr>
          <w:rFonts w:hint="eastAsia" w:ascii="黑体" w:hAnsi="宋体" w:eastAsia="黑体" w:cs="宋体"/>
          <w:color w:val="000000"/>
          <w:sz w:val="32"/>
          <w:szCs w:val="32"/>
          <w:shd w:val="clear" w:color="auto" w:fill="FFFFFF"/>
        </w:rPr>
        <w:t>三、部门整体预算绩效管理情况</w:t>
      </w:r>
    </w:p>
    <w:p w14:paraId="4E1FD2B4">
      <w:pPr>
        <w:widowControl/>
        <w:spacing w:line="580" w:lineRule="exact"/>
        <w:ind w:firstLine="640"/>
        <w:contextualSpacing/>
        <w:jc w:val="left"/>
        <w:rPr>
          <w:rFonts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（一）部门预算管理。</w:t>
      </w:r>
    </w:p>
    <w:p w14:paraId="290BC85E">
      <w:pPr>
        <w:widowControl/>
        <w:spacing w:line="580" w:lineRule="exact"/>
        <w:ind w:firstLine="640"/>
        <w:contextualSpacing/>
        <w:jc w:val="left"/>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rPr>
        <w:t>，我局积极履职，强化管理，较好</w:t>
      </w:r>
      <w:r>
        <w:rPr>
          <w:rFonts w:hint="eastAsia" w:ascii="仿宋_GB2312" w:hAnsi="仿宋_GB2312" w:eastAsia="仿宋_GB2312" w:cs="仿宋_GB2312"/>
          <w:bCs/>
          <w:sz w:val="32"/>
          <w:szCs w:val="32"/>
          <w:lang w:eastAsia="zh-CN"/>
        </w:rPr>
        <w:t>地</w:t>
      </w:r>
      <w:r>
        <w:rPr>
          <w:rFonts w:hint="eastAsia" w:ascii="仿宋_GB2312" w:hAnsi="仿宋_GB2312" w:eastAsia="仿宋_GB2312" w:cs="仿宋_GB2312"/>
          <w:bCs/>
          <w:sz w:val="32"/>
          <w:szCs w:val="32"/>
        </w:rPr>
        <w:t>完成了年度工作目标。通过加强预算收支管理，不断建立健全内部管理制度，梳理内部管理流程，部门整体支出管理水平得到提升。根据部门整体支出绩效评价指标体系，我单位</w:t>
      </w:r>
      <w:r>
        <w:rPr>
          <w:rFonts w:hint="eastAsia" w:ascii="仿宋_GB2312" w:hAnsi="仿宋_GB2312" w:eastAsia="仿宋_GB2312" w:cs="仿宋_GB2312"/>
          <w:bCs/>
          <w:sz w:val="32"/>
          <w:szCs w:val="32"/>
          <w:lang w:eastAsia="zh-CN"/>
        </w:rPr>
        <w:t>202</w:t>
      </w:r>
      <w:r>
        <w:rPr>
          <w:rFonts w:hint="eastAsia" w:ascii="仿宋_GB2312" w:hAnsi="仿宋_GB2312" w:eastAsia="仿宋_GB2312" w:cs="仿宋_GB2312"/>
          <w:bCs/>
          <w:sz w:val="32"/>
          <w:szCs w:val="32"/>
          <w:lang w:val="en-US" w:eastAsia="zh-CN"/>
        </w:rPr>
        <w:t>1</w:t>
      </w:r>
      <w:r>
        <w:rPr>
          <w:rFonts w:hint="eastAsia" w:ascii="仿宋_GB2312" w:hAnsi="仿宋_GB2312" w:eastAsia="仿宋_GB2312" w:cs="仿宋_GB2312"/>
          <w:bCs/>
          <w:sz w:val="32"/>
          <w:szCs w:val="32"/>
          <w:lang w:eastAsia="zh-CN"/>
        </w:rPr>
        <w:t>年</w:t>
      </w:r>
      <w:r>
        <w:rPr>
          <w:rFonts w:hint="eastAsia" w:ascii="仿宋_GB2312" w:hAnsi="仿宋_GB2312" w:eastAsia="仿宋_GB2312" w:cs="仿宋_GB2312"/>
          <w:bCs/>
          <w:sz w:val="32"/>
          <w:szCs w:val="32"/>
        </w:rPr>
        <w:t>度评价得分为8</w:t>
      </w:r>
      <w:r>
        <w:rPr>
          <w:rFonts w:hint="eastAsia" w:ascii="仿宋_GB2312" w:hAnsi="仿宋_GB2312" w:eastAsia="仿宋_GB2312" w:cs="仿宋_GB2312"/>
          <w:bCs/>
          <w:sz w:val="32"/>
          <w:szCs w:val="32"/>
          <w:lang w:val="en-US" w:eastAsia="zh-CN"/>
        </w:rPr>
        <w:t>8</w:t>
      </w:r>
      <w:r>
        <w:rPr>
          <w:rFonts w:hint="eastAsia" w:ascii="仿宋_GB2312" w:hAnsi="仿宋_GB2312" w:eastAsia="仿宋_GB2312" w:cs="仿宋_GB2312"/>
          <w:bCs/>
          <w:sz w:val="32"/>
          <w:szCs w:val="32"/>
        </w:rPr>
        <w:t>分。</w:t>
      </w:r>
    </w:p>
    <w:p w14:paraId="255DF2C7">
      <w:pPr>
        <w:widowControl/>
        <w:spacing w:line="580" w:lineRule="exact"/>
        <w:ind w:firstLine="640"/>
        <w:contextualSpacing/>
        <w:jc w:val="left"/>
        <w:rPr>
          <w:rFonts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（二）结果应用情况。</w:t>
      </w:r>
    </w:p>
    <w:p w14:paraId="1942A265">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 预算配置控制较好得15分。其中：财政供养人员控制率：在职2</w:t>
      </w:r>
      <w:r>
        <w:rPr>
          <w:rFonts w:hint="eastAsia" w:ascii="仿宋_GB2312" w:hAnsi="仿宋_GB2312" w:eastAsia="仿宋_GB2312" w:cs="仿宋_GB2312"/>
          <w:bCs/>
          <w:sz w:val="32"/>
          <w:szCs w:val="32"/>
          <w:lang w:val="en-US" w:eastAsia="zh-CN"/>
        </w:rPr>
        <w:t>6</w:t>
      </w:r>
      <w:r>
        <w:rPr>
          <w:rFonts w:hint="eastAsia" w:ascii="仿宋_GB2312" w:hAnsi="仿宋_GB2312" w:eastAsia="仿宋_GB2312" w:cs="仿宋_GB2312"/>
          <w:bCs/>
          <w:sz w:val="32"/>
          <w:szCs w:val="32"/>
        </w:rPr>
        <w:t>人/编制</w:t>
      </w:r>
      <w:r>
        <w:rPr>
          <w:rFonts w:hint="eastAsia" w:ascii="仿宋_GB2312" w:hAnsi="仿宋_GB2312" w:eastAsia="仿宋_GB2312" w:cs="仿宋_GB2312"/>
          <w:bCs/>
          <w:sz w:val="32"/>
          <w:szCs w:val="32"/>
          <w:lang w:val="en-US" w:eastAsia="zh-CN"/>
        </w:rPr>
        <w:t>28</w:t>
      </w:r>
      <w:r>
        <w:rPr>
          <w:rFonts w:hint="eastAsia" w:ascii="仿宋_GB2312" w:hAnsi="仿宋_GB2312" w:eastAsia="仿宋_GB2312" w:cs="仿宋_GB2312"/>
          <w:bCs/>
          <w:sz w:val="32"/>
          <w:szCs w:val="32"/>
        </w:rPr>
        <w:t>人*100%=</w:t>
      </w:r>
      <w:r>
        <w:rPr>
          <w:rFonts w:hint="eastAsia" w:ascii="仿宋_GB2312" w:hAnsi="仿宋_GB2312" w:eastAsia="仿宋_GB2312" w:cs="仿宋_GB2312"/>
          <w:bCs/>
          <w:sz w:val="32"/>
          <w:szCs w:val="32"/>
          <w:lang w:val="en-US" w:eastAsia="zh-CN"/>
        </w:rPr>
        <w:t>93</w:t>
      </w:r>
      <w:r>
        <w:rPr>
          <w:rFonts w:hint="eastAsia" w:ascii="仿宋_GB2312" w:hAnsi="仿宋_GB2312" w:eastAsia="仿宋_GB2312" w:cs="仿宋_GB2312"/>
          <w:bCs/>
          <w:sz w:val="32"/>
          <w:szCs w:val="32"/>
        </w:rPr>
        <w:t>%，得</w:t>
      </w:r>
      <w:r>
        <w:rPr>
          <w:rFonts w:hint="eastAsia" w:ascii="仿宋_GB2312" w:hAnsi="仿宋_GB2312" w:eastAsia="仿宋_GB2312" w:cs="仿宋_GB2312"/>
          <w:bCs/>
          <w:sz w:val="32"/>
          <w:szCs w:val="32"/>
          <w:lang w:val="en-US" w:eastAsia="zh-CN"/>
        </w:rPr>
        <w:t>5</w:t>
      </w:r>
      <w:r>
        <w:rPr>
          <w:rFonts w:hint="eastAsia" w:ascii="仿宋_GB2312" w:hAnsi="仿宋_GB2312" w:eastAsia="仿宋_GB2312" w:cs="仿宋_GB2312"/>
          <w:bCs/>
          <w:sz w:val="32"/>
          <w:szCs w:val="32"/>
        </w:rPr>
        <w:t>分；“三公”经费预算数没变动，变动率等于0，得5分；重点支出安排率≥90%，得5分。</w:t>
      </w:r>
    </w:p>
    <w:p w14:paraId="3CF32A88">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 预算执行比较到位得13分。</w:t>
      </w:r>
    </w:p>
    <w:p w14:paraId="274F5A47">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（1）预算调整率大于10%，得2分。</w:t>
      </w:r>
    </w:p>
    <w:p w14:paraId="56A1D3C1">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（2）支付进度：专项资金下达及时，按照正常进度进行支付，得3分。</w:t>
      </w:r>
    </w:p>
    <w:p w14:paraId="1992C362">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（3）结余资金：年初结余资金</w:t>
      </w:r>
      <w:r>
        <w:rPr>
          <w:rFonts w:hint="eastAsia" w:ascii="仿宋_GB2312" w:hAnsi="仿宋_GB2312" w:eastAsia="仿宋_GB2312" w:cs="仿宋_GB2312"/>
          <w:bCs/>
          <w:sz w:val="32"/>
          <w:szCs w:val="32"/>
          <w:lang w:val="en-US" w:eastAsia="zh-CN"/>
        </w:rPr>
        <w:t>1099.49</w:t>
      </w:r>
      <w:r>
        <w:rPr>
          <w:rFonts w:hint="eastAsia" w:ascii="仿宋_GB2312" w:hAnsi="仿宋_GB2312" w:eastAsia="仿宋_GB2312" w:cs="仿宋_GB2312"/>
          <w:bCs/>
          <w:sz w:val="32"/>
          <w:szCs w:val="32"/>
        </w:rPr>
        <w:t>万元，年末结余资金</w:t>
      </w:r>
      <w:r>
        <w:rPr>
          <w:rFonts w:hint="eastAsia" w:ascii="仿宋_GB2312" w:hAnsi="仿宋_GB2312" w:eastAsia="仿宋_GB2312" w:cs="仿宋_GB2312"/>
          <w:bCs/>
          <w:sz w:val="32"/>
          <w:szCs w:val="32"/>
          <w:lang w:val="en-US" w:eastAsia="zh-CN"/>
        </w:rPr>
        <w:t>0</w:t>
      </w:r>
      <w:r>
        <w:rPr>
          <w:rFonts w:hint="eastAsia" w:ascii="仿宋_GB2312" w:hAnsi="仿宋_GB2312" w:eastAsia="仿宋_GB2312" w:cs="仿宋_GB2312"/>
          <w:bCs/>
          <w:sz w:val="32"/>
          <w:szCs w:val="32"/>
        </w:rPr>
        <w:t>万元，未超过上年结余，得2分。</w:t>
      </w:r>
    </w:p>
    <w:p w14:paraId="49657308">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w:t>
      </w:r>
      <w:r>
        <w:rPr>
          <w:rFonts w:hint="eastAsia" w:ascii="仿宋_GB2312" w:hAnsi="仿宋_GB2312" w:eastAsia="仿宋_GB2312" w:cs="仿宋_GB2312"/>
          <w:bCs/>
          <w:sz w:val="32"/>
          <w:szCs w:val="32"/>
          <w:lang w:eastAsia="zh-CN"/>
        </w:rPr>
        <w:t>“三公”经费</w:t>
      </w:r>
      <w:r>
        <w:rPr>
          <w:rFonts w:hint="eastAsia" w:ascii="仿宋_GB2312" w:hAnsi="仿宋_GB2312" w:eastAsia="仿宋_GB2312" w:cs="仿宋_GB2312"/>
          <w:bCs/>
          <w:sz w:val="32"/>
          <w:szCs w:val="32"/>
        </w:rPr>
        <w:t>控制率：≤100%</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得6分。</w:t>
      </w:r>
    </w:p>
    <w:p w14:paraId="4B6FF106">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 预算管理</w:t>
      </w:r>
      <w:r>
        <w:rPr>
          <w:rFonts w:hint="eastAsia" w:ascii="仿宋_GB2312" w:hAnsi="仿宋_GB2312" w:eastAsia="仿宋_GB2312" w:cs="仿宋_GB2312"/>
          <w:bCs/>
          <w:sz w:val="32"/>
          <w:szCs w:val="32"/>
          <w:lang w:eastAsia="zh-CN"/>
        </w:rPr>
        <w:t>较为</w:t>
      </w:r>
      <w:r>
        <w:rPr>
          <w:rFonts w:hint="eastAsia" w:ascii="仿宋_GB2312" w:hAnsi="仿宋_GB2312" w:eastAsia="仿宋_GB2312" w:cs="仿宋_GB2312"/>
          <w:bCs/>
          <w:sz w:val="32"/>
          <w:szCs w:val="32"/>
        </w:rPr>
        <w:t>理想，制度执行总体较为有效，但仍需进一步强化。得15分。</w:t>
      </w:r>
    </w:p>
    <w:p w14:paraId="0CFEB645">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3D8F3A5D">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①已制定或具有预算资金管理办法，内部财务管理制度、会计核算制度等管理制度，1分；</w:t>
      </w:r>
    </w:p>
    <w:p w14:paraId="206EA883">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②相关管理制度合法、合规、完整，1分；</w:t>
      </w:r>
    </w:p>
    <w:p w14:paraId="4BD2FCF5">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③相关管理制度得到有效执行，1分。</w:t>
      </w:r>
    </w:p>
    <w:p w14:paraId="3AAA2494">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（2）资金使用合规性：得3分，</w:t>
      </w:r>
    </w:p>
    <w:p w14:paraId="5AC8B4F8">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①支出符合国家财经法规和财务管理制度规定以及有关专项资金管理办法的规定；</w:t>
      </w:r>
    </w:p>
    <w:p w14:paraId="1C9556A1">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②资金拨付有完整的审批程序和手续；</w:t>
      </w:r>
    </w:p>
    <w:p w14:paraId="0D4C68A2">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③项目支出按规定经过评估论证；</w:t>
      </w:r>
    </w:p>
    <w:p w14:paraId="061FFF70">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④支出符合部门预算批复的用途；</w:t>
      </w:r>
    </w:p>
    <w:p w14:paraId="1C72660B">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⑤资金使用无截留、挤占、挪用、虚列支出等情况。</w:t>
      </w:r>
    </w:p>
    <w:p w14:paraId="1755114C">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（3）预决算信息公开性和完整性：得3分，</w:t>
      </w:r>
    </w:p>
    <w:p w14:paraId="160CF2FE">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①按规定内容公开预决算信息，1分；</w:t>
      </w:r>
    </w:p>
    <w:p w14:paraId="50ED648E">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②按规定时限公开预决算信息，0.5分；</w:t>
      </w:r>
    </w:p>
    <w:p w14:paraId="6A45DF0D">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③基础数据信息和会计信息资料真实，0.5分；</w:t>
      </w:r>
    </w:p>
    <w:p w14:paraId="5684FD3C">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④基础数据信息和会计信息资料完整，0.5分；</w:t>
      </w:r>
    </w:p>
    <w:p w14:paraId="1EBAA94B">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⑤基础数据信息和汇集信息资料准确，0.5分。                                            </w:t>
      </w:r>
    </w:p>
    <w:p w14:paraId="717132AC">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（4）政府采购执行率=（实际政府采购金额与政府采购预算金额 一致）*100%=100%，得3分。</w:t>
      </w:r>
    </w:p>
    <w:p w14:paraId="787AC945">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（5）公务卡刷卡率：公务卡刷卡率达50%以上，得3分。</w:t>
      </w:r>
    </w:p>
    <w:p w14:paraId="46F6C8E2">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4.资产管理：资产管理制度健全，符合规范，安全性好。利用率较高，得</w:t>
      </w:r>
      <w:r>
        <w:rPr>
          <w:rFonts w:hint="eastAsia" w:ascii="仿宋_GB2312" w:hAnsi="仿宋_GB2312" w:eastAsia="仿宋_GB2312" w:cs="仿宋_GB2312"/>
          <w:bCs/>
          <w:sz w:val="32"/>
          <w:szCs w:val="32"/>
          <w:lang w:val="en-US" w:eastAsia="zh-CN"/>
        </w:rPr>
        <w:t>10</w:t>
      </w:r>
      <w:r>
        <w:rPr>
          <w:rFonts w:hint="eastAsia" w:ascii="仿宋_GB2312" w:hAnsi="仿宋_GB2312" w:eastAsia="仿宋_GB2312" w:cs="仿宋_GB2312"/>
          <w:bCs/>
          <w:sz w:val="32"/>
          <w:szCs w:val="32"/>
        </w:rPr>
        <w:t>分。</w:t>
      </w:r>
    </w:p>
    <w:p w14:paraId="0BA746C5">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（1）管理制度健全性：得3分，</w:t>
      </w:r>
    </w:p>
    <w:p w14:paraId="22B4D9AC">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①已制定或具有资产管理制度，且相关资产管理制度合法、合规、完整，2分；</w:t>
      </w:r>
    </w:p>
    <w:p w14:paraId="4E06A707">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②相关资产管理制度得到有效执行，1分。</w:t>
      </w:r>
    </w:p>
    <w:p w14:paraId="08E509D8">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（2）资产管理安全性：得</w:t>
      </w:r>
      <w:r>
        <w:rPr>
          <w:rFonts w:hint="eastAsia" w:ascii="仿宋_GB2312" w:hAnsi="仿宋_GB2312" w:eastAsia="仿宋_GB2312" w:cs="仿宋_GB2312"/>
          <w:bCs/>
          <w:sz w:val="32"/>
          <w:szCs w:val="32"/>
          <w:lang w:val="en-US" w:eastAsia="zh-CN"/>
        </w:rPr>
        <w:t>2</w:t>
      </w:r>
      <w:r>
        <w:rPr>
          <w:rFonts w:hint="eastAsia" w:ascii="仿宋_GB2312" w:hAnsi="仿宋_GB2312" w:eastAsia="仿宋_GB2312" w:cs="仿宋_GB2312"/>
          <w:bCs/>
          <w:sz w:val="32"/>
          <w:szCs w:val="32"/>
        </w:rPr>
        <w:t>分，</w:t>
      </w:r>
    </w:p>
    <w:p w14:paraId="159853CF">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①资产保存完整；</w:t>
      </w:r>
    </w:p>
    <w:p w14:paraId="0D0DBC3A">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②资产配置合理；</w:t>
      </w:r>
    </w:p>
    <w:p w14:paraId="6C656CA3">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 xml:space="preserve">③资产处置规范； </w:t>
      </w:r>
    </w:p>
    <w:p w14:paraId="43844E02">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④资产账务管理合规，</w:t>
      </w:r>
      <w:r>
        <w:rPr>
          <w:rFonts w:hint="eastAsia" w:ascii="仿宋_GB2312" w:hAnsi="仿宋_GB2312" w:eastAsia="仿宋_GB2312" w:cs="仿宋_GB2312"/>
          <w:bCs/>
          <w:sz w:val="32"/>
          <w:szCs w:val="32"/>
          <w:lang w:eastAsia="zh-CN"/>
        </w:rPr>
        <w:t>账实相符</w:t>
      </w:r>
      <w:r>
        <w:rPr>
          <w:rFonts w:hint="eastAsia" w:ascii="仿宋_GB2312" w:hAnsi="仿宋_GB2312" w:eastAsia="仿宋_GB2312" w:cs="仿宋_GB2312"/>
          <w:bCs/>
          <w:sz w:val="32"/>
          <w:szCs w:val="32"/>
        </w:rPr>
        <w:t>；</w:t>
      </w:r>
    </w:p>
    <w:p w14:paraId="2ACB32FD">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⑤不存在资产有偿使用及处置；</w:t>
      </w:r>
    </w:p>
    <w:p w14:paraId="120FF6BA">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（3）固</w:t>
      </w:r>
      <w:r>
        <w:rPr>
          <w:rFonts w:hint="eastAsia" w:ascii="仿宋_GB2312" w:hAnsi="仿宋_GB2312" w:eastAsia="仿宋_GB2312" w:cs="仿宋_GB2312"/>
          <w:bCs/>
          <w:sz w:val="32"/>
          <w:szCs w:val="32"/>
          <w:lang w:eastAsia="zh-CN"/>
        </w:rPr>
        <w:t>定资</w:t>
      </w:r>
      <w:r>
        <w:rPr>
          <w:rFonts w:hint="eastAsia" w:ascii="仿宋_GB2312" w:hAnsi="仿宋_GB2312" w:eastAsia="仿宋_GB2312" w:cs="仿宋_GB2312"/>
          <w:bCs/>
          <w:sz w:val="32"/>
          <w:szCs w:val="32"/>
        </w:rPr>
        <w:t>产利用率：≥90%，得2分</w:t>
      </w:r>
    </w:p>
    <w:p w14:paraId="53764213">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5.职责履行，得20分。</w:t>
      </w:r>
    </w:p>
    <w:p w14:paraId="712C36CE">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我局积极履职，强化管理，较好</w:t>
      </w:r>
      <w:r>
        <w:rPr>
          <w:rFonts w:hint="eastAsia" w:ascii="仿宋_GB2312" w:hAnsi="仿宋_GB2312" w:eastAsia="仿宋_GB2312" w:cs="仿宋_GB2312"/>
          <w:bCs/>
          <w:sz w:val="32"/>
          <w:szCs w:val="32"/>
          <w:lang w:eastAsia="zh-CN"/>
        </w:rPr>
        <w:t>地</w:t>
      </w:r>
      <w:r>
        <w:rPr>
          <w:rFonts w:hint="eastAsia" w:ascii="仿宋_GB2312" w:hAnsi="仿宋_GB2312" w:eastAsia="仿宋_GB2312" w:cs="仿宋_GB2312"/>
          <w:bCs/>
          <w:sz w:val="32"/>
          <w:szCs w:val="32"/>
        </w:rPr>
        <w:t>完成了年度工作目标。通过加强预算收支管理，不断建立健全内部管理制度，梳理内部管理流程，部门整体支出管理水平得到提升</w:t>
      </w:r>
      <w:r>
        <w:rPr>
          <w:rFonts w:hint="eastAsia" w:ascii="仿宋_GB2312" w:hAnsi="仿宋_GB2312" w:eastAsia="仿宋_GB2312" w:cs="仿宋_GB2312"/>
          <w:bCs/>
          <w:sz w:val="32"/>
          <w:szCs w:val="32"/>
          <w:lang w:eastAsia="zh-CN"/>
        </w:rPr>
        <w:t>，</w:t>
      </w:r>
    </w:p>
    <w:p w14:paraId="5F9E9023">
      <w:pPr>
        <w:pageBreakBefore w:val="0"/>
        <w:spacing w:line="576" w:lineRule="exact"/>
        <w:ind w:firstLine="64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6.履职效益：得15分。各项工作有序开展，社会和谐稳定。</w:t>
      </w:r>
    </w:p>
    <w:p w14:paraId="250C8C79">
      <w:pPr>
        <w:widowControl/>
        <w:spacing w:line="580" w:lineRule="exact"/>
        <w:ind w:firstLine="640"/>
        <w:contextualSpacing/>
        <w:jc w:val="left"/>
        <w:rPr>
          <w:rFonts w:ascii="黑体" w:hAnsi="宋体" w:eastAsia="黑体" w:cs="宋体"/>
          <w:color w:val="000000"/>
          <w:sz w:val="32"/>
          <w:szCs w:val="32"/>
          <w:shd w:val="clear" w:color="auto" w:fill="FFFFFF"/>
        </w:rPr>
      </w:pPr>
      <w:r>
        <w:rPr>
          <w:rFonts w:hint="eastAsia" w:ascii="黑体" w:hAnsi="宋体" w:eastAsia="黑体" w:cs="宋体"/>
          <w:color w:val="000000"/>
          <w:sz w:val="32"/>
          <w:szCs w:val="32"/>
          <w:shd w:val="clear" w:color="auto" w:fill="FFFFFF"/>
        </w:rPr>
        <w:t>四、评价结论及建议</w:t>
      </w:r>
    </w:p>
    <w:p w14:paraId="13B63422">
      <w:pPr>
        <w:widowControl/>
        <w:spacing w:line="580" w:lineRule="exact"/>
        <w:ind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（一）评价结论。</w:t>
      </w:r>
    </w:p>
    <w:p w14:paraId="7861F93B">
      <w:pPr>
        <w:pageBreakBefore w:val="0"/>
        <w:spacing w:line="576" w:lineRule="exact"/>
        <w:ind w:firstLine="640"/>
        <w:rPr>
          <w:rFonts w:hint="default"/>
          <w:lang w:val="en-US"/>
        </w:rPr>
      </w:pPr>
      <w:r>
        <w:rPr>
          <w:rFonts w:hint="eastAsia" w:ascii="仿宋_GB2312" w:hAnsi="仿宋_GB2312" w:eastAsia="仿宋_GB2312" w:cs="仿宋_GB2312"/>
          <w:color w:val="000000"/>
          <w:sz w:val="32"/>
          <w:szCs w:val="32"/>
        </w:rPr>
        <w:t>通过一年的努力，</w:t>
      </w:r>
      <w:r>
        <w:rPr>
          <w:rFonts w:hint="eastAsia" w:ascii="仿宋_GB2312" w:hAnsi="仿宋_GB2312" w:eastAsia="仿宋_GB2312" w:cs="仿宋_GB2312"/>
          <w:color w:val="000000"/>
          <w:sz w:val="32"/>
          <w:szCs w:val="32"/>
          <w:lang w:val="en-US" w:eastAsia="zh-CN"/>
        </w:rPr>
        <w:t>贫困户对干部、对落实政策等满意度大幅提升。我局4个灾后重建项目均已顺利转固。</w:t>
      </w:r>
    </w:p>
    <w:p w14:paraId="1C9A59C8">
      <w:pPr>
        <w:widowControl/>
        <w:numPr>
          <w:ilvl w:val="0"/>
          <w:numId w:val="7"/>
        </w:numPr>
        <w:spacing w:line="580" w:lineRule="exact"/>
        <w:ind w:firstLine="640"/>
        <w:contextualSpacing/>
        <w:jc w:val="left"/>
        <w:rPr>
          <w:rFonts w:hint="eastAsia"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存在问题。</w:t>
      </w:r>
    </w:p>
    <w:p w14:paraId="351264D8">
      <w:pPr>
        <w:pageBreakBefore w:val="0"/>
        <w:spacing w:line="576" w:lineRule="exact"/>
        <w:ind w:firstLine="643"/>
        <w:rPr>
          <w:lang w:val="zh-CN"/>
        </w:rPr>
      </w:pPr>
      <w:r>
        <w:rPr>
          <w:rFonts w:hint="eastAsia" w:ascii="仿宋_GB2312" w:hAnsi="仿宋_GB2312" w:eastAsia="仿宋_GB2312" w:cs="仿宋_GB2312"/>
          <w:b/>
          <w:bCs/>
          <w:color w:val="000000"/>
          <w:sz w:val="32"/>
          <w:szCs w:val="32"/>
          <w:lang w:val="en-US" w:eastAsia="zh-CN"/>
        </w:rPr>
        <w:t>一是</w:t>
      </w:r>
      <w:r>
        <w:rPr>
          <w:rFonts w:hint="eastAsia" w:ascii="仿宋_GB2312" w:hAnsi="仿宋_GB2312" w:eastAsia="仿宋_GB2312" w:cs="仿宋_GB2312"/>
          <w:b w:val="0"/>
          <w:bCs w:val="0"/>
          <w:color w:val="000000"/>
          <w:sz w:val="32"/>
          <w:szCs w:val="32"/>
          <w:lang w:val="en-US" w:eastAsia="zh-CN"/>
        </w:rPr>
        <w:t>单位业务更新快，业务软件升级快。但业务人员</w:t>
      </w:r>
      <w:r>
        <w:rPr>
          <w:rFonts w:hint="eastAsia" w:ascii="仿宋_GB2312" w:hAnsi="仿宋_GB2312" w:eastAsia="仿宋_GB2312" w:cs="仿宋_GB2312"/>
          <w:color w:val="000000"/>
          <w:sz w:val="32"/>
          <w:szCs w:val="32"/>
          <w:lang w:val="en-US" w:eastAsia="zh-CN"/>
        </w:rPr>
        <w:t>专业技术知识更新缓慢</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边摸索、边学习，难免多走弯路。</w:t>
      </w:r>
      <w:r>
        <w:rPr>
          <w:rFonts w:hint="eastAsia" w:ascii="仿宋_GB2312" w:hAnsi="仿宋_GB2312" w:eastAsia="仿宋_GB2312" w:cs="仿宋_GB2312"/>
          <w:b/>
          <w:bCs/>
          <w:color w:val="000000"/>
          <w:sz w:val="32"/>
          <w:szCs w:val="32"/>
          <w:lang w:val="en-US" w:eastAsia="zh-CN"/>
        </w:rPr>
        <w:t>二是</w:t>
      </w:r>
      <w:r>
        <w:rPr>
          <w:rFonts w:hint="eastAsia" w:ascii="仿宋_GB2312" w:hAnsi="仿宋_GB2312" w:eastAsia="仿宋_GB2312" w:cs="仿宋_GB2312"/>
          <w:sz w:val="32"/>
          <w:szCs w:val="32"/>
        </w:rPr>
        <w:t>神仙池景区沿线的通讯问题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上四寨至神仙池景区沿线无信号，处于</w:t>
      </w:r>
      <w:r>
        <w:rPr>
          <w:rFonts w:hint="eastAsia" w:ascii="仿宋_GB2312" w:hAnsi="仿宋_GB2312" w:eastAsia="仿宋_GB2312" w:cs="仿宋_GB2312"/>
          <w:sz w:val="32"/>
          <w:szCs w:val="32"/>
          <w:lang w:eastAsia="zh-CN"/>
        </w:rPr>
        <w:t>通信盲区</w:t>
      </w:r>
      <w:r>
        <w:rPr>
          <w:rFonts w:hint="eastAsia" w:ascii="仿宋_GB2312" w:hAnsi="仿宋_GB2312" w:eastAsia="仿宋_GB2312" w:cs="仿宋_GB2312"/>
          <w:sz w:val="32"/>
          <w:szCs w:val="32"/>
        </w:rPr>
        <w:t>，这对树立九寨旅游形象和景区资源保护、护林防火工作都极为不利</w:t>
      </w:r>
      <w:r>
        <w:rPr>
          <w:rFonts w:hint="eastAsia" w:ascii="仿宋_GB2312" w:hAnsi="仿宋_GB2312" w:eastAsia="仿宋_GB2312" w:cs="仿宋_GB2312"/>
          <w:color w:val="000000"/>
          <w:sz w:val="32"/>
          <w:szCs w:val="32"/>
        </w:rPr>
        <w:t>。</w:t>
      </w:r>
    </w:p>
    <w:p w14:paraId="76355DAC">
      <w:pPr>
        <w:widowControl/>
        <w:spacing w:line="580" w:lineRule="exact"/>
        <w:ind w:firstLine="640"/>
        <w:contextualSpacing/>
        <w:jc w:val="left"/>
        <w:rPr>
          <w:rFonts w:ascii="仿宋_GB2312" w:hAnsi="宋体" w:eastAsia="仿宋_GB2312" w:cs="宋体"/>
          <w:color w:val="000000"/>
          <w:sz w:val="32"/>
          <w:szCs w:val="32"/>
          <w:shd w:val="clear" w:color="auto" w:fill="FFFFFF"/>
          <w:lang w:val="zh-CN"/>
        </w:rPr>
      </w:pPr>
      <w:r>
        <w:rPr>
          <w:rFonts w:hint="eastAsia" w:ascii="仿宋_GB2312" w:hAnsi="宋体" w:eastAsia="仿宋_GB2312" w:cs="宋体"/>
          <w:color w:val="000000"/>
          <w:sz w:val="32"/>
          <w:szCs w:val="32"/>
          <w:shd w:val="clear" w:color="auto" w:fill="FFFFFF"/>
          <w:lang w:val="zh-CN"/>
        </w:rPr>
        <w:t>（三）改进建议。</w:t>
      </w:r>
    </w:p>
    <w:p w14:paraId="4124ED4B">
      <w:pPr>
        <w:spacing w:line="580" w:lineRule="exact"/>
        <w:ind w:firstLine="643"/>
        <w:rPr>
          <w:rFonts w:hint="default" w:ascii="仿宋_GB2312" w:hAnsi="仿宋_GB2312" w:eastAsia="仿宋_GB2312" w:cs="仿宋_GB2312"/>
          <w:bCs/>
          <w:sz w:val="32"/>
          <w:szCs w:val="32"/>
          <w:lang w:val="en-US" w:eastAsia="zh-CN"/>
        </w:rPr>
      </w:pPr>
      <w:r>
        <w:rPr>
          <w:rFonts w:hint="eastAsia" w:ascii="仿宋_GB2312" w:hAnsi="仿宋_GB2312" w:eastAsia="仿宋_GB2312" w:cs="仿宋_GB2312"/>
          <w:b/>
          <w:bCs w:val="0"/>
          <w:sz w:val="32"/>
          <w:szCs w:val="32"/>
          <w:lang w:val="en-US" w:eastAsia="zh-CN"/>
        </w:rPr>
        <w:t>一是</w:t>
      </w:r>
      <w:r>
        <w:rPr>
          <w:rFonts w:hint="eastAsia" w:ascii="仿宋_GB2312" w:hAnsi="仿宋_GB2312" w:eastAsia="仿宋_GB2312" w:cs="仿宋_GB2312"/>
          <w:bCs/>
          <w:sz w:val="32"/>
          <w:szCs w:val="32"/>
          <w:lang w:val="en-US" w:eastAsia="zh-CN"/>
        </w:rPr>
        <w:t>加强我单位业务工作人才的培养，对当前专业技术人员进行锻炼，不断提升其专业技术水平及业务能力，另一方面积极引进急需的专业技术人才，改善现有专业技术人员构成。</w:t>
      </w:r>
      <w:r>
        <w:rPr>
          <w:rFonts w:hint="eastAsia" w:ascii="仿宋_GB2312" w:hAnsi="仿宋_GB2312" w:eastAsia="仿宋_GB2312" w:cs="仿宋_GB2312"/>
          <w:b/>
          <w:bCs w:val="0"/>
          <w:sz w:val="32"/>
          <w:szCs w:val="32"/>
          <w:lang w:val="en-US" w:eastAsia="zh-CN"/>
        </w:rPr>
        <w:t>二是</w:t>
      </w:r>
      <w:r>
        <w:rPr>
          <w:rFonts w:hint="eastAsia" w:ascii="仿宋_GB2312" w:hAnsi="仿宋_GB2312" w:eastAsia="仿宋_GB2312" w:cs="仿宋_GB2312"/>
          <w:bCs/>
          <w:sz w:val="32"/>
          <w:szCs w:val="32"/>
          <w:lang w:val="en-US" w:eastAsia="zh-CN"/>
        </w:rPr>
        <w:t>积极与相关通信部门联系，确保景区通信无盲区。提高林业、草原防灭火能力。</w:t>
      </w:r>
      <w:bookmarkEnd w:id="53"/>
    </w:p>
    <w:p w14:paraId="0D0591AE">
      <w:pPr>
        <w:pageBreakBefore w:val="0"/>
        <w:spacing w:line="576" w:lineRule="exact"/>
        <w:jc w:val="both"/>
        <w:outlineLvl w:val="0"/>
        <w:rPr>
          <w:rFonts w:ascii="仿宋" w:hAnsi="仿宋" w:eastAsia="仿宋"/>
          <w:b/>
          <w:color w:val="000000"/>
          <w:sz w:val="44"/>
          <w:szCs w:val="44"/>
        </w:rPr>
      </w:pPr>
    </w:p>
    <w:p w14:paraId="085C392C">
      <w:pPr>
        <w:pageBreakBefore w:val="0"/>
        <w:spacing w:line="576" w:lineRule="exact"/>
        <w:jc w:val="center"/>
        <w:outlineLvl w:val="0"/>
        <w:rPr>
          <w:rFonts w:hint="eastAsia" w:ascii="黑体" w:hAnsi="黑体" w:eastAsia="黑体"/>
          <w:color w:val="000000"/>
          <w:sz w:val="44"/>
          <w:szCs w:val="44"/>
        </w:rPr>
      </w:pPr>
    </w:p>
    <w:p w14:paraId="5877039E">
      <w:pPr>
        <w:pageBreakBefore w:val="0"/>
        <w:spacing w:line="576" w:lineRule="exact"/>
        <w:jc w:val="center"/>
        <w:outlineLvl w:val="0"/>
        <w:rPr>
          <w:rFonts w:hint="eastAsia" w:ascii="黑体" w:hAnsi="黑体" w:eastAsia="黑体"/>
          <w:color w:val="000000"/>
          <w:sz w:val="44"/>
          <w:szCs w:val="44"/>
        </w:rPr>
      </w:pPr>
    </w:p>
    <w:p w14:paraId="2F4E3E03">
      <w:pPr>
        <w:pageBreakBefore w:val="0"/>
        <w:spacing w:line="576" w:lineRule="exact"/>
        <w:jc w:val="center"/>
        <w:outlineLvl w:val="0"/>
        <w:rPr>
          <w:rFonts w:hint="eastAsia" w:ascii="黑体" w:hAnsi="黑体" w:eastAsia="黑体"/>
          <w:color w:val="000000"/>
          <w:sz w:val="44"/>
          <w:szCs w:val="44"/>
        </w:rPr>
      </w:pPr>
    </w:p>
    <w:p w14:paraId="162DCFC5">
      <w:pPr>
        <w:pageBreakBefore w:val="0"/>
        <w:spacing w:line="576" w:lineRule="exact"/>
        <w:jc w:val="center"/>
        <w:outlineLvl w:val="0"/>
        <w:rPr>
          <w:rFonts w:hint="eastAsia" w:ascii="黑体" w:hAnsi="黑体" w:eastAsia="黑体"/>
          <w:color w:val="000000"/>
          <w:sz w:val="44"/>
          <w:szCs w:val="44"/>
        </w:rPr>
      </w:pPr>
    </w:p>
    <w:p w14:paraId="157731A1">
      <w:pPr>
        <w:pageBreakBefore w:val="0"/>
        <w:spacing w:line="576" w:lineRule="exact"/>
        <w:jc w:val="center"/>
        <w:outlineLvl w:val="0"/>
        <w:rPr>
          <w:rFonts w:hint="eastAsia" w:ascii="黑体" w:hAnsi="黑体" w:eastAsia="黑体"/>
          <w:color w:val="000000"/>
          <w:sz w:val="44"/>
          <w:szCs w:val="44"/>
        </w:rPr>
      </w:pPr>
    </w:p>
    <w:p w14:paraId="0215CB41">
      <w:pPr>
        <w:pageBreakBefore w:val="0"/>
        <w:spacing w:line="576" w:lineRule="exact"/>
        <w:jc w:val="center"/>
        <w:outlineLvl w:val="0"/>
        <w:rPr>
          <w:rFonts w:hint="eastAsia" w:ascii="黑体" w:hAnsi="黑体" w:eastAsia="黑体"/>
          <w:color w:val="000000"/>
          <w:sz w:val="44"/>
          <w:szCs w:val="44"/>
        </w:rPr>
      </w:pPr>
    </w:p>
    <w:p w14:paraId="165B4B19">
      <w:pPr>
        <w:pageBreakBefore w:val="0"/>
        <w:spacing w:line="576" w:lineRule="exact"/>
        <w:jc w:val="center"/>
        <w:outlineLvl w:val="0"/>
        <w:rPr>
          <w:rFonts w:hint="eastAsia" w:ascii="黑体" w:hAnsi="黑体" w:eastAsia="黑体"/>
          <w:color w:val="000000"/>
          <w:sz w:val="44"/>
          <w:szCs w:val="44"/>
        </w:rPr>
      </w:pPr>
    </w:p>
    <w:p w14:paraId="5308A3B1">
      <w:pPr>
        <w:pageBreakBefore w:val="0"/>
        <w:spacing w:line="576" w:lineRule="exact"/>
        <w:jc w:val="center"/>
        <w:outlineLvl w:val="0"/>
        <w:rPr>
          <w:rFonts w:hint="eastAsia" w:ascii="黑体" w:hAnsi="黑体" w:eastAsia="黑体"/>
          <w:color w:val="000000"/>
          <w:sz w:val="44"/>
          <w:szCs w:val="44"/>
        </w:rPr>
      </w:pPr>
    </w:p>
    <w:bookmarkEnd w:id="50"/>
    <w:p w14:paraId="350BF8BB">
      <w:pPr>
        <w:pageBreakBefore w:val="0"/>
        <w:spacing w:line="576" w:lineRule="exact"/>
        <w:jc w:val="center"/>
        <w:outlineLvl w:val="0"/>
        <w:rPr>
          <w:rFonts w:hint="eastAsia" w:ascii="黑体" w:hAnsi="黑体" w:eastAsia="黑体"/>
          <w:color w:val="000000"/>
          <w:sz w:val="44"/>
          <w:szCs w:val="44"/>
        </w:rPr>
      </w:pPr>
    </w:p>
    <w:p w14:paraId="2AD63243">
      <w:pPr>
        <w:pStyle w:val="5"/>
        <w:rPr>
          <w:rStyle w:val="184"/>
          <w:rFonts w:hint="eastAsia" w:ascii="黑体" w:eastAsia="黑体"/>
          <w:b w:val="0"/>
          <w:bCs/>
        </w:rPr>
      </w:pPr>
      <w:bookmarkStart w:id="54" w:name="_Toc15396618"/>
      <w:r>
        <w:rPr>
          <w:rFonts w:hint="eastAsia" w:ascii="黑体" w:eastAsia="黑体"/>
          <w:sz w:val="44"/>
          <w:szCs w:val="44"/>
        </w:rPr>
        <w:t>第</w:t>
      </w:r>
      <w:r>
        <w:rPr>
          <w:rStyle w:val="184"/>
          <w:rFonts w:hint="eastAsia" w:ascii="黑体" w:eastAsia="黑体"/>
          <w:b w:val="0"/>
          <w:bCs/>
        </w:rPr>
        <w:t>五部分 附表</w:t>
      </w:r>
      <w:bookmarkEnd w:id="49"/>
      <w:bookmarkEnd w:id="54"/>
      <w:bookmarkStart w:id="55" w:name="_Toc15396619"/>
    </w:p>
    <w:p w14:paraId="42EF01D0">
      <w:pPr>
        <w:pStyle w:val="5"/>
        <w:rPr>
          <w:rFonts w:ascii="仿宋" w:eastAsia="仿宋"/>
        </w:rPr>
      </w:pPr>
      <w:r>
        <w:rPr>
          <w:rFonts w:hint="eastAsia" w:ascii="仿宋" w:eastAsia="仿宋"/>
          <w:b w:val="0"/>
        </w:rPr>
        <w:t>一、收</w:t>
      </w:r>
      <w:r>
        <w:rPr>
          <w:rStyle w:val="185"/>
          <w:rFonts w:hint="eastAsia" w:ascii="仿宋" w:eastAsia="仿宋"/>
          <w:b w:val="0"/>
          <w:bCs w:val="0"/>
        </w:rPr>
        <w:t>入支出决算总表</w:t>
      </w:r>
    </w:p>
    <w:p w14:paraId="31B16A71">
      <w:pPr>
        <w:pStyle w:val="5"/>
        <w:rPr>
          <w:rFonts w:ascii="仿宋" w:eastAsia="仿宋"/>
        </w:rPr>
      </w:pPr>
      <w:r>
        <w:rPr>
          <w:rFonts w:hint="eastAsia" w:ascii="仿宋" w:eastAsia="仿宋"/>
          <w:b w:val="0"/>
        </w:rPr>
        <w:t>二、收</w:t>
      </w:r>
      <w:r>
        <w:rPr>
          <w:rStyle w:val="185"/>
          <w:rFonts w:hint="eastAsia" w:ascii="仿宋" w:eastAsia="仿宋"/>
          <w:b w:val="0"/>
          <w:bCs w:val="0"/>
        </w:rPr>
        <w:t>入决算表</w:t>
      </w:r>
    </w:p>
    <w:p w14:paraId="244A1D34">
      <w:pPr>
        <w:pStyle w:val="5"/>
        <w:rPr>
          <w:rFonts w:ascii="仿宋" w:eastAsia="仿宋"/>
        </w:rPr>
      </w:pPr>
      <w:r>
        <w:rPr>
          <w:rStyle w:val="185"/>
          <w:rFonts w:hint="eastAsia" w:ascii="仿宋" w:eastAsia="仿宋"/>
          <w:b w:val="0"/>
          <w:bCs w:val="0"/>
        </w:rPr>
        <w:t>三、</w:t>
      </w:r>
      <w:r>
        <w:rPr>
          <w:rFonts w:hint="eastAsia" w:ascii="仿宋" w:eastAsia="仿宋"/>
          <w:b w:val="0"/>
        </w:rPr>
        <w:t>支</w:t>
      </w:r>
      <w:r>
        <w:rPr>
          <w:rStyle w:val="185"/>
          <w:rFonts w:hint="eastAsia" w:ascii="仿宋" w:eastAsia="仿宋"/>
          <w:b w:val="0"/>
          <w:bCs w:val="0"/>
        </w:rPr>
        <w:t>出决算表</w:t>
      </w:r>
    </w:p>
    <w:p w14:paraId="74B44931">
      <w:pPr>
        <w:pStyle w:val="5"/>
        <w:rPr>
          <w:rFonts w:ascii="仿宋" w:eastAsia="仿宋"/>
          <w:b w:val="0"/>
        </w:rPr>
      </w:pPr>
      <w:r>
        <w:rPr>
          <w:rStyle w:val="185"/>
          <w:rFonts w:hint="eastAsia" w:ascii="仿宋" w:eastAsia="仿宋"/>
          <w:b w:val="0"/>
          <w:bCs w:val="0"/>
        </w:rPr>
        <w:t>四、</w:t>
      </w:r>
      <w:r>
        <w:rPr>
          <w:rFonts w:hint="eastAsia" w:ascii="仿宋" w:eastAsia="仿宋"/>
          <w:b w:val="0"/>
        </w:rPr>
        <w:t>财</w:t>
      </w:r>
      <w:r>
        <w:rPr>
          <w:rStyle w:val="185"/>
          <w:rFonts w:hint="eastAsia" w:ascii="仿宋" w:eastAsia="仿宋"/>
          <w:b w:val="0"/>
          <w:bCs w:val="0"/>
        </w:rPr>
        <w:t>政拨款收入支出决算总表</w:t>
      </w:r>
    </w:p>
    <w:p w14:paraId="7F81A5D1">
      <w:pPr>
        <w:pStyle w:val="5"/>
        <w:rPr>
          <w:rStyle w:val="185"/>
          <w:rFonts w:ascii="仿宋" w:eastAsia="仿宋"/>
          <w:b w:val="0"/>
          <w:bCs w:val="0"/>
        </w:rPr>
      </w:pPr>
      <w:r>
        <w:rPr>
          <w:rStyle w:val="185"/>
          <w:rFonts w:hint="eastAsia" w:ascii="仿宋" w:eastAsia="仿宋"/>
          <w:b w:val="0"/>
          <w:bCs w:val="0"/>
        </w:rPr>
        <w:t>五、</w:t>
      </w:r>
      <w:r>
        <w:rPr>
          <w:rFonts w:hint="eastAsia" w:ascii="仿宋" w:eastAsia="仿宋"/>
          <w:b w:val="0"/>
        </w:rPr>
        <w:t>财</w:t>
      </w:r>
      <w:r>
        <w:rPr>
          <w:rStyle w:val="185"/>
          <w:rFonts w:hint="eastAsia" w:ascii="仿宋" w:eastAsia="仿宋"/>
          <w:b w:val="0"/>
          <w:bCs w:val="0"/>
        </w:rPr>
        <w:t>政拨款支出决算明细表</w:t>
      </w:r>
    </w:p>
    <w:p w14:paraId="5A644716">
      <w:pPr>
        <w:pStyle w:val="5"/>
        <w:rPr>
          <w:rFonts w:ascii="仿宋" w:eastAsia="仿宋"/>
        </w:rPr>
      </w:pPr>
      <w:r>
        <w:rPr>
          <w:rStyle w:val="185"/>
          <w:rFonts w:hint="eastAsia" w:ascii="仿宋" w:eastAsia="仿宋"/>
          <w:b w:val="0"/>
          <w:bCs w:val="0"/>
        </w:rPr>
        <w:t>六、</w:t>
      </w:r>
      <w:r>
        <w:rPr>
          <w:rFonts w:hint="eastAsia" w:ascii="仿宋" w:eastAsia="仿宋"/>
          <w:b w:val="0"/>
        </w:rPr>
        <w:t>一</w:t>
      </w:r>
      <w:r>
        <w:rPr>
          <w:rStyle w:val="185"/>
          <w:rFonts w:hint="eastAsia" w:ascii="仿宋" w:eastAsia="仿宋"/>
          <w:b w:val="0"/>
          <w:bCs w:val="0"/>
        </w:rPr>
        <w:t>般公共预算财政拨款支出决算表</w:t>
      </w:r>
    </w:p>
    <w:p w14:paraId="00A47962">
      <w:pPr>
        <w:pStyle w:val="5"/>
        <w:rPr>
          <w:rFonts w:ascii="仿宋" w:eastAsia="仿宋"/>
        </w:rPr>
      </w:pPr>
      <w:r>
        <w:rPr>
          <w:rStyle w:val="185"/>
          <w:rFonts w:hint="eastAsia" w:ascii="仿宋" w:eastAsia="仿宋"/>
          <w:b w:val="0"/>
          <w:bCs w:val="0"/>
        </w:rPr>
        <w:t>七、</w:t>
      </w:r>
      <w:r>
        <w:rPr>
          <w:rFonts w:hint="eastAsia" w:ascii="仿宋" w:eastAsia="仿宋"/>
          <w:b w:val="0"/>
        </w:rPr>
        <w:t>一</w:t>
      </w:r>
      <w:r>
        <w:rPr>
          <w:rStyle w:val="185"/>
          <w:rFonts w:hint="eastAsia" w:ascii="仿宋" w:eastAsia="仿宋"/>
          <w:b w:val="0"/>
          <w:bCs w:val="0"/>
        </w:rPr>
        <w:t>般公共预算财政拨款支出决算明细表</w:t>
      </w:r>
    </w:p>
    <w:p w14:paraId="0A244F44">
      <w:pPr>
        <w:pStyle w:val="5"/>
        <w:rPr>
          <w:rFonts w:ascii="仿宋" w:eastAsia="仿宋"/>
        </w:rPr>
      </w:pPr>
      <w:r>
        <w:rPr>
          <w:rStyle w:val="185"/>
          <w:rFonts w:hint="eastAsia" w:ascii="仿宋" w:eastAsia="仿宋"/>
          <w:b w:val="0"/>
          <w:bCs w:val="0"/>
        </w:rPr>
        <w:t>八、</w:t>
      </w:r>
      <w:r>
        <w:rPr>
          <w:rFonts w:hint="eastAsia" w:ascii="仿宋" w:eastAsia="仿宋"/>
          <w:b w:val="0"/>
        </w:rPr>
        <w:t>一</w:t>
      </w:r>
      <w:r>
        <w:rPr>
          <w:rStyle w:val="185"/>
          <w:rFonts w:hint="eastAsia" w:ascii="仿宋" w:eastAsia="仿宋"/>
          <w:b w:val="0"/>
          <w:bCs w:val="0"/>
        </w:rPr>
        <w:t>般公共预算财政拨款基本支出决算表</w:t>
      </w:r>
    </w:p>
    <w:p w14:paraId="128ACB98">
      <w:pPr>
        <w:pStyle w:val="5"/>
        <w:rPr>
          <w:rFonts w:ascii="仿宋" w:eastAsia="仿宋"/>
        </w:rPr>
      </w:pPr>
      <w:r>
        <w:rPr>
          <w:rStyle w:val="185"/>
          <w:rFonts w:hint="eastAsia" w:ascii="仿宋" w:eastAsia="仿宋"/>
          <w:b w:val="0"/>
          <w:bCs w:val="0"/>
        </w:rPr>
        <w:t>九、</w:t>
      </w:r>
      <w:r>
        <w:rPr>
          <w:rFonts w:hint="eastAsia" w:ascii="仿宋" w:eastAsia="仿宋"/>
          <w:b w:val="0"/>
        </w:rPr>
        <w:t>一</w:t>
      </w:r>
      <w:r>
        <w:rPr>
          <w:rStyle w:val="185"/>
          <w:rFonts w:hint="eastAsia" w:ascii="仿宋" w:eastAsia="仿宋"/>
          <w:b w:val="0"/>
          <w:bCs w:val="0"/>
        </w:rPr>
        <w:t>般公共预算财政拨款项目支出决算表</w:t>
      </w:r>
    </w:p>
    <w:p w14:paraId="6E689CE3">
      <w:pPr>
        <w:pStyle w:val="5"/>
        <w:rPr>
          <w:rFonts w:ascii="仿宋" w:eastAsia="仿宋"/>
        </w:rPr>
      </w:pPr>
      <w:r>
        <w:rPr>
          <w:rStyle w:val="185"/>
          <w:rFonts w:hint="eastAsia" w:ascii="仿宋" w:eastAsia="仿宋"/>
          <w:b w:val="0"/>
          <w:bCs w:val="0"/>
        </w:rPr>
        <w:t>十、</w:t>
      </w:r>
      <w:r>
        <w:rPr>
          <w:rFonts w:hint="eastAsia" w:ascii="仿宋" w:eastAsia="仿宋"/>
          <w:b w:val="0"/>
        </w:rPr>
        <w:t>一</w:t>
      </w:r>
      <w:r>
        <w:rPr>
          <w:rStyle w:val="185"/>
          <w:rFonts w:hint="eastAsia" w:ascii="仿宋" w:eastAsia="仿宋"/>
          <w:b w:val="0"/>
          <w:bCs w:val="0"/>
        </w:rPr>
        <w:t>般公共预算财政拨款“三公”经费支出决算表</w:t>
      </w:r>
    </w:p>
    <w:p w14:paraId="4A573782">
      <w:pPr>
        <w:pStyle w:val="5"/>
        <w:rPr>
          <w:rFonts w:ascii="仿宋" w:eastAsia="仿宋"/>
        </w:rPr>
      </w:pPr>
      <w:r>
        <w:rPr>
          <w:rStyle w:val="185"/>
          <w:rFonts w:hint="eastAsia" w:ascii="仿宋" w:eastAsia="仿宋"/>
          <w:b w:val="0"/>
          <w:bCs w:val="0"/>
        </w:rPr>
        <w:t>十一、</w:t>
      </w:r>
      <w:r>
        <w:rPr>
          <w:rFonts w:hint="eastAsia" w:ascii="仿宋" w:eastAsia="仿宋"/>
          <w:b w:val="0"/>
        </w:rPr>
        <w:t>政</w:t>
      </w:r>
      <w:r>
        <w:rPr>
          <w:rStyle w:val="185"/>
          <w:rFonts w:hint="eastAsia" w:ascii="仿宋" w:eastAsia="仿宋"/>
          <w:b w:val="0"/>
          <w:bCs w:val="0"/>
        </w:rPr>
        <w:t>府性基金预算财政拨款收入支出决算表</w:t>
      </w:r>
    </w:p>
    <w:p w14:paraId="66298A7F">
      <w:pPr>
        <w:pStyle w:val="5"/>
        <w:rPr>
          <w:rFonts w:ascii="仿宋" w:eastAsia="仿宋"/>
        </w:rPr>
      </w:pPr>
      <w:r>
        <w:rPr>
          <w:rStyle w:val="185"/>
          <w:rFonts w:hint="eastAsia" w:ascii="仿宋" w:eastAsia="仿宋"/>
          <w:b w:val="0"/>
          <w:bCs w:val="0"/>
        </w:rPr>
        <w:t>十二、</w:t>
      </w:r>
      <w:r>
        <w:rPr>
          <w:rFonts w:hint="eastAsia" w:ascii="仿宋" w:eastAsia="仿宋"/>
          <w:b w:val="0"/>
        </w:rPr>
        <w:t>政</w:t>
      </w:r>
      <w:r>
        <w:rPr>
          <w:rStyle w:val="185"/>
          <w:rFonts w:hint="eastAsia" w:ascii="仿宋" w:eastAsia="仿宋"/>
          <w:b w:val="0"/>
          <w:bCs w:val="0"/>
        </w:rPr>
        <w:t>府性基金预算财政拨款“三公”经费支出决算表</w:t>
      </w:r>
    </w:p>
    <w:p w14:paraId="22A91180">
      <w:pPr>
        <w:pStyle w:val="5"/>
        <w:rPr>
          <w:rStyle w:val="185"/>
          <w:rFonts w:ascii="仿宋" w:eastAsia="仿宋"/>
          <w:b w:val="0"/>
          <w:bCs w:val="0"/>
        </w:rPr>
      </w:pPr>
      <w:r>
        <w:rPr>
          <w:rStyle w:val="185"/>
          <w:rFonts w:hint="eastAsia" w:ascii="仿宋" w:eastAsia="仿宋"/>
          <w:b w:val="0"/>
          <w:bCs w:val="0"/>
        </w:rPr>
        <w:t>十三、</w:t>
      </w:r>
      <w:r>
        <w:rPr>
          <w:rFonts w:hint="eastAsia" w:ascii="仿宋" w:eastAsia="仿宋"/>
          <w:b w:val="0"/>
        </w:rPr>
        <w:t>国</w:t>
      </w:r>
      <w:r>
        <w:rPr>
          <w:rStyle w:val="185"/>
          <w:rFonts w:hint="eastAsia" w:ascii="仿宋" w:eastAsia="仿宋"/>
          <w:b w:val="0"/>
          <w:bCs w:val="0"/>
        </w:rPr>
        <w:t>有资本经营预算财政拨款收入支出决算表</w:t>
      </w:r>
    </w:p>
    <w:p w14:paraId="79FE5F6C">
      <w:pPr>
        <w:rPr>
          <w:rFonts w:eastAsia="仿宋"/>
        </w:rPr>
      </w:pPr>
      <w:r>
        <w:rPr>
          <w:rStyle w:val="185"/>
          <w:rFonts w:hint="eastAsia" w:ascii="仿宋" w:eastAsia="仿宋"/>
          <w:b w:val="0"/>
          <w:bCs w:val="0"/>
        </w:rPr>
        <w:t>十四、国有资本经营预算财政拨款支出决算表</w:t>
      </w:r>
      <w:bookmarkEnd w:id="55"/>
    </w:p>
    <w:p w14:paraId="40C11D4D">
      <w:pPr>
        <w:widowControl/>
        <w:jc w:val="left"/>
        <w:rPr>
          <w:rFonts w:ascii="仿宋" w:eastAsia="仿宋"/>
        </w:rPr>
      </w:pPr>
    </w:p>
    <w:sectPr>
      <w:headerReference r:id="rId3" w:type="default"/>
      <w:footerReference r:id="rId4" w:type="default"/>
      <w:pgSz w:w="11906" w:h="16838" w:orient="landscape"/>
      <w:pgMar w:top="1440" w:right="1800" w:bottom="1440" w:left="1800" w:header="851" w:footer="992" w:gutter="0"/>
      <w:pgNumType w:start="1"/>
      <w:cols w:space="720" w:num="1"/>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藏文标题体">
    <w:panose1 w:val="03000502000000000000"/>
    <w:charset w:val="86"/>
    <w:family w:val="auto"/>
    <w:pitch w:val="default"/>
    <w:sig w:usb0="00000001" w:usb1="080E0000" w:usb2="00000000" w:usb3="00000000" w:csb0="00040000" w:csb1="00000000"/>
  </w:font>
  <w:font w:name="等线">
    <w:altName w:val="微软雅黑"/>
    <w:panose1 w:val="020B0604020202020204"/>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Light">
    <w:altName w:val="Courier New"/>
    <w:panose1 w:val="00000000000000000000"/>
    <w:charset w:val="00"/>
    <w:family w:val="auto"/>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font>
  <w:font w:name="Courier New">
    <w:panose1 w:val="02070309020205020404"/>
    <w:charset w:val="00"/>
    <w:family w:val="auto"/>
    <w:pitch w:val="default"/>
    <w:sig w:usb0="E0002AFF" w:usb1="C0007843" w:usb2="00000009" w:usb3="00000000" w:csb0="400001FF" w:csb1="FFFF0000"/>
  </w:font>
  <w:font w:name="Wingdings">
    <w:panose1 w:val="05000000000000000000"/>
    <w:charset w:val="00"/>
    <w:family w:val="auto"/>
    <w:pitch w:val="default"/>
    <w:sig w:usb0="00000000" w:usb1="00000000" w:usb2="00000000" w:usb3="00000000" w:csb0="80000000" w:csb1="00000000"/>
  </w:font>
  <w:font w:name="Symbol">
    <w:panose1 w:val="050501020107060205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545916"/>
    </w:sdtPr>
    <w:sdtContent>
      <w:p w14:paraId="6345D3F4">
        <w:pPr>
          <w:pStyle w:val="21"/>
          <w:jc w:val="center"/>
        </w:pPr>
        <w:r>
          <w:fldChar w:fldCharType="begin"/>
        </w:r>
        <w:r>
          <w:instrText xml:space="preserve">PAGE   \* MERGEFORMAT</w:instrText>
        </w:r>
        <w:r>
          <w:fldChar w:fldCharType="separate"/>
        </w:r>
        <w:r>
          <w:rPr>
            <w:lang w:val="zh-CN"/>
          </w:rPr>
          <w:t>8</w:t>
        </w:r>
        <w:r>
          <w:fldChar w:fldCharType="end"/>
        </w:r>
      </w:p>
    </w:sdtContent>
  </w:sdt>
  <w:p w14:paraId="40C49279">
    <w:pPr>
      <w:pStyle w:val="2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7DF07">
    <w:pPr>
      <w:pStyle w:val="2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3"/>
      <w:numFmt w:val="chineseCounting"/>
      <w:lvlText w:val="第%1部分"/>
      <w:lvlJc w:val="left"/>
      <w:pPr>
        <w:ind w:left="0" w:firstLine="0"/>
      </w:pPr>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1">
    <w:nsid w:val="BF205925"/>
    <w:multiLevelType w:val="multilevel"/>
    <w:tmpl w:val="BF205925"/>
    <w:lvl w:ilvl="0" w:tentative="0">
      <w:start w:val="1"/>
      <w:numFmt w:val="chineseCounting"/>
      <w:suff w:val="nothing"/>
      <w:lvlText w:val="（%1）"/>
      <w:lvlJc w:val="left"/>
      <w:rPr>
        <w:rFonts w:hint="eastAsia" w:ascii="楷体_GB2312" w:hAnsi="楷体_GB2312" w:eastAsia="楷体_GB2312" w:cs="楷体_GB2312"/>
        <w:b/>
        <w:bCs/>
        <w:sz w:val="32"/>
        <w:szCs w:val="32"/>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2">
    <w:nsid w:val="CF092B84"/>
    <w:multiLevelType w:val="multilevel"/>
    <w:tmpl w:val="CF092B84"/>
    <w:lvl w:ilvl="0" w:tentative="0">
      <w:start w:val="9"/>
      <w:numFmt w:val="chineseCounting"/>
      <w:suff w:val="nothing"/>
      <w:lvlText w:val="%1、"/>
      <w:lvlJc w:val="left"/>
      <w:pPr>
        <w:ind w:left="0" w:firstLine="0"/>
      </w:pPr>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3">
    <w:nsid w:val="0053208E"/>
    <w:multiLevelType w:val="multilevel"/>
    <w:tmpl w:val="0053208E"/>
    <w:lvl w:ilvl="0" w:tentative="0">
      <w:start w:val="1"/>
      <w:numFmt w:val="japaneseCounting"/>
      <w:suff w:val="space"/>
      <w:lvlText w:val="%1、"/>
      <w:lvlJc w:val="left"/>
      <w:pPr>
        <w:ind w:left="1360" w:hanging="720"/>
      </w:pPr>
      <w:rPr>
        <w:rFonts w:hint="default"/>
        <w:b w:val="0"/>
      </w:rPr>
    </w:lvl>
    <w:lvl w:ilvl="1" w:tentative="0">
      <w:start w:val="1"/>
      <w:numFmt w:val="lowerLetter"/>
      <w:suff w:val="space"/>
      <w:lvlText w:val="%2)"/>
      <w:lvlJc w:val="left"/>
      <w:pPr>
        <w:ind w:left="1480" w:hanging="420"/>
      </w:pPr>
    </w:lvl>
    <w:lvl w:ilvl="2" w:tentative="0">
      <w:start w:val="1"/>
      <w:numFmt w:val="lowerRoman"/>
      <w:suff w:val="space"/>
      <w:lvlText w:val="%3."/>
      <w:lvlJc w:val="right"/>
      <w:pPr>
        <w:ind w:left="1900" w:hanging="420"/>
      </w:pPr>
    </w:lvl>
    <w:lvl w:ilvl="3" w:tentative="0">
      <w:start w:val="1"/>
      <w:numFmt w:val="decimal"/>
      <w:suff w:val="space"/>
      <w:lvlText w:val="%4."/>
      <w:lvlJc w:val="left"/>
      <w:pPr>
        <w:ind w:left="2320" w:hanging="420"/>
      </w:pPr>
    </w:lvl>
    <w:lvl w:ilvl="4" w:tentative="0">
      <w:start w:val="1"/>
      <w:numFmt w:val="lowerLetter"/>
      <w:suff w:val="space"/>
      <w:lvlText w:val="%5)"/>
      <w:lvlJc w:val="left"/>
      <w:pPr>
        <w:ind w:left="2740" w:hanging="420"/>
      </w:pPr>
    </w:lvl>
    <w:lvl w:ilvl="5" w:tentative="0">
      <w:start w:val="1"/>
      <w:numFmt w:val="lowerRoman"/>
      <w:suff w:val="space"/>
      <w:lvlText w:val="%6."/>
      <w:lvlJc w:val="right"/>
      <w:pPr>
        <w:ind w:left="3160" w:hanging="420"/>
      </w:pPr>
    </w:lvl>
    <w:lvl w:ilvl="6" w:tentative="0">
      <w:start w:val="1"/>
      <w:numFmt w:val="decimal"/>
      <w:suff w:val="space"/>
      <w:lvlText w:val="%7."/>
      <w:lvlJc w:val="left"/>
      <w:pPr>
        <w:ind w:left="3580" w:hanging="420"/>
      </w:pPr>
    </w:lvl>
    <w:lvl w:ilvl="7" w:tentative="0">
      <w:start w:val="1"/>
      <w:numFmt w:val="lowerLetter"/>
      <w:suff w:val="space"/>
      <w:lvlText w:val="%8)"/>
      <w:lvlJc w:val="left"/>
      <w:pPr>
        <w:ind w:left="4000" w:hanging="420"/>
      </w:pPr>
    </w:lvl>
    <w:lvl w:ilvl="8" w:tentative="0">
      <w:start w:val="1"/>
      <w:numFmt w:val="lowerRoman"/>
      <w:suff w:val="space"/>
      <w:lvlText w:val="%9."/>
      <w:lvlJc w:val="right"/>
      <w:pPr>
        <w:ind w:left="4420" w:hanging="420"/>
      </w:pPr>
    </w:lvl>
  </w:abstractNum>
  <w:abstractNum w:abstractNumId="4">
    <w:nsid w:val="03D62ECE"/>
    <w:multiLevelType w:val="multilevel"/>
    <w:tmpl w:val="03D62ECE"/>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5">
    <w:nsid w:val="25B654F3"/>
    <w:multiLevelType w:val="multilevel"/>
    <w:tmpl w:val="25B654F3"/>
    <w:lvl w:ilvl="0" w:tentative="0">
      <w:start w:val="2"/>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abstractNum w:abstractNumId="6">
    <w:nsid w:val="59ADCABA"/>
    <w:multiLevelType w:val="multilevel"/>
    <w:tmpl w:val="59ADCABA"/>
    <w:lvl w:ilvl="0" w:tentative="0">
      <w:start w:val="4"/>
      <w:numFmt w:val="chineseCounting"/>
      <w:suff w:val="nothing"/>
      <w:lvlText w:val="（%1）"/>
      <w:lvlJc w:val="left"/>
      <w:rPr>
        <w:rFonts w:hint="eastAsia"/>
      </w:rPr>
    </w:lvl>
    <w:lvl w:ilvl="1" w:tentative="0">
      <w:start w:val="1"/>
      <w:numFmt w:val="bullet"/>
      <w:suff w:val="space"/>
      <w:lvlText w:val="o"/>
      <w:lvlJc w:val="left"/>
      <w:pPr>
        <w:ind w:left="1440" w:hanging="360"/>
      </w:pPr>
      <w:rPr>
        <w:rFonts w:hint="default" w:ascii="Courier New" w:hAnsi="Courier New" w:eastAsia="Courier New" w:cs="Courier New"/>
      </w:rPr>
    </w:lvl>
    <w:lvl w:ilvl="2" w:tentative="0">
      <w:start w:val="1"/>
      <w:numFmt w:val="bullet"/>
      <w:suff w:val="space"/>
      <w:lvlText w:val="§"/>
      <w:lvlJc w:val="left"/>
      <w:pPr>
        <w:ind w:left="2160" w:hanging="360"/>
      </w:pPr>
      <w:rPr>
        <w:rFonts w:hint="default" w:ascii="Wingdings" w:hAnsi="Wingdings" w:eastAsia="Wingdings" w:cs="Wingdings"/>
      </w:rPr>
    </w:lvl>
    <w:lvl w:ilvl="3" w:tentative="0">
      <w:start w:val="1"/>
      <w:numFmt w:val="bullet"/>
      <w:suff w:val="space"/>
      <w:lvlText w:val="·"/>
      <w:lvlJc w:val="left"/>
      <w:pPr>
        <w:ind w:left="2880" w:hanging="360"/>
      </w:pPr>
      <w:rPr>
        <w:rFonts w:hint="default" w:ascii="Symbol" w:hAnsi="Symbol" w:eastAsia="Symbol" w:cs="Symbol"/>
      </w:rPr>
    </w:lvl>
    <w:lvl w:ilvl="4" w:tentative="0">
      <w:start w:val="1"/>
      <w:numFmt w:val="bullet"/>
      <w:suff w:val="space"/>
      <w:lvlText w:val="o"/>
      <w:lvlJc w:val="left"/>
      <w:pPr>
        <w:ind w:left="3600" w:hanging="360"/>
      </w:pPr>
      <w:rPr>
        <w:rFonts w:hint="default" w:ascii="Courier New" w:hAnsi="Courier New" w:eastAsia="Courier New" w:cs="Courier New"/>
      </w:rPr>
    </w:lvl>
    <w:lvl w:ilvl="5" w:tentative="0">
      <w:start w:val="1"/>
      <w:numFmt w:val="bullet"/>
      <w:suff w:val="space"/>
      <w:lvlText w:val="§"/>
      <w:lvlJc w:val="left"/>
      <w:pPr>
        <w:ind w:left="4320" w:hanging="360"/>
      </w:pPr>
      <w:rPr>
        <w:rFonts w:hint="default" w:ascii="Wingdings" w:hAnsi="Wingdings" w:eastAsia="Wingdings" w:cs="Wingdings"/>
      </w:rPr>
    </w:lvl>
    <w:lvl w:ilvl="6" w:tentative="0">
      <w:start w:val="1"/>
      <w:numFmt w:val="bullet"/>
      <w:suff w:val="space"/>
      <w:lvlText w:val="·"/>
      <w:lvlJc w:val="left"/>
      <w:pPr>
        <w:ind w:left="5040" w:hanging="360"/>
      </w:pPr>
      <w:rPr>
        <w:rFonts w:hint="default" w:ascii="Symbol" w:hAnsi="Symbol" w:eastAsia="Symbol" w:cs="Symbol"/>
      </w:rPr>
    </w:lvl>
    <w:lvl w:ilvl="7" w:tentative="0">
      <w:start w:val="1"/>
      <w:numFmt w:val="bullet"/>
      <w:suff w:val="space"/>
      <w:lvlText w:val="o"/>
      <w:lvlJc w:val="left"/>
      <w:pPr>
        <w:ind w:left="5760" w:hanging="360"/>
      </w:pPr>
      <w:rPr>
        <w:rFonts w:hint="default" w:ascii="Courier New" w:hAnsi="Courier New" w:eastAsia="Courier New" w:cs="Courier New"/>
      </w:rPr>
    </w:lvl>
    <w:lvl w:ilvl="8" w:tentative="0">
      <w:start w:val="1"/>
      <w:numFmt w:val="bullet"/>
      <w:suff w:val="space"/>
      <w:lvlText w:val="§"/>
      <w:lvlJc w:val="left"/>
      <w:pPr>
        <w:ind w:left="6480" w:hanging="360"/>
      </w:pPr>
      <w:rPr>
        <w:rFonts w:hint="default" w:ascii="Wingdings" w:hAnsi="Wingdings" w:eastAsia="Wingdings" w:cs="Wingdings"/>
      </w:rPr>
    </w:lvl>
  </w:abstractNum>
  <w:num w:numId="1">
    <w:abstractNumId w:val="3"/>
  </w:num>
  <w:num w:numId="2">
    <w:abstractNumId w:val="2"/>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ocumentProtection w:edit="readOnly" w:enforcement="0"/>
  <w:defaultTabStop w:val="420"/>
  <w:characterSpacingControl w:val="doNotCompress"/>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D66BEA"/>
    <w:rsid w:val="09194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semiHidden="0" w:name="toc 4"/>
    <w:lsdException w:uiPriority="39" w:semiHidden="0" w:name="toc 5"/>
    <w:lsdException w:uiPriority="39" w:semiHidden="0" w:name="toc 6"/>
    <w:lsdException w:uiPriority="39" w:semiHidden="0" w:name="toc 7"/>
    <w:lsdException w:uiPriority="39" w:semiHidden="0" w:name="toc 8"/>
    <w:lsdException w:uiPriority="39" w:semiHidden="0"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semiHidden="0" w:name="table of figures"/>
    <w:lsdException w:uiPriority="99" w:name="envelope address"/>
    <w:lsdException w:uiPriority="99" w:name="envelope return"/>
    <w:lsdException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4">
    <w:name w:val="heading 1"/>
    <w:basedOn w:val="1"/>
    <w:next w:val="1"/>
    <w:link w:val="193"/>
    <w:qFormat/>
    <w:uiPriority w:val="9"/>
    <w:pPr>
      <w:keepNext/>
      <w:keepLines/>
      <w:spacing w:before="340" w:after="330" w:line="578" w:lineRule="auto"/>
      <w:outlineLvl w:val="0"/>
    </w:pPr>
    <w:rPr>
      <w:b/>
      <w:bCs/>
      <w:sz w:val="44"/>
      <w:szCs w:val="44"/>
    </w:rPr>
  </w:style>
  <w:style w:type="paragraph" w:styleId="5">
    <w:name w:val="heading 2"/>
    <w:basedOn w:val="1"/>
    <w:next w:val="1"/>
    <w:link w:val="194"/>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paragraph" w:styleId="7">
    <w:name w:val="heading 4"/>
    <w:basedOn w:val="1"/>
    <w:next w:val="1"/>
    <w:link w:val="42"/>
    <w:unhideWhenUsed/>
    <w:qFormat/>
    <w:uiPriority w:val="9"/>
    <w:pPr>
      <w:keepNext/>
      <w:keepLines/>
      <w:spacing w:before="320" w:after="200"/>
      <w:outlineLvl w:val="3"/>
    </w:pPr>
    <w:rPr>
      <w:rFonts w:ascii="等线" w:hAnsi="等线" w:eastAsia="等线" w:cs="等线"/>
      <w:b/>
      <w:bCs/>
      <w:sz w:val="26"/>
      <w:szCs w:val="26"/>
    </w:rPr>
  </w:style>
  <w:style w:type="paragraph" w:styleId="8">
    <w:name w:val="heading 5"/>
    <w:basedOn w:val="1"/>
    <w:next w:val="1"/>
    <w:link w:val="43"/>
    <w:unhideWhenUsed/>
    <w:qFormat/>
    <w:uiPriority w:val="9"/>
    <w:pPr>
      <w:keepNext/>
      <w:keepLines/>
      <w:spacing w:before="320" w:after="200"/>
      <w:outlineLvl w:val="4"/>
    </w:pPr>
    <w:rPr>
      <w:rFonts w:ascii="等线" w:hAnsi="等线" w:eastAsia="等线" w:cs="等线"/>
      <w:b/>
      <w:bCs/>
      <w:sz w:val="24"/>
      <w:szCs w:val="24"/>
    </w:rPr>
  </w:style>
  <w:style w:type="paragraph" w:styleId="9">
    <w:name w:val="heading 6"/>
    <w:basedOn w:val="1"/>
    <w:next w:val="1"/>
    <w:link w:val="44"/>
    <w:unhideWhenUsed/>
    <w:qFormat/>
    <w:uiPriority w:val="9"/>
    <w:pPr>
      <w:keepNext/>
      <w:keepLines/>
      <w:spacing w:before="320" w:after="200"/>
      <w:outlineLvl w:val="5"/>
    </w:pPr>
    <w:rPr>
      <w:rFonts w:ascii="等线" w:hAnsi="等线" w:eastAsia="等线" w:cs="等线"/>
      <w:b/>
      <w:bCs/>
      <w:sz w:val="22"/>
      <w:szCs w:val="22"/>
    </w:rPr>
  </w:style>
  <w:style w:type="paragraph" w:styleId="10">
    <w:name w:val="heading 7"/>
    <w:basedOn w:val="1"/>
    <w:next w:val="1"/>
    <w:link w:val="45"/>
    <w:unhideWhenUsed/>
    <w:qFormat/>
    <w:uiPriority w:val="9"/>
    <w:pPr>
      <w:keepNext/>
      <w:keepLines/>
      <w:spacing w:before="320" w:after="200"/>
      <w:outlineLvl w:val="6"/>
    </w:pPr>
    <w:rPr>
      <w:rFonts w:ascii="等线" w:hAnsi="等线" w:eastAsia="等线" w:cs="等线"/>
      <w:b/>
      <w:bCs/>
      <w:i/>
      <w:iCs/>
      <w:sz w:val="22"/>
      <w:szCs w:val="22"/>
    </w:rPr>
  </w:style>
  <w:style w:type="paragraph" w:styleId="11">
    <w:name w:val="heading 8"/>
    <w:basedOn w:val="1"/>
    <w:next w:val="1"/>
    <w:link w:val="46"/>
    <w:unhideWhenUsed/>
    <w:qFormat/>
    <w:uiPriority w:val="9"/>
    <w:pPr>
      <w:keepNext/>
      <w:keepLines/>
      <w:spacing w:before="320" w:after="200"/>
      <w:outlineLvl w:val="7"/>
    </w:pPr>
    <w:rPr>
      <w:rFonts w:ascii="等线" w:hAnsi="等线" w:eastAsia="等线" w:cs="等线"/>
      <w:i/>
      <w:iCs/>
      <w:sz w:val="22"/>
      <w:szCs w:val="22"/>
    </w:rPr>
  </w:style>
  <w:style w:type="paragraph" w:styleId="12">
    <w:name w:val="heading 9"/>
    <w:basedOn w:val="1"/>
    <w:next w:val="1"/>
    <w:link w:val="47"/>
    <w:unhideWhenUsed/>
    <w:qFormat/>
    <w:uiPriority w:val="9"/>
    <w:pPr>
      <w:keepNext/>
      <w:keepLines/>
      <w:spacing w:before="320" w:after="200"/>
      <w:outlineLvl w:val="8"/>
    </w:pPr>
    <w:rPr>
      <w:rFonts w:ascii="等线" w:hAnsi="等线" w:eastAsia="等线" w:cs="等线"/>
      <w:i/>
      <w:iCs/>
      <w:sz w:val="21"/>
      <w:szCs w:val="21"/>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paragraph" w:styleId="2">
    <w:name w:val="Body Text First Indent 2"/>
    <w:basedOn w:val="3"/>
    <w:qFormat/>
    <w:uiPriority w:val="0"/>
    <w:pPr>
      <w:tabs>
        <w:tab w:val="left" w:pos="960"/>
      </w:tabs>
      <w:ind w:firstLine="420"/>
    </w:pPr>
  </w:style>
  <w:style w:type="paragraph" w:styleId="3">
    <w:name w:val="Body Text Indent"/>
    <w:basedOn w:val="1"/>
    <w:qFormat/>
    <w:uiPriority w:val="0"/>
    <w:pPr>
      <w:tabs>
        <w:tab w:val="left" w:pos="960"/>
      </w:tabs>
      <w:spacing w:line="540" w:lineRule="exact"/>
      <w:ind w:firstLine="5440"/>
    </w:pPr>
    <w:rPr>
      <w:sz w:val="32"/>
      <w:szCs w:val="32"/>
    </w:rPr>
  </w:style>
  <w:style w:type="paragraph" w:styleId="13">
    <w:name w:val="toc 7"/>
    <w:basedOn w:val="1"/>
    <w:next w:val="1"/>
    <w:unhideWhenUsed/>
    <w:uiPriority w:val="39"/>
    <w:pPr>
      <w:spacing w:after="57"/>
      <w:ind w:left="1701" w:right="0" w:firstLine="0"/>
    </w:pPr>
  </w:style>
  <w:style w:type="paragraph" w:styleId="14">
    <w:name w:val="caption"/>
    <w:basedOn w:val="1"/>
    <w:next w:val="1"/>
    <w:semiHidden/>
    <w:unhideWhenUsed/>
    <w:qFormat/>
    <w:uiPriority w:val="35"/>
    <w:pPr>
      <w:spacing w:line="276" w:lineRule="auto"/>
    </w:pPr>
    <w:rPr>
      <w:b/>
      <w:bCs/>
      <w:color w:val="4472C4" w:themeColor="accent1"/>
      <w:sz w:val="18"/>
      <w:szCs w:val="18"/>
      <w14:textFill>
        <w14:solidFill>
          <w14:schemeClr w14:val="accent1"/>
        </w14:solidFill>
      </w14:textFill>
    </w:rPr>
  </w:style>
  <w:style w:type="paragraph" w:styleId="15">
    <w:name w:val="Body Text"/>
    <w:basedOn w:val="1"/>
    <w:qFormat/>
    <w:uiPriority w:val="0"/>
    <w:pPr>
      <w:spacing w:before="30"/>
    </w:pPr>
    <w:rPr>
      <w:rFonts w:ascii="仿宋_GB2312" w:eastAsia="仿宋_GB2312"/>
      <w:sz w:val="30"/>
    </w:rPr>
  </w:style>
  <w:style w:type="paragraph" w:styleId="16">
    <w:name w:val="toc 5"/>
    <w:basedOn w:val="1"/>
    <w:next w:val="1"/>
    <w:unhideWhenUsed/>
    <w:uiPriority w:val="39"/>
    <w:pPr>
      <w:spacing w:after="57"/>
      <w:ind w:left="1134" w:right="0" w:firstLine="0"/>
    </w:pPr>
  </w:style>
  <w:style w:type="paragraph" w:styleId="17">
    <w:name w:val="toc 3"/>
    <w:basedOn w:val="1"/>
    <w:next w:val="1"/>
    <w:qFormat/>
    <w:uiPriority w:val="0"/>
    <w:pPr>
      <w:tabs>
        <w:tab w:val="right" w:leader="dot" w:pos="8296"/>
      </w:tabs>
      <w:ind w:left="400"/>
    </w:pPr>
  </w:style>
  <w:style w:type="paragraph" w:styleId="18">
    <w:name w:val="toc 8"/>
    <w:basedOn w:val="1"/>
    <w:next w:val="1"/>
    <w:unhideWhenUsed/>
    <w:uiPriority w:val="39"/>
    <w:pPr>
      <w:spacing w:after="57"/>
      <w:ind w:left="1984" w:right="0" w:firstLine="0"/>
    </w:pPr>
  </w:style>
  <w:style w:type="paragraph" w:styleId="19">
    <w:name w:val="endnote text"/>
    <w:basedOn w:val="1"/>
    <w:link w:val="182"/>
    <w:semiHidden/>
    <w:unhideWhenUsed/>
    <w:uiPriority w:val="99"/>
    <w:pPr>
      <w:spacing w:after="0" w:line="240" w:lineRule="auto"/>
    </w:pPr>
    <w:rPr>
      <w:sz w:val="20"/>
    </w:rPr>
  </w:style>
  <w:style w:type="paragraph" w:styleId="20">
    <w:name w:val="Balloon Text"/>
    <w:basedOn w:val="1"/>
    <w:qFormat/>
    <w:uiPriority w:val="0"/>
    <w:rPr>
      <w:sz w:val="18"/>
      <w:szCs w:val="18"/>
    </w:rPr>
  </w:style>
  <w:style w:type="paragraph" w:styleId="21">
    <w:name w:val="footer"/>
    <w:basedOn w:val="1"/>
    <w:qFormat/>
    <w:uiPriority w:val="0"/>
    <w:pPr>
      <w:tabs>
        <w:tab w:val="center" w:pos="4153"/>
        <w:tab w:val="right" w:pos="8306"/>
      </w:tabs>
      <w:jc w:val="left"/>
    </w:pPr>
    <w:rPr>
      <w:rFonts w:ascii="Calibri" w:hAnsi="Calibri"/>
      <w:sz w:val="18"/>
      <w:szCs w:val="18"/>
    </w:rPr>
  </w:style>
  <w:style w:type="paragraph" w:styleId="22">
    <w:name w:val="header"/>
    <w:basedOn w:val="1"/>
    <w:qFormat/>
    <w:uiPriority w:val="0"/>
    <w:pPr>
      <w:pBdr>
        <w:bottom w:val="single" w:color="000000" w:sz="6" w:space="1"/>
      </w:pBdr>
      <w:tabs>
        <w:tab w:val="center" w:pos="4153"/>
        <w:tab w:val="right" w:pos="8306"/>
      </w:tabs>
      <w:jc w:val="center"/>
    </w:pPr>
    <w:rPr>
      <w:rFonts w:ascii="Calibri" w:hAnsi="Calibri"/>
      <w:sz w:val="18"/>
      <w:szCs w:val="18"/>
    </w:rPr>
  </w:style>
  <w:style w:type="paragraph" w:styleId="23">
    <w:name w:val="toc 1"/>
    <w:basedOn w:val="1"/>
    <w:next w:val="1"/>
    <w:qFormat/>
    <w:uiPriority w:val="0"/>
    <w:pPr>
      <w:tabs>
        <w:tab w:val="right" w:leader="dot" w:pos="8296"/>
      </w:tabs>
      <w:spacing w:before="93"/>
      <w:jc w:val="center"/>
    </w:pPr>
    <w:rPr>
      <w:rFonts w:ascii="仿宋" w:eastAsia="仿宋"/>
      <w:sz w:val="28"/>
      <w:szCs w:val="28"/>
    </w:rPr>
  </w:style>
  <w:style w:type="paragraph" w:styleId="24">
    <w:name w:val="toc 4"/>
    <w:basedOn w:val="1"/>
    <w:next w:val="1"/>
    <w:unhideWhenUsed/>
    <w:uiPriority w:val="39"/>
    <w:pPr>
      <w:spacing w:after="57"/>
      <w:ind w:left="850" w:right="0" w:firstLine="0"/>
    </w:pPr>
  </w:style>
  <w:style w:type="paragraph" w:styleId="25">
    <w:name w:val="Subtitle"/>
    <w:basedOn w:val="1"/>
    <w:next w:val="1"/>
    <w:link w:val="50"/>
    <w:qFormat/>
    <w:uiPriority w:val="11"/>
    <w:pPr>
      <w:spacing w:before="200" w:after="200"/>
    </w:pPr>
    <w:rPr>
      <w:sz w:val="24"/>
      <w:szCs w:val="24"/>
    </w:rPr>
  </w:style>
  <w:style w:type="paragraph" w:styleId="26">
    <w:name w:val="footnote text"/>
    <w:basedOn w:val="1"/>
    <w:link w:val="181"/>
    <w:semiHidden/>
    <w:unhideWhenUsed/>
    <w:uiPriority w:val="99"/>
    <w:pPr>
      <w:spacing w:after="40" w:line="240" w:lineRule="auto"/>
    </w:pPr>
    <w:rPr>
      <w:sz w:val="18"/>
    </w:rPr>
  </w:style>
  <w:style w:type="paragraph" w:styleId="27">
    <w:name w:val="toc 6"/>
    <w:basedOn w:val="1"/>
    <w:next w:val="1"/>
    <w:unhideWhenUsed/>
    <w:uiPriority w:val="39"/>
    <w:pPr>
      <w:spacing w:after="57"/>
      <w:ind w:left="1417" w:right="0" w:firstLine="0"/>
    </w:pPr>
  </w:style>
  <w:style w:type="paragraph" w:styleId="28">
    <w:name w:val="table of figures"/>
    <w:basedOn w:val="1"/>
    <w:next w:val="1"/>
    <w:unhideWhenUsed/>
    <w:uiPriority w:val="99"/>
    <w:pPr>
      <w:spacing w:after="0" w:afterAutospacing="0"/>
    </w:pPr>
  </w:style>
  <w:style w:type="paragraph" w:styleId="29">
    <w:name w:val="toc 2"/>
    <w:basedOn w:val="1"/>
    <w:next w:val="1"/>
    <w:qFormat/>
    <w:uiPriority w:val="0"/>
    <w:pPr>
      <w:tabs>
        <w:tab w:val="right" w:leader="dot" w:pos="8296"/>
      </w:tabs>
      <w:ind w:left="200"/>
    </w:pPr>
  </w:style>
  <w:style w:type="paragraph" w:styleId="30">
    <w:name w:val="toc 9"/>
    <w:basedOn w:val="1"/>
    <w:next w:val="1"/>
    <w:unhideWhenUsed/>
    <w:uiPriority w:val="39"/>
    <w:pPr>
      <w:spacing w:after="57"/>
      <w:ind w:left="2268" w:right="0" w:firstLine="0"/>
    </w:pPr>
  </w:style>
  <w:style w:type="paragraph" w:styleId="31">
    <w:name w:val="Title"/>
    <w:basedOn w:val="1"/>
    <w:next w:val="1"/>
    <w:link w:val="49"/>
    <w:qFormat/>
    <w:uiPriority w:val="10"/>
    <w:pPr>
      <w:spacing w:before="300" w:after="200"/>
      <w:contextualSpacing/>
    </w:pPr>
    <w:rPr>
      <w:sz w:val="48"/>
      <w:szCs w:val="48"/>
    </w:rPr>
  </w:style>
  <w:style w:type="table" w:styleId="33">
    <w:name w:val="Table Grid"/>
    <w:basedOn w:val="32"/>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character" w:styleId="35">
    <w:name w:val="Strong"/>
    <w:basedOn w:val="34"/>
    <w:qFormat/>
    <w:uiPriority w:val="0"/>
    <w:rPr>
      <w:b/>
    </w:rPr>
  </w:style>
  <w:style w:type="character" w:styleId="36">
    <w:name w:val="endnote reference"/>
    <w:basedOn w:val="34"/>
    <w:semiHidden/>
    <w:unhideWhenUsed/>
    <w:uiPriority w:val="99"/>
    <w:rPr>
      <w:vertAlign w:val="superscript"/>
    </w:rPr>
  </w:style>
  <w:style w:type="character" w:styleId="37">
    <w:name w:val="Hyperlink"/>
    <w:basedOn w:val="34"/>
    <w:qFormat/>
    <w:uiPriority w:val="0"/>
    <w:rPr>
      <w:color w:val="0000FF"/>
      <w:u w:val="single"/>
    </w:rPr>
  </w:style>
  <w:style w:type="character" w:styleId="38">
    <w:name w:val="footnote reference"/>
    <w:basedOn w:val="34"/>
    <w:unhideWhenUsed/>
    <w:uiPriority w:val="99"/>
    <w:rPr>
      <w:vertAlign w:val="superscript"/>
    </w:rPr>
  </w:style>
  <w:style w:type="character" w:customStyle="1" w:styleId="39">
    <w:name w:val="Heading 1 Char"/>
    <w:basedOn w:val="34"/>
    <w:uiPriority w:val="9"/>
    <w:rPr>
      <w:rFonts w:ascii="等线" w:hAnsi="等线" w:eastAsia="等线" w:cs="等线"/>
      <w:sz w:val="40"/>
      <w:szCs w:val="40"/>
    </w:rPr>
  </w:style>
  <w:style w:type="character" w:customStyle="1" w:styleId="40">
    <w:name w:val="Heading 2 Char"/>
    <w:basedOn w:val="34"/>
    <w:uiPriority w:val="9"/>
    <w:rPr>
      <w:rFonts w:ascii="等线" w:hAnsi="等线" w:eastAsia="等线" w:cs="等线"/>
      <w:sz w:val="34"/>
    </w:rPr>
  </w:style>
  <w:style w:type="character" w:customStyle="1" w:styleId="41">
    <w:name w:val="Heading 3 Char"/>
    <w:basedOn w:val="34"/>
    <w:uiPriority w:val="9"/>
    <w:rPr>
      <w:rFonts w:ascii="等线" w:hAnsi="等线" w:eastAsia="等线" w:cs="等线"/>
      <w:sz w:val="30"/>
      <w:szCs w:val="30"/>
    </w:rPr>
  </w:style>
  <w:style w:type="character" w:customStyle="1" w:styleId="42">
    <w:name w:val="Heading 4 Char"/>
    <w:basedOn w:val="34"/>
    <w:link w:val="7"/>
    <w:uiPriority w:val="9"/>
    <w:rPr>
      <w:rFonts w:ascii="等线" w:hAnsi="等线" w:eastAsia="等线" w:cs="等线"/>
      <w:b/>
      <w:bCs/>
      <w:sz w:val="26"/>
      <w:szCs w:val="26"/>
    </w:rPr>
  </w:style>
  <w:style w:type="character" w:customStyle="1" w:styleId="43">
    <w:name w:val="Heading 5 Char"/>
    <w:basedOn w:val="34"/>
    <w:link w:val="8"/>
    <w:uiPriority w:val="9"/>
    <w:rPr>
      <w:rFonts w:ascii="等线" w:hAnsi="等线" w:eastAsia="等线" w:cs="等线"/>
      <w:b/>
      <w:bCs/>
      <w:sz w:val="24"/>
      <w:szCs w:val="24"/>
    </w:rPr>
  </w:style>
  <w:style w:type="character" w:customStyle="1" w:styleId="44">
    <w:name w:val="Heading 6 Char"/>
    <w:basedOn w:val="34"/>
    <w:link w:val="9"/>
    <w:uiPriority w:val="9"/>
    <w:rPr>
      <w:rFonts w:ascii="等线" w:hAnsi="等线" w:eastAsia="等线" w:cs="等线"/>
      <w:b/>
      <w:bCs/>
      <w:sz w:val="22"/>
      <w:szCs w:val="22"/>
    </w:rPr>
  </w:style>
  <w:style w:type="character" w:customStyle="1" w:styleId="45">
    <w:name w:val="Heading 7 Char"/>
    <w:basedOn w:val="34"/>
    <w:link w:val="10"/>
    <w:uiPriority w:val="9"/>
    <w:rPr>
      <w:rFonts w:ascii="等线" w:hAnsi="等线" w:eastAsia="等线" w:cs="等线"/>
      <w:b/>
      <w:bCs/>
      <w:i/>
      <w:iCs/>
      <w:sz w:val="22"/>
      <w:szCs w:val="22"/>
    </w:rPr>
  </w:style>
  <w:style w:type="character" w:customStyle="1" w:styleId="46">
    <w:name w:val="Heading 8 Char"/>
    <w:basedOn w:val="34"/>
    <w:link w:val="11"/>
    <w:uiPriority w:val="9"/>
    <w:rPr>
      <w:rFonts w:ascii="等线" w:hAnsi="等线" w:eastAsia="等线" w:cs="等线"/>
      <w:i/>
      <w:iCs/>
      <w:sz w:val="22"/>
      <w:szCs w:val="22"/>
    </w:rPr>
  </w:style>
  <w:style w:type="character" w:customStyle="1" w:styleId="47">
    <w:name w:val="Heading 9 Char"/>
    <w:basedOn w:val="34"/>
    <w:link w:val="12"/>
    <w:uiPriority w:val="9"/>
    <w:rPr>
      <w:rFonts w:ascii="等线" w:hAnsi="等线" w:eastAsia="等线" w:cs="等线"/>
      <w:i/>
      <w:iCs/>
      <w:sz w:val="21"/>
      <w:szCs w:val="21"/>
    </w:rPr>
  </w:style>
  <w:style w:type="paragraph" w:styleId="48">
    <w:name w:val="No Spacing"/>
    <w:qFormat/>
    <w:uiPriority w:val="1"/>
    <w:pPr>
      <w:spacing w:before="0" w:after="0" w:line="240" w:lineRule="auto"/>
    </w:pPr>
    <w:rPr>
      <w:rFonts w:hint="default" w:ascii="Times New Roman" w:hAnsi="Times New Roman" w:eastAsia="宋体" w:cs="Times New Roman"/>
    </w:rPr>
  </w:style>
  <w:style w:type="character" w:customStyle="1" w:styleId="49">
    <w:name w:val="Title Char"/>
    <w:basedOn w:val="34"/>
    <w:link w:val="31"/>
    <w:uiPriority w:val="10"/>
    <w:rPr>
      <w:sz w:val="48"/>
      <w:szCs w:val="48"/>
    </w:rPr>
  </w:style>
  <w:style w:type="character" w:customStyle="1" w:styleId="50">
    <w:name w:val="Subtitle Char"/>
    <w:basedOn w:val="34"/>
    <w:link w:val="25"/>
    <w:uiPriority w:val="11"/>
    <w:rPr>
      <w:sz w:val="24"/>
      <w:szCs w:val="24"/>
    </w:rPr>
  </w:style>
  <w:style w:type="paragraph" w:styleId="51">
    <w:name w:val="Quote"/>
    <w:basedOn w:val="1"/>
    <w:next w:val="1"/>
    <w:link w:val="52"/>
    <w:qFormat/>
    <w:uiPriority w:val="29"/>
    <w:pPr>
      <w:ind w:left="720" w:right="720"/>
    </w:pPr>
    <w:rPr>
      <w:i/>
    </w:rPr>
  </w:style>
  <w:style w:type="character" w:customStyle="1" w:styleId="52">
    <w:name w:val="Quote Char"/>
    <w:link w:val="51"/>
    <w:uiPriority w:val="29"/>
    <w:rPr>
      <w:i/>
    </w:rPr>
  </w:style>
  <w:style w:type="paragraph" w:styleId="53">
    <w:name w:val="Intense Quote"/>
    <w:basedOn w:val="1"/>
    <w:next w:val="1"/>
    <w:link w:val="54"/>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contextualSpacing w:val="0"/>
    </w:pPr>
    <w:rPr>
      <w:i/>
    </w:rPr>
  </w:style>
  <w:style w:type="character" w:customStyle="1" w:styleId="54">
    <w:name w:val="Intense Quote Char"/>
    <w:link w:val="53"/>
    <w:uiPriority w:val="30"/>
    <w:rPr>
      <w:i/>
    </w:rPr>
  </w:style>
  <w:style w:type="character" w:customStyle="1" w:styleId="55">
    <w:name w:val="Caption Char"/>
    <w:uiPriority w:val="99"/>
  </w:style>
  <w:style w:type="table" w:customStyle="1" w:styleId="56">
    <w:name w:val="Table Grid Light"/>
    <w:basedOn w:val="3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Pr/>
    </w:tblStylePr>
    <w:tblStylePr w:type="lastRow">
      <w:tblPr/>
    </w:tblStylePr>
    <w:tblStylePr w:type="firstCol">
      <w:tblPr/>
    </w:tblStylePr>
    <w:tblStylePr w:type="lastCol">
      <w:tblPr/>
    </w:tblStylePr>
    <w:tblStylePr w:type="band1Vert">
      <w:tblPr/>
    </w:tblStylePr>
    <w:tblStylePr w:type="band2Vert">
      <w:tblPr/>
    </w:tblStylePr>
    <w:tblStylePr w:type="band1Horz">
      <w:tbl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7">
    <w:name w:val="Plain Table 1"/>
    <w:basedOn w:val="32"/>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shd w:val="clear" w:color="F1F1F1" w:themeColor="text1" w:themeTint="0D" w:fill="F1F1F1" w:themeFill="text1" w:themeFillTint="0D"/>
      </w:tcPr>
    </w:tblStylePr>
    <w:tblStylePr w:type="band2Vert">
      <w:tblPr/>
    </w:tblStylePr>
    <w:tblStylePr w:type="band1Horz">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8">
    <w:name w:val="Plain Table 2"/>
    <w:basedOn w:val="32"/>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59">
    <w:name w:val="Plain Table 3"/>
    <w:basedOn w:val="32"/>
    <w:uiPriority w:val="99"/>
    <w:pPr>
      <w:spacing w:after="0" w:line="240" w:lineRule="auto"/>
    </w:pPr>
    <w:tblPr/>
    <w:tblStylePr w:type="firstRow">
      <w:rPr>
        <w:b/>
        <w:caps/>
        <w:color w:val="404040"/>
      </w:rPr>
      <w:tblPr/>
      <w:tcPr>
        <w:tcBorders>
          <w:top w:val="nil"/>
          <w:left w:val="nil"/>
          <w:bottom w:val="single" w:color="404040" w:sz="4" w:space="0"/>
          <w:right w:val="nil"/>
        </w:tcBorders>
      </w:tcPr>
    </w:tblStylePr>
    <w:tblStylePr w:type="lastRow">
      <w:rPr>
        <w:b/>
        <w:caps/>
        <w:color w:val="404040"/>
      </w:rPr>
      <w:tblPr/>
    </w:tblStylePr>
    <w:tblStylePr w:type="firstCol">
      <w:rPr>
        <w:b/>
        <w:caps/>
        <w:color w:val="404040"/>
      </w:rPr>
      <w:tblPr/>
      <w:tcPr>
        <w:tcBorders>
          <w:top w:val="nil"/>
          <w:left w:val="nil"/>
          <w:bottom w:val="nil"/>
          <w:right w:val="single" w:color="404040" w:sz="4" w:space="0"/>
        </w:tcBorders>
      </w:tcPr>
    </w:tblStylePr>
    <w:tblStylePr w:type="lastCol">
      <w:rPr>
        <w:b/>
        <w:caps/>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0">
    <w:name w:val="Plain Table 4"/>
    <w:basedOn w:val="32"/>
    <w:uiPriority w:val="99"/>
    <w:pPr>
      <w:spacing w:after="0" w:line="240" w:lineRule="auto"/>
    </w:pPr>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1">
    <w:name w:val="Plain Table 5"/>
    <w:basedOn w:val="32"/>
    <w:uiPriority w:val="99"/>
    <w:pPr>
      <w:spacing w:after="0" w:line="240" w:lineRule="auto"/>
    </w:pPr>
    <w:tblPr/>
    <w:tblStylePr w:type="firstRow">
      <w:rPr>
        <w:i/>
        <w:color w:val="404040"/>
      </w:rPr>
      <w:tblPr/>
      <w:tcPr>
        <w:tcBorders>
          <w:left w:val="nil"/>
          <w:bottom w:val="single" w:color="404040" w:sz="4" w:space="0"/>
          <w:right w:val="nil"/>
        </w:tcBorders>
        <w:shd w:val="clear" w:color="FFFFFF" w:fill="auto"/>
      </w:tcPr>
    </w:tblStylePr>
    <w:tblStylePr w:type="lastRow">
      <w:rPr>
        <w:i/>
        <w:color w:val="404040"/>
      </w:rPr>
      <w:tblPr/>
      <w:tcPr>
        <w:tcBorders>
          <w:top w:val="single" w:color="404040" w:sz="4" w:space="0"/>
          <w:left w:val="nil"/>
          <w:right w:val="nil"/>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rFonts w:ascii="Arial" w:hAnsi="Arial"/>
        <w:color w:val="404040"/>
        <w:sz w:val="22"/>
      </w:rPr>
      <w:tblPr/>
      <w:tcPr>
        <w:shd w:val="clear" w:color="F1F1F1" w:themeColor="text1" w:themeTint="0D" w:fill="F1F1F1" w:themeFill="text1" w:themeFillTint="0D"/>
      </w:tcPr>
    </w:tblStylePr>
    <w:tblStylePr w:type="band2Vert">
      <w:tblPr/>
    </w:tblStylePr>
    <w:tblStylePr w:type="band1Horz">
      <w:rPr>
        <w:rFonts w:ascii="Arial" w:hAnsi="Arial"/>
        <w:color w:val="404040"/>
        <w:sz w:val="22"/>
      </w:rPr>
      <w:tblPr/>
      <w:tcPr>
        <w:shd w:val="clear" w:color="F1F1F1" w:themeColor="text1" w:themeTint="0D" w:fill="F1F1F1" w:themeFill="text1" w:themeFillTint="0D"/>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2">
    <w:name w:val="Grid Table 1 Light"/>
    <w:basedOn w:val="32"/>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blPr/>
      <w:tcPr>
        <w:tcBorders>
          <w:bottom w:val="single" w:color="696969" w:themeColor="tex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3">
    <w:name w:val="Grid Table 1 Light - Accent 1"/>
    <w:basedOn w:val="3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b/>
        <w:color w:val="404040"/>
      </w:rPr>
      <w:tblPr/>
      <w:tcPr>
        <w:tcBorders>
          <w:bottom w:val="single" w:color="91ACDC" w:themeColor="accent1"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4">
    <w:name w:val="Grid Table 1 Light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color w:val="404040"/>
      </w:rPr>
      <w:tblPr/>
      <w:tcPr>
        <w:tcBorders>
          <w:bottom w:val="single" w:color="F4B386" w:themeColor="accent2"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5">
    <w:name w:val="Grid Table 1 Light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color w:val="404040"/>
      </w:rPr>
      <w:tblPr/>
      <w:tcPr>
        <w:tcBorders>
          <w:bottom w:val="single" w:color="CACACA" w:themeColor="accent3"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6">
    <w:name w:val="Grid Table 1 Light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color w:val="404040"/>
      </w:rPr>
      <w:tblPr/>
      <w:tcPr>
        <w:tcBorders>
          <w:bottom w:val="single" w:color="FFDA69" w:themeColor="accent4"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7">
    <w:name w:val="Grid Table 1 Light - Accent 5"/>
    <w:basedOn w:val="3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b/>
        <w:color w:val="404040"/>
      </w:rPr>
      <w:tblPr/>
      <w:tcPr>
        <w:tcBorders>
          <w:bottom w:val="single" w:color="9FC4E6" w:themeColor="accent5"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8">
    <w:name w:val="Grid Table 1 Light - Accent 6"/>
    <w:basedOn w:val="3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color w:val="404040"/>
      </w:rPr>
      <w:tblPr/>
      <w:tcPr>
        <w:tcBorders>
          <w:bottom w:val="single" w:color="AAD190" w:themeColor="accent6" w:themeTint="9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69">
    <w:name w:val="Grid Table 2"/>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single" w:color="696969" w:themeColor="text1" w:themeTint="95" w:sz="12" w:space="0"/>
          <w:right w:val="nil"/>
        </w:tcBorders>
        <w:shd w:val="clear" w:color="FFFFFF" w:fill="auto"/>
      </w:tcPr>
    </w:tblStylePr>
    <w:tblStylePr w:type="lastRow">
      <w:rPr>
        <w:b/>
        <w:color w:val="404040"/>
      </w:rPr>
      <w:tblPr/>
      <w:tcPr>
        <w:tcBorders>
          <w:top w:val="single" w:color="696969" w:themeColor="text1" w:themeTint="9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0">
    <w:name w:val="Grid Table 2 - Accent 1"/>
    <w:basedOn w:val="32"/>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single" w:color="537DC8" w:themeColor="accent1" w:themeTint="EA" w:sz="12" w:space="0"/>
          <w:right w:val="nil"/>
        </w:tcBorders>
        <w:shd w:val="clear" w:color="FFFFFF" w:fill="auto"/>
      </w:tcPr>
    </w:tblStylePr>
    <w:tblStylePr w:type="lastRow">
      <w:rPr>
        <w:b/>
        <w:color w:val="404040"/>
      </w:rPr>
      <w:tblPr/>
      <w:tcPr>
        <w:tcBorders>
          <w:top w:val="single" w:color="537DC8" w:themeColor="accent1" w:themeTint="E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1">
    <w:name w:val="Grid Table 2 - Accent 2"/>
    <w:basedOn w:val="32"/>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single" w:color="F4B285" w:themeColor="accent2" w:themeTint="97" w:sz="12" w:space="0"/>
          <w:right w:val="nil"/>
        </w:tcBorders>
        <w:shd w:val="clear" w:color="FFFFFF" w:fill="auto"/>
      </w:tcPr>
    </w:tblStylePr>
    <w:tblStylePr w:type="lastRow">
      <w:rPr>
        <w:b/>
        <w:color w:val="404040"/>
      </w:rPr>
      <w:tblPr/>
      <w:tcPr>
        <w:tcBorders>
          <w:top w:val="single" w:color="F4B285" w:themeColor="accent2" w:themeTint="97"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2">
    <w:name w:val="Grid Table 2 - Accent 3"/>
    <w:basedOn w:val="32"/>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single" w:color="A5A5A5" w:themeColor="accent3" w:themeTint="FE" w:sz="12" w:space="0"/>
          <w:right w:val="nil"/>
        </w:tcBorders>
        <w:shd w:val="clear" w:color="FFFFFF" w:fill="auto"/>
      </w:tcPr>
    </w:tblStylePr>
    <w:tblStylePr w:type="lastRow">
      <w:rPr>
        <w:b/>
        <w:color w:val="404040"/>
      </w:rPr>
      <w:tblPr/>
      <w:tcPr>
        <w:tcBorders>
          <w:top w:val="single" w:color="A5A5A5" w:themeColor="accent3" w:themeTint="FE"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3">
    <w:name w:val="Grid Table 2 - Accent 4"/>
    <w:basedOn w:val="32"/>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single" w:color="FFD864" w:themeColor="accent4" w:themeTint="9A" w:sz="12" w:space="0"/>
          <w:right w:val="nil"/>
        </w:tcBorders>
        <w:shd w:val="clear" w:color="FFFFFF" w:fill="auto"/>
      </w:tcPr>
    </w:tblStylePr>
    <w:tblStylePr w:type="lastRow">
      <w:rPr>
        <w:b/>
        <w:color w:val="404040"/>
      </w:rPr>
      <w:tblPr/>
      <w:tcPr>
        <w:tcBorders>
          <w:top w:val="single" w:color="FFD864" w:themeColor="accent4" w:themeTint="9A"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4">
    <w:name w:val="Grid Table 2 - Accent 5"/>
    <w:basedOn w:val="32"/>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single" w:color="5B9BD5" w:themeColor="accent5" w:sz="12" w:space="0"/>
          <w:right w:val="nil"/>
        </w:tcBorders>
        <w:shd w:val="clear" w:color="FFFFFF" w:fill="auto"/>
      </w:tcPr>
    </w:tblStylePr>
    <w:tblStylePr w:type="lastRow">
      <w:rPr>
        <w:b/>
        <w:color w:val="404040"/>
      </w:rPr>
      <w:tblPr/>
      <w:tcPr>
        <w:tcBorders>
          <w:top w:val="single" w:color="5B9BD5" w:themeColor="accent5"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5">
    <w:name w:val="Grid Table 2 - Accent 6"/>
    <w:basedOn w:val="32"/>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single" w:color="70AD47" w:themeColor="accent6" w:sz="12" w:space="0"/>
          <w:right w:val="nil"/>
        </w:tcBorders>
        <w:shd w:val="clear" w:color="FFFFFF" w:fill="auto"/>
      </w:tcPr>
    </w:tblStylePr>
    <w:tblStylePr w:type="lastRow">
      <w:rPr>
        <w:b/>
        <w:color w:val="404040"/>
      </w:rPr>
      <w:tblPr/>
      <w:tcPr>
        <w:tcBorders>
          <w:top w:val="single" w:color="70AD47" w:themeColor="accent6" w:sz="4" w:space="0"/>
          <w:left w:val="nil"/>
          <w:bottom w:val="nil"/>
          <w:right w:val="nil"/>
        </w:tcBorders>
        <w:shd w:val="clear" w:color="FFFFFF" w:fill="auto"/>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6">
    <w:name w:val="Grid Table 3"/>
    <w:basedOn w:val="32"/>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7">
    <w:name w:val="Grid Table 3 - Accent 1"/>
    <w:basedOn w:val="32"/>
    <w:qFormat/>
    <w:uiPriority w:val="99"/>
    <w:pPr>
      <w:spacing w:after="0" w:line="240" w:lineRule="auto"/>
    </w:pPr>
    <w:tblPr>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8E2F2" w:themeColor="accent1" w:themeTint="34" w:fill="D8E2F2" w:themeFill="accent1" w:themeFillTint="34"/>
      </w:tcPr>
    </w:tblStylePr>
    <w:tblStylePr w:type="band2Vert">
      <w:tblPr/>
    </w:tblStylePr>
    <w:tblStylePr w:type="band1Horz">
      <w:rPr>
        <w:rFonts w:ascii="Arial" w:hAnsi="Arial"/>
        <w:color w:val="404040"/>
        <w:sz w:val="22"/>
      </w:rPr>
      <w:tblPr/>
      <w:tcPr>
        <w:shd w:val="clear" w:color="D8E2F2" w:themeColor="accent1" w:themeTint="34" w:fill="D8E2F2" w:themeFill="accen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8">
    <w:name w:val="Grid Table 3 - Accent 2"/>
    <w:basedOn w:val="32"/>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79">
    <w:name w:val="Grid Table 3 - Accent 3"/>
    <w:basedOn w:val="32"/>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0">
    <w:name w:val="Grid Table 3 - Accent 4"/>
    <w:basedOn w:val="32"/>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1">
    <w:name w:val="Grid Table 3 - Accent 5"/>
    <w:basedOn w:val="32"/>
    <w:qFormat/>
    <w:uiPriority w:val="99"/>
    <w:pPr>
      <w:spacing w:after="0" w:line="240" w:lineRule="auto"/>
    </w:pPr>
    <w:tblPr>
      <w:tblBorders>
        <w:bottom w:val="single" w:color="5B9BD5" w:themeColor="accent5" w:sz="4" w:space="0"/>
        <w:insideH w:val="single" w:color="5B9BD5" w:themeColor="accent5" w:sz="4" w:space="0"/>
        <w:insideV w:val="single" w:color="5B9BD5" w:themeColor="accent5"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2">
    <w:name w:val="Grid Table 3 - Accent 6"/>
    <w:basedOn w:val="32"/>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color w:val="404040"/>
      </w:rPr>
      <w:tblPr/>
      <w:tcPr>
        <w:tcBorders>
          <w:top w:val="nil"/>
          <w:left w:val="nil"/>
          <w:bottom w:val="nil"/>
          <w:right w:val="nil"/>
        </w:tcBorders>
        <w:shd w:val="clear" w:color="FFFFFF" w:fill="auto"/>
      </w:tcPr>
    </w:tblStylePr>
    <w:tblStylePr w:type="lastRow">
      <w:rPr>
        <w:b/>
        <w:color w:val="404040"/>
      </w:rPr>
      <w:tblPr/>
      <w:tcPr>
        <w:tcBorders>
          <w:top w:val="nil"/>
          <w:left w:val="nil"/>
          <w:bottom w:val="nil"/>
          <w:right w:val="nil"/>
        </w:tcBorders>
        <w:shd w:val="clear" w:color="FFFFFF" w:fill="auto"/>
      </w:tcPr>
    </w:tblStylePr>
    <w:tblStylePr w:type="firstCol">
      <w:pPr>
        <w:jc w:val="right"/>
      </w:pPr>
      <w:rPr>
        <w:i/>
        <w:color w:val="404040"/>
      </w:rPr>
      <w:tblPr/>
      <w:tcPr>
        <w:tcBorders>
          <w:top w:val="nil"/>
          <w:left w:val="nil"/>
          <w:bottom w:val="nil"/>
          <w:right w:val="nil"/>
        </w:tcBorders>
        <w:shd w:val="clear" w:color="FFFFFF" w:fill="auto"/>
      </w:tcPr>
    </w:tblStylePr>
    <w:tblStylePr w:type="lastCol">
      <w:rPr>
        <w:i/>
        <w:color w:val="404040"/>
      </w:rPr>
      <w:tblPr/>
      <w:tcPr>
        <w:tcBorders>
          <w:top w:val="nil"/>
          <w:left w:val="nil"/>
          <w:bottom w:val="nil"/>
          <w:right w:val="nil"/>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3">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CACACA" w:themeColor="text1" w:themeTint="34" w:fill="CACACA" w:themeFill="text1" w:themeFillTint="34"/>
      </w:tcPr>
    </w:tblStylePr>
    <w:tblStylePr w:type="band2Vert">
      <w:tblPr/>
    </w:tblStylePr>
    <w:tblStylePr w:type="band1Horz">
      <w:rPr>
        <w:rFonts w:ascii="Arial" w:hAnsi="Arial"/>
        <w:color w:val="404040"/>
        <w:sz w:val="22"/>
      </w:rPr>
      <w:tblPr/>
      <w:tcPr>
        <w:shd w:val="clear" w:color="CACACA" w:themeColor="text1" w:themeTint="34" w:fill="CACACA" w:themeFill="text1"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4">
    <w:name w:val="Grid Table 4 - Accent 1"/>
    <w:basedOn w:val="32"/>
    <w:qFormat/>
    <w:uiPriority w:val="5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firstRow">
      <w:rPr>
        <w:rFonts w:ascii="Arial" w:hAnsi="Arial"/>
        <w:b/>
        <w:color w:val="FFFFFF"/>
        <w:sz w:val="22"/>
      </w:rPr>
      <w:tblPr/>
      <w:tcPr>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shd w:val="clear" w:color="537DC8" w:themeColor="accent1" w:themeTint="EA" w:fill="537DC8" w:themeFill="accent1" w:themeFillTint="EA"/>
      </w:tcPr>
    </w:tblStylePr>
    <w:tblStylePr w:type="lastRow">
      <w:rPr>
        <w:b/>
        <w:color w:val="404040"/>
      </w:rPr>
      <w:tblPr/>
      <w:tcPr>
        <w:tcBorders>
          <w:top w:val="single" w:color="537DC8" w:themeColor="accent1" w:themeTint="E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3F3" w:themeColor="accent1" w:themeTint="32" w:fill="DAE3F3" w:themeFill="accent1" w:themeFillTint="32"/>
      </w:tcPr>
    </w:tblStylePr>
    <w:tblStylePr w:type="band2Vert">
      <w:tblPr/>
    </w:tblStylePr>
    <w:tblStylePr w:type="band1Horz">
      <w:rPr>
        <w:rFonts w:ascii="Arial" w:hAnsi="Arial"/>
        <w:color w:val="404040"/>
        <w:sz w:val="22"/>
      </w:rPr>
      <w:tblPr/>
      <w:tcPr>
        <w:shd w:val="clear" w:color="DAE3F3" w:themeColor="accent1" w:themeTint="32" w:fill="DAE3F3" w:themeFill="accent1"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5">
    <w:name w:val="Grid Table 4 - Accent 2"/>
    <w:basedOn w:val="32"/>
    <w:qFormat/>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rFonts w:ascii="Arial" w:hAnsi="Arial"/>
        <w:b/>
        <w:color w:val="FFFFFF"/>
        <w:sz w:val="22"/>
      </w:rPr>
      <w:tbl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blPr/>
      <w:tcPr>
        <w:tcBorders>
          <w:top w:val="single" w:color="F4B285" w:themeColor="accent2" w:themeTint="97"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BE5D6" w:themeColor="accent2" w:themeTint="32" w:fill="FBE5D6" w:themeFill="accent2" w:themeFillTint="32"/>
      </w:tcPr>
    </w:tblStylePr>
    <w:tblStylePr w:type="band2Vert">
      <w:tblPr/>
    </w:tblStylePr>
    <w:tblStylePr w:type="band1Horz">
      <w:rPr>
        <w:rFonts w:ascii="Arial" w:hAnsi="Arial"/>
        <w:color w:val="404040"/>
        <w:sz w:val="22"/>
      </w:rPr>
      <w:tblPr/>
      <w:tcPr>
        <w:shd w:val="clear" w:color="FBE5D6" w:themeColor="accent2" w:themeTint="32" w:fill="FBE5D6" w:themeFill="accent2" w:themeFillTint="32"/>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6">
    <w:name w:val="Grid Table 4 - Accent 3"/>
    <w:basedOn w:val="32"/>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rFonts w:ascii="Arial" w:hAnsi="Arial"/>
        <w:b/>
        <w:color w:val="FFFFFF"/>
        <w:sz w:val="22"/>
      </w:rPr>
      <w:tbl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blPr/>
      <w:tcPr>
        <w:tcBorders>
          <w:top w:val="single" w:color="A5A5A5" w:themeColor="accent3" w:themeTint="FE"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CECEC" w:themeColor="accent3" w:themeTint="34" w:fill="ECECEC" w:themeFill="accent3" w:themeFillTint="34"/>
      </w:tcPr>
    </w:tblStylePr>
    <w:tblStylePr w:type="band2Vert">
      <w:tblPr/>
    </w:tblStylePr>
    <w:tblStylePr w:type="band1Horz">
      <w:rPr>
        <w:rFonts w:ascii="Arial" w:hAnsi="Arial"/>
        <w:color w:val="404040"/>
        <w:sz w:val="22"/>
      </w:rPr>
      <w:tblPr/>
      <w:tcPr>
        <w:shd w:val="clear" w:color="ECECEC" w:themeColor="accent3" w:themeTint="34" w:fill="ECECEC" w:themeFill="accent3"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7">
    <w:name w:val="Grid Table 4 - Accent 4"/>
    <w:basedOn w:val="32"/>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rFonts w:ascii="Arial" w:hAnsi="Arial"/>
        <w:b/>
        <w:color w:val="FFFFFF"/>
        <w:sz w:val="22"/>
      </w:rPr>
      <w:tbl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blPr/>
      <w:tcPr>
        <w:tcBorders>
          <w:top w:val="single" w:color="FFD864" w:themeColor="accent4" w:themeTint="9A"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EF2CA" w:themeColor="accent4" w:themeTint="34" w:fill="FEF2CA" w:themeFill="accent4" w:themeFillTint="34"/>
      </w:tcPr>
    </w:tblStylePr>
    <w:tblStylePr w:type="band2Vert">
      <w:tblPr/>
    </w:tblStylePr>
    <w:tblStylePr w:type="band1Horz">
      <w:rPr>
        <w:rFonts w:ascii="Arial" w:hAnsi="Arial"/>
        <w:color w:val="404040"/>
        <w:sz w:val="22"/>
      </w:rPr>
      <w:tblPr/>
      <w:tcPr>
        <w:shd w:val="clear" w:color="FEF2CA" w:themeColor="accent4" w:themeTint="34" w:fill="FEF2CA" w:themeFill="accent4"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8">
    <w:name w:val="Grid Table 4 - Accent 5"/>
    <w:basedOn w:val="32"/>
    <w:qFormat/>
    <w:uiPriority w:val="5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FFFFFF"/>
        <w:sz w:val="22"/>
      </w:rPr>
      <w:tblPr/>
      <w:tcPr>
        <w:tcBorders>
          <w:top w:val="single" w:color="5B9BD5" w:themeColor="accent5" w:sz="4" w:space="0"/>
          <w:left w:val="single" w:color="5B9BD5" w:themeColor="accent5" w:sz="4" w:space="0"/>
          <w:bottom w:val="single" w:color="5B9BD5" w:themeColor="accent5" w:sz="4" w:space="0"/>
          <w:right w:val="single" w:color="5B9BD5" w:themeColor="accent5" w:sz="4" w:space="0"/>
        </w:tcBorders>
        <w:shd w:val="clear" w:color="5B9BD5" w:themeColor="accent5" w:fill="5B9BD5" w:themeFill="accent5"/>
      </w:tcPr>
    </w:tblStylePr>
    <w:tblStylePr w:type="lastRow">
      <w:rPr>
        <w:b/>
        <w:color w:val="404040"/>
      </w:rPr>
      <w:tblPr/>
      <w:tcPr>
        <w:tcBorders>
          <w:top w:val="single" w:color="5B9BD5" w:themeColor="accent5"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DEAF6" w:themeColor="accent5" w:themeTint="34" w:fill="DDEAF6" w:themeFill="accent5" w:themeFillTint="34"/>
      </w:tcPr>
    </w:tblStylePr>
    <w:tblStylePr w:type="band2Vert">
      <w:tblPr/>
    </w:tblStylePr>
    <w:tblStylePr w:type="band1Horz">
      <w:rPr>
        <w:rFonts w:ascii="Arial" w:hAnsi="Arial"/>
        <w:color w:val="404040"/>
        <w:sz w:val="22"/>
      </w:rPr>
      <w:tblPr/>
      <w:tcPr>
        <w:shd w:val="clear" w:color="DDEAF6" w:themeColor="accent5" w:themeTint="34" w:fill="DDEAF6" w:themeFill="accent5"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89">
    <w:name w:val="Grid Table 4 - Accent 6"/>
    <w:basedOn w:val="32"/>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blPr/>
      <w:tcPr>
        <w:tcBorders>
          <w:top w:val="single" w:color="70AD47" w:themeColor="accent6" w:sz="4" w:space="0"/>
        </w:tcBorders>
      </w:tc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1EFD8" w:themeColor="accent6" w:themeTint="34" w:fill="E1EFD8" w:themeFill="accent6" w:themeFillTint="34"/>
      </w:tcPr>
    </w:tblStylePr>
    <w:tblStylePr w:type="band2Vert">
      <w:tblPr/>
    </w:tblStylePr>
    <w:tblStylePr w:type="band1Horz">
      <w:rPr>
        <w:rFonts w:ascii="Arial" w:hAnsi="Arial"/>
        <w:color w:val="404040"/>
        <w:sz w:val="22"/>
      </w:rPr>
      <w:tblPr/>
      <w:tcPr>
        <w:shd w:val="clear" w:color="E1EFD8" w:themeColor="accent6" w:themeTint="34" w:fill="E1EFD8" w:themeFill="accent6" w:themeFillTint="34"/>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0">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98989" w:themeColor="text1" w:themeTint="75" w:fill="898989" w:themeFill="text1" w:themeFillTint="75"/>
      </w:tcPr>
    </w:tblStylePr>
    <w:tblStylePr w:type="band2Vert">
      <w:tblPr/>
    </w:tblStylePr>
    <w:tblStylePr w:type="band1Horz">
      <w:tblPr/>
      <w:tcPr>
        <w:shd w:val="clear" w:color="898989" w:themeColor="text1" w:themeTint="75" w:fill="898989" w:themeFill="tex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1">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color="FFFFFF" w:themeColor="light1" w:sz="4" w:space="0"/>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3" w:themeColor="accent1" w:themeTint="75" w:fill="A9BEE3" w:themeFill="accent1" w:themeFillTint="75"/>
      </w:tcPr>
    </w:tblStylePr>
    <w:tblStylePr w:type="band2Vert">
      <w:tblPr/>
    </w:tblStylePr>
    <w:tblStylePr w:type="band1Horz">
      <w:tblPr/>
      <w:tcPr>
        <w:shd w:val="clear" w:color="A9BEE3" w:themeColor="accent1" w:themeTint="75" w:fill="A9BEE3" w:themeFill="accent1"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2">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2Vert">
      <w:tblPr/>
    </w:tblStylePr>
    <w:tblStylePr w:type="band1Horz">
      <w:tblPr/>
      <w:tcPr>
        <w:shd w:val="clear" w:color="F6C3A0" w:themeColor="accent2" w:themeTint="75" w:fill="F6C3A0" w:themeFill="accent2"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3">
    <w:name w:val="Grid Table 5 Dark - Accent 3"/>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2Vert">
      <w:tblPr/>
    </w:tblStylePr>
    <w:tblStylePr w:type="band1Horz">
      <w:tblPr/>
      <w:tcPr>
        <w:shd w:val="clear" w:color="D5D5D5" w:themeColor="accent3" w:themeTint="75" w:fill="D5D5D5" w:themeFill="accent3"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4">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EE289" w:themeColor="accent4" w:themeTint="75" w:fill="FEE289" w:themeFill="accent4" w:themeFillTint="75"/>
      </w:tcPr>
    </w:tblStylePr>
    <w:tblStylePr w:type="band2Vert">
      <w:tblPr/>
    </w:tblStylePr>
    <w:tblStylePr w:type="band1Horz">
      <w:tblPr/>
      <w:tcPr>
        <w:shd w:val="clear" w:color="FEE289" w:themeColor="accent4" w:themeTint="75" w:fill="FEE289" w:themeFill="accent4"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5">
    <w:name w:val="Grid Table 5 Dark - Accent 5"/>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color="FFFFFF" w:themeColor="light1" w:sz="4" w:space="0"/>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1EB" w:themeColor="accent5" w:themeTint="75" w:fill="B3D1EB" w:themeFill="accent5" w:themeFillTint="75"/>
      </w:tcPr>
    </w:tblStylePr>
    <w:tblStylePr w:type="band2Vert">
      <w:tblPr/>
    </w:tblStylePr>
    <w:tblStylePr w:type="band1Horz">
      <w:tblPr/>
      <w:tcPr>
        <w:shd w:val="clear" w:color="B3D1EB" w:themeColor="accent5" w:themeTint="75" w:fill="B3D1EB" w:themeFill="accent5"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6">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2Vert">
      <w:tblPr/>
    </w:tblStylePr>
    <w:tblStylePr w:type="band1Horz">
      <w:tblPr/>
      <w:tcPr>
        <w:shd w:val="clear" w:color="BCDBA8" w:themeColor="accent6" w:themeTint="75" w:fill="BCDBA8" w:themeFill="accent6" w:themeFillTint="75"/>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97">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bl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Pr/>
    </w:tblStylePr>
    <w:tblStylePr w:type="firstCol">
      <w:rPr>
        <w:b/>
        <w:color w:val="808080" w:themeColor="text1" w:themeTint="80"/>
        <w14:textFill>
          <w14:solidFill>
            <w14:schemeClr w14:val="tx1">
              <w14:lumMod w14:val="50000"/>
              <w14:lumOff w14:val="50000"/>
            </w14:schemeClr>
          </w14:solidFill>
        </w14:textFill>
      </w:rPr>
      <w:tblPr/>
    </w:tblStylePr>
    <w:tblStylePr w:type="lastCol">
      <w:rPr>
        <w:b/>
        <w:color w:val="808080" w:themeColor="text1" w:themeTint="80"/>
        <w14:textFill>
          <w14:solidFill>
            <w14:schemeClr w14:val="tx1">
              <w14:lumMod w14:val="50000"/>
              <w14:lumOff w14:val="50000"/>
            </w14:schemeClr>
          </w14:solidFill>
        </w14:textFill>
      </w:rPr>
      <w:tblPr/>
    </w:tblStylePr>
    <w:tblStylePr w:type="band1Vert">
      <w:tblPr/>
      <w:tcPr>
        <w:shd w:val="clear" w:color="CACACA" w:themeColor="text1" w:themeTint="34" w:fill="CACACA" w:themeFill="text1" w:themeFillTint="34"/>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8">
    <w:name w:val="Grid Table 6 Colorful - Accent 1"/>
    <w:basedOn w:val="32"/>
    <w:qFormat/>
    <w:uiPriority w:val="99"/>
    <w:pPr>
      <w:spacing w:after="0" w:line="240" w:lineRule="auto"/>
    </w:pPr>
    <w:tblPr>
      <w:tblBorders>
        <w:top w:val="single" w:color="A1B8E1" w:themeColor="accent1" w:themeTint="80" w:sz="4" w:space="0"/>
        <w:left w:val="single" w:color="A1B8E1" w:themeColor="accent1" w:themeTint="80" w:sz="4" w:space="0"/>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b/>
        <w:color w:val="A2B9E2" w:themeColor="accent1" w:themeTint="80"/>
        <w14:textFill>
          <w14:solidFill>
            <w14:schemeClr w14:val="accent1">
              <w14:lumMod w14:val="50000"/>
              <w14:lumOff w14:val="50000"/>
            </w14:schemeClr>
          </w14:solidFill>
        </w14:textFill>
      </w:rPr>
      <w:tblPr/>
      <w:tcPr>
        <w:tcBorders>
          <w:bottom w:val="single" w:color="A1B8E1" w:themeColor="accent1" w:themeTint="80" w:sz="12" w:space="0"/>
        </w:tcBorders>
      </w:tcPr>
    </w:tblStylePr>
    <w:tblStylePr w:type="lastRow">
      <w:rPr>
        <w:b/>
        <w:color w:val="A2B9E2" w:themeColor="accent1" w:themeTint="80"/>
        <w14:textFill>
          <w14:solidFill>
            <w14:schemeClr w14:val="accent1">
              <w14:lumMod w14:val="50000"/>
              <w14:lumOff w14:val="50000"/>
            </w14:schemeClr>
          </w14:solidFill>
        </w14:textFill>
      </w:rPr>
      <w:tblPr/>
    </w:tblStylePr>
    <w:tblStylePr w:type="firstCol">
      <w:rPr>
        <w:b/>
        <w:color w:val="A2B9E2" w:themeColor="accent1" w:themeTint="80"/>
        <w14:textFill>
          <w14:solidFill>
            <w14:schemeClr w14:val="accent1">
              <w14:lumMod w14:val="50000"/>
              <w14:lumOff w14:val="50000"/>
            </w14:schemeClr>
          </w14:solidFill>
        </w14:textFill>
      </w:rPr>
      <w:tblPr/>
    </w:tblStylePr>
    <w:tblStylePr w:type="lastCol">
      <w:rPr>
        <w:b/>
        <w:color w:val="A2B9E2" w:themeColor="accent1" w:themeTint="80"/>
        <w14:textFill>
          <w14:solidFill>
            <w14:schemeClr w14:val="accent1">
              <w14:lumMod w14:val="50000"/>
              <w14:lumOff w14:val="50000"/>
            </w14:schemeClr>
          </w14:solidFill>
        </w14:textFill>
      </w:rPr>
      <w:tbl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99">
    <w:name w:val="Grid Table 6 Colorful - Accent 2"/>
    <w:basedOn w:val="32"/>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0">
    <w:name w:val="Grid Table 6 Colorful - Accent 3"/>
    <w:basedOn w:val="32"/>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bl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Pr/>
    </w:tblStylePr>
    <w:tblStylePr w:type="firstCol">
      <w:rPr>
        <w:b/>
        <w:color w:val="A5A5A5" w:themeColor="accent3" w:themeTint="FF"/>
        <w14:textFill>
          <w14:solidFill>
            <w14:schemeClr w14:val="accent3">
              <w14:lumMod w14:val="100000"/>
              <w14:lumOff w14:val="0"/>
            </w14:schemeClr>
          </w14:solidFill>
        </w14:textFill>
      </w:rPr>
      <w:tblPr/>
    </w:tblStylePr>
    <w:tblStylePr w:type="lastCol">
      <w:rPr>
        <w:b/>
        <w:color w:val="A5A5A5" w:themeColor="accent3" w:themeTint="FF"/>
        <w14:textFill>
          <w14:solidFill>
            <w14:schemeClr w14:val="accent3">
              <w14:lumMod w14:val="100000"/>
              <w14:lumOff w14:val="0"/>
            </w14:schemeClr>
          </w14:solidFill>
        </w14:textFill>
      </w:rPr>
      <w:tbl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1">
    <w:name w:val="Grid Table 6 Colorful - Accent 4"/>
    <w:basedOn w:val="32"/>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2">
    <w:name w:val="Grid Table 6 Colorful - Accent 5"/>
    <w:basedOn w:val="32"/>
    <w:qFormat/>
    <w:uiPriority w:val="99"/>
    <w:pPr>
      <w:spacing w:after="0" w:line="240" w:lineRule="auto"/>
    </w:pPr>
    <w:tblPr>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firstRow">
      <w:rPr>
        <w:b/>
        <w:color w:val="245B8C" w:themeColor="accent5" w:themeShade="94"/>
      </w:rPr>
      <w:tblPr/>
      <w:tcPr>
        <w:tcBorders>
          <w:bottom w:val="single" w:color="5B9BD5" w:themeColor="accent5" w:sz="12" w:space="0"/>
        </w:tcBorders>
      </w:tcPr>
    </w:tblStylePr>
    <w:tblStylePr w:type="lastRow">
      <w:rPr>
        <w:b/>
        <w:color w:val="245B8C" w:themeColor="accent5" w:themeShade="94"/>
      </w:rPr>
      <w:tblPr/>
    </w:tblStylePr>
    <w:tblStylePr w:type="firstCol">
      <w:rPr>
        <w:b/>
        <w:color w:val="245B8C" w:themeColor="accent5" w:themeShade="94"/>
      </w:rPr>
      <w:tblPr/>
    </w:tblStylePr>
    <w:tblStylePr w:type="lastCol">
      <w:rPr>
        <w:b/>
        <w:color w:val="245B8C" w:themeColor="accent5" w:themeShade="94"/>
      </w:rPr>
      <w:tbl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C" w:themeColor="accent5" w:themeShade="94"/>
        <w:sz w:val="22"/>
      </w:rPr>
      <w:tblPr/>
      <w:tcPr>
        <w:shd w:val="clear" w:color="DDEAF6" w:themeColor="accent5" w:themeTint="34" w:fill="DDEAF6" w:themeFill="accent5" w:themeFillTint="34"/>
      </w:tcPr>
    </w:tblStylePr>
    <w:tblStylePr w:type="band2Horz">
      <w:rPr>
        <w:rFonts w:ascii="Arial" w:hAnsi="Arial"/>
        <w:color w:val="245B8C"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3">
    <w:name w:val="Grid Table 6 Colorful - Accent 6"/>
    <w:basedOn w:val="32"/>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45B8C" w:themeColor="accent5" w:themeShade="94"/>
      </w:rPr>
      <w:tblPr/>
      <w:tcPr>
        <w:tcBorders>
          <w:bottom w:val="single" w:color="70AD47" w:themeColor="accent6" w:sz="12" w:space="0"/>
        </w:tcBorders>
      </w:tcPr>
    </w:tblStylePr>
    <w:tblStylePr w:type="lastRow">
      <w:rPr>
        <w:b/>
        <w:color w:val="245B8C" w:themeColor="accent5" w:themeShade="94"/>
      </w:rPr>
      <w:tblPr/>
    </w:tblStylePr>
    <w:tblStylePr w:type="firstCol">
      <w:rPr>
        <w:b/>
        <w:color w:val="245B8C" w:themeColor="accent5" w:themeShade="94"/>
      </w:rPr>
      <w:tblPr/>
    </w:tblStylePr>
    <w:tblStylePr w:type="lastCol">
      <w:rPr>
        <w:b/>
        <w:color w:val="245B8C" w:themeColor="accent5" w:themeShade="94"/>
      </w:rPr>
      <w:tbl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245B8C" w:themeColor="accent5" w:themeShade="94"/>
        <w:sz w:val="22"/>
      </w:rPr>
      <w:tblPr/>
      <w:tcPr>
        <w:shd w:val="clear" w:color="E1EFD8" w:themeColor="accent6" w:themeTint="34" w:fill="E1EFD8" w:themeFill="accent6" w:themeFillTint="34"/>
      </w:tcPr>
    </w:tblStylePr>
    <w:tblStylePr w:type="band2Horz">
      <w:rPr>
        <w:rFonts w:ascii="Arial" w:hAnsi="Arial"/>
        <w:color w:val="245B8C"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04">
    <w:name w:val="Grid Table 7 Colorful"/>
    <w:basedOn w:val="32"/>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F1F1F1" w:themeColor="text1" w:themeTint="0D" w:fill="F1F1F1" w:themeFill="text1" w:themeFillTint="0D"/>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5">
    <w:name w:val="Grid Table 7 Colorful - Accent 1"/>
    <w:basedOn w:val="32"/>
    <w:uiPriority w:val="99"/>
    <w:pPr>
      <w:spacing w:after="0" w:line="240" w:lineRule="auto"/>
    </w:pPr>
    <w:tblPr>
      <w:tblBorders>
        <w:bottom w:val="single" w:color="A1B8E1" w:themeColor="accent1" w:themeTint="80" w:sz="4" w:space="0"/>
        <w:right w:val="single" w:color="A1B8E1" w:themeColor="accent1" w:themeTint="80" w:sz="4" w:space="0"/>
        <w:insideH w:val="single" w:color="A1B8E1" w:themeColor="accent1" w:themeTint="80" w:sz="4" w:space="0"/>
        <w:insideV w:val="single" w:color="A1B8E1" w:themeColor="accent1" w:themeTint="80" w:sz="4" w:space="0"/>
      </w:tblBorders>
    </w:tblPr>
    <w:tblStylePr w:type="firstRow">
      <w:rPr>
        <w:rFonts w:ascii="Arial" w:hAnsi="Arial"/>
        <w:b/>
        <w:color w:val="A2B9E2" w:themeColor="accent1" w:themeTint="80"/>
        <w:sz w:val="22"/>
        <w14:textFill>
          <w14:solidFill>
            <w14:schemeClr w14:val="accent1">
              <w14:lumMod w14:val="50000"/>
              <w14:lumOff w14:val="50000"/>
            </w14:schemeClr>
          </w14:solidFill>
        </w14:textFill>
      </w:rPr>
      <w:tblPr/>
      <w:tcPr>
        <w:tcBorders>
          <w:top w:val="nil"/>
          <w:left w:val="nil"/>
          <w:bottom w:val="single" w:color="A1B8E1" w:themeColor="accent1" w:themeTint="80" w:sz="4" w:space="0"/>
          <w:right w:val="nil"/>
        </w:tcBorders>
        <w:shd w:val="clear" w:color="FFFFFF" w:themeColor="light1" w:fill="FFFFFF" w:themeFill="light1"/>
      </w:tcPr>
    </w:tblStylePr>
    <w:tblStylePr w:type="lastRow">
      <w:rPr>
        <w:rFonts w:ascii="Arial" w:hAnsi="Arial"/>
        <w:b/>
        <w:color w:val="A2B9E2" w:themeColor="accent1" w:themeTint="80"/>
        <w:sz w:val="22"/>
        <w14:textFill>
          <w14:solidFill>
            <w14:schemeClr w14:val="accent1">
              <w14:lumMod w14:val="50000"/>
              <w14:lumOff w14:val="50000"/>
            </w14:schemeClr>
          </w14:solidFill>
        </w14:textFill>
      </w:rPr>
      <w:tblPr/>
      <w:tcPr>
        <w:tcBorders>
          <w:top w:val="single" w:color="A1B8E1"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nil"/>
          <w:bottom w:val="nil"/>
          <w:right w:val="single" w:color="A1B8E1" w:themeColor="accent1" w:themeTint="80" w:sz="4" w:space="0"/>
        </w:tcBorders>
        <w:shd w:val="clear" w:color="FFFFFF" w:fill="auto"/>
      </w:tcPr>
    </w:tblStylePr>
    <w:tblStylePr w:type="lastCol">
      <w:rPr>
        <w:rFonts w:ascii="Arial" w:hAnsi="Arial"/>
        <w:i/>
        <w:color w:val="A2B9E2" w:themeColor="accent1" w:themeTint="80"/>
        <w:sz w:val="22"/>
        <w14:textFill>
          <w14:solidFill>
            <w14:schemeClr w14:val="accent1">
              <w14:lumMod w14:val="50000"/>
              <w14:lumOff w14:val="50000"/>
            </w14:schemeClr>
          </w14:solidFill>
        </w14:textFill>
      </w:rPr>
      <w:tblPr/>
      <w:tcPr>
        <w:tcBorders>
          <w:top w:val="nil"/>
          <w:left w:val="single" w:color="A1B8E1" w:themeColor="accent1" w:themeTint="80" w:sz="4" w:space="0"/>
          <w:bottom w:val="nil"/>
          <w:right w:val="nil"/>
        </w:tcBorders>
        <w:shd w:val="clear" w:color="FFFFFF" w:fill="auto"/>
      </w:tcPr>
    </w:tblStylePr>
    <w:tblStylePr w:type="band1Vert">
      <w:tblPr/>
      <w:tcPr>
        <w:shd w:val="clear" w:color="D8E2F2" w:themeColor="accent1" w:themeTint="34" w:fill="D8E2F2" w:themeFill="accent1" w:themeFillTint="34"/>
      </w:tcPr>
    </w:tblStylePr>
    <w:tblStylePr w:type="band2Vert">
      <w:tblPr/>
    </w:tblStylePr>
    <w:tblStylePr w:type="band1Horz">
      <w:rPr>
        <w:rFonts w:ascii="Arial" w:hAnsi="Arial"/>
        <w:color w:val="A2B9E2" w:themeColor="accent1" w:themeTint="80"/>
        <w:sz w:val="22"/>
        <w14:textFill>
          <w14:solidFill>
            <w14:schemeClr w14:val="accent1">
              <w14:lumMod w14:val="50000"/>
              <w14:lumOff w14:val="50000"/>
            </w14:schemeClr>
          </w14:solidFill>
        </w14:textFill>
      </w:rPr>
      <w:tblPr/>
      <w:tcPr>
        <w:shd w:val="clear" w:color="D8E2F2" w:themeColor="accent1" w:themeTint="34" w:fill="D8E2F2" w:themeFill="accent1" w:themeFillTint="34"/>
      </w:tcPr>
    </w:tblStylePr>
    <w:tblStylePr w:type="band2Horz">
      <w:rPr>
        <w:rFonts w:ascii="Arial" w:hAnsi="Arial"/>
        <w:color w:val="A2B9E2" w:themeColor="accent1" w:themeTint="80"/>
        <w:sz w:val="22"/>
        <w14:textFill>
          <w14:solidFill>
            <w14:schemeClr w14:val="accent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6">
    <w:name w:val="Grid Table 7 Colorful - Accent 2"/>
    <w:basedOn w:val="32"/>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rFonts w:ascii="Arial" w:hAnsi="Arial"/>
        <w:b/>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BE5D6" w:themeColor="accent2" w:themeTint="32" w:fill="FBE5D6" w:themeFill="accent2" w:themeFillTint="32"/>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7">
    <w:name w:val="Grid Table 7 Colorful - Accent 3"/>
    <w:basedOn w:val="32"/>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rFonts w:ascii="Arial" w:hAnsi="Arial"/>
        <w:b/>
        <w:color w:val="A5A5A5" w:themeColor="accent3" w:themeTint="FF"/>
        <w:sz w:val="22"/>
        <w14:textFill>
          <w14:solidFill>
            <w14:schemeClr w14:val="accent3">
              <w14:lumMod w14:val="100000"/>
              <w14:lumOff w14:val="0"/>
            </w14:schemeClr>
          </w14:solidFill>
        </w14:textFill>
      </w:rPr>
      <w:tbl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bl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blPr/>
      <w:tcPr>
        <w:tcBorders>
          <w:top w:val="nil"/>
          <w:left w:val="single" w:color="A5A5A5" w:themeColor="accent3" w:themeTint="FE" w:sz="4" w:space="0"/>
          <w:bottom w:val="nil"/>
          <w:right w:val="nil"/>
        </w:tcBorders>
        <w:shd w:val="clear" w:color="FFFFFF" w:fill="auto"/>
      </w:tcPr>
    </w:tblStylePr>
    <w:tblStylePr w:type="band1Vert">
      <w:tblPr/>
      <w:tcPr>
        <w:shd w:val="clear" w:color="ECECEC" w:themeColor="accent3" w:themeTint="34" w:fill="ECECEC" w:themeFill="accent3" w:themeFillTint="34"/>
      </w:tcPr>
    </w:tblStylePr>
    <w:tblStylePr w:type="band2Vert">
      <w:tblPr/>
    </w:tblStylePr>
    <w:tblStylePr w:type="band1Horz">
      <w:rPr>
        <w:rFonts w:ascii="Arial" w:hAnsi="Arial"/>
        <w:color w:val="A5A5A5" w:themeColor="accent3" w:themeTint="FF"/>
        <w:sz w:val="22"/>
        <w14:textFill>
          <w14:solidFill>
            <w14:schemeClr w14:val="accent3">
              <w14:lumMod w14:val="100000"/>
              <w14:lumOff w14:val="0"/>
            </w14:schemeClr>
          </w14:solidFill>
        </w14:textFill>
      </w:rPr>
      <w:tbl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8">
    <w:name w:val="Grid Table 7 Colorful - Accent 4"/>
    <w:basedOn w:val="32"/>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rFonts w:ascii="Arial" w:hAnsi="Arial"/>
        <w:b/>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EF2CA" w:themeColor="accent4" w:themeTint="34" w:fill="FEF2CA" w:themeFill="accent4" w:themeFillTint="34"/>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09">
    <w:name w:val="Grid Table 7 Colorful - Accent 5"/>
    <w:basedOn w:val="32"/>
    <w:uiPriority w:val="99"/>
    <w:pPr>
      <w:spacing w:after="0" w:line="240" w:lineRule="auto"/>
    </w:pPr>
    <w:tblPr>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firstRow">
      <w:rPr>
        <w:rFonts w:ascii="Arial" w:hAnsi="Arial"/>
        <w:b/>
        <w:color w:val="245B8C" w:themeColor="accent5" w:themeShade="94"/>
        <w:sz w:val="22"/>
      </w:rPr>
      <w:tblPr/>
      <w:tcPr>
        <w:tcBorders>
          <w:top w:val="nil"/>
          <w:left w:val="nil"/>
          <w:bottom w:val="single" w:color="A2C6E7" w:themeColor="accent5" w:themeTint="90" w:sz="4" w:space="0"/>
          <w:right w:val="nil"/>
        </w:tcBorders>
        <w:shd w:val="clear" w:color="FFFFFF" w:themeColor="light1" w:fill="FFFFFF" w:themeFill="light1"/>
      </w:tcPr>
    </w:tblStylePr>
    <w:tblStylePr w:type="lastRow">
      <w:rPr>
        <w:rFonts w:ascii="Arial" w:hAnsi="Arial"/>
        <w:b/>
        <w:color w:val="245B8C" w:themeColor="accent5" w:themeShade="94"/>
        <w:sz w:val="22"/>
      </w:rPr>
      <w:tblPr/>
      <w:tcPr>
        <w:tcBorders>
          <w:top w:val="single" w:color="A2C6E7"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5" w:themeShade="94"/>
        <w:sz w:val="22"/>
      </w:rPr>
      <w:tblPr/>
      <w:tcPr>
        <w:tcBorders>
          <w:top w:val="nil"/>
          <w:left w:val="nil"/>
          <w:bottom w:val="nil"/>
          <w:right w:val="single" w:color="A2C6E7" w:themeColor="accent5" w:themeTint="90" w:sz="4" w:space="0"/>
        </w:tcBorders>
        <w:shd w:val="clear" w:color="FFFFFF" w:fill="auto"/>
      </w:tcPr>
    </w:tblStylePr>
    <w:tblStylePr w:type="lastCol">
      <w:rPr>
        <w:rFonts w:ascii="Arial" w:hAnsi="Arial"/>
        <w:i/>
        <w:color w:val="245B8C" w:themeColor="accent5" w:themeShade="94"/>
        <w:sz w:val="22"/>
      </w:rPr>
      <w:tblPr/>
      <w:tcPr>
        <w:tcBorders>
          <w:top w:val="nil"/>
          <w:left w:val="single" w:color="A2C6E7" w:themeColor="accent5" w:themeTint="90" w:sz="4" w:space="0"/>
          <w:bottom w:val="nil"/>
          <w:right w:val="nil"/>
        </w:tcBorders>
        <w:shd w:val="clear" w:color="FFFFFF" w:fill="auto"/>
      </w:tcPr>
    </w:tblStylePr>
    <w:tblStylePr w:type="band1Vert">
      <w:tblPr/>
      <w:tcPr>
        <w:shd w:val="clear" w:color="DDEAF6" w:themeColor="accent5" w:themeTint="34" w:fill="DDEAF6" w:themeFill="accent5" w:themeFillTint="34"/>
      </w:tcPr>
    </w:tblStylePr>
    <w:tblStylePr w:type="band2Vert">
      <w:tblPr/>
    </w:tblStylePr>
    <w:tblStylePr w:type="band1Horz">
      <w:rPr>
        <w:rFonts w:ascii="Arial" w:hAnsi="Arial"/>
        <w:color w:val="245B8C" w:themeColor="accent5" w:themeShade="94"/>
        <w:sz w:val="22"/>
      </w:rPr>
      <w:tblPr/>
      <w:tcPr>
        <w:shd w:val="clear" w:color="DDEAF6" w:themeColor="accent5" w:themeTint="34" w:fill="DDEAF6" w:themeFill="accent5" w:themeFillTint="34"/>
      </w:tcPr>
    </w:tblStylePr>
    <w:tblStylePr w:type="band2Horz">
      <w:rPr>
        <w:rFonts w:ascii="Arial" w:hAnsi="Arial"/>
        <w:color w:val="245B8C" w:themeColor="accent5" w:themeShade="94"/>
        <w:sz w:val="22"/>
      </w:rPr>
      <w:tblPr/>
    </w:tblStylePr>
    <w:tblStylePr w:type="neCell">
      <w:tblPr/>
    </w:tblStylePr>
    <w:tblStylePr w:type="nwCell">
      <w:tblPr/>
    </w:tblStylePr>
    <w:tblStylePr w:type="seCell">
      <w:tblPr/>
    </w:tblStylePr>
    <w:tblStylePr w:type="swCell">
      <w:tblPr/>
    </w:tblStylePr>
  </w:style>
  <w:style w:type="table" w:customStyle="1" w:styleId="110">
    <w:name w:val="Grid Table 7 Colorful - Accent 6"/>
    <w:basedOn w:val="32"/>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rFonts w:ascii="Arial" w:hAnsi="Arial"/>
        <w:b/>
        <w:color w:val="416429" w:themeColor="accent6" w:themeShade="94"/>
        <w:sz w:val="22"/>
      </w:rPr>
      <w:tbl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bl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bl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blPr/>
      <w:tcPr>
        <w:tcBorders>
          <w:top w:val="nil"/>
          <w:left w:val="single" w:color="ADD394" w:themeColor="accent6" w:themeTint="90" w:sz="4" w:space="0"/>
          <w:bottom w:val="nil"/>
          <w:right w:val="nil"/>
        </w:tcBorders>
        <w:shd w:val="clear" w:color="FFFFFF" w:fill="auto"/>
      </w:tcPr>
    </w:tblStylePr>
    <w:tblStylePr w:type="band1Vert">
      <w:tblPr/>
      <w:tcPr>
        <w:shd w:val="clear" w:color="E1EFD8" w:themeColor="accent6" w:themeTint="34" w:fill="E1EFD8" w:themeFill="accent6" w:themeFillTint="34"/>
      </w:tcPr>
    </w:tblStylePr>
    <w:tblStylePr w:type="band2Vert">
      <w:tblPr/>
    </w:tblStylePr>
    <w:tblStylePr w:type="band1Horz">
      <w:rPr>
        <w:rFonts w:ascii="Arial" w:hAnsi="Arial"/>
        <w:color w:val="416429" w:themeColor="accent6" w:themeShade="94"/>
        <w:sz w:val="22"/>
      </w:rPr>
      <w:tblPr/>
      <w:tcPr>
        <w:shd w:val="clear" w:color="E1EFD8" w:themeColor="accent6" w:themeTint="34" w:fill="E1EFD8" w:themeFill="accent6" w:themeFillTint="34"/>
      </w:tcPr>
    </w:tblStylePr>
    <w:tblStylePr w:type="band2Horz">
      <w:rPr>
        <w:rFonts w:ascii="Arial" w:hAnsi="Arial"/>
        <w:color w:val="416429" w:themeColor="accent6" w:themeShade="94"/>
        <w:sz w:val="22"/>
      </w:rPr>
      <w:tblPr/>
    </w:tblStylePr>
    <w:tblStylePr w:type="neCell">
      <w:tblPr/>
    </w:tblStylePr>
    <w:tblStylePr w:type="nwCell">
      <w:tblPr/>
    </w:tblStylePr>
    <w:tblStylePr w:type="seCell">
      <w:tblPr/>
    </w:tblStylePr>
    <w:tblStylePr w:type="swCell">
      <w:tblPr/>
    </w:tblStylePr>
  </w:style>
  <w:style w:type="table" w:customStyle="1" w:styleId="111">
    <w:name w:val="List Table 1 Light"/>
    <w:basedOn w:val="32"/>
    <w:uiPriority w:val="99"/>
    <w:pPr>
      <w:spacing w:after="0" w:line="240" w:lineRule="auto"/>
    </w:pPr>
    <w:tblPr/>
    <w:tblStylePr w:type="firstRow">
      <w:rPr>
        <w:b/>
        <w:color w:val="404040"/>
      </w:rPr>
      <w:tblPr/>
      <w:tcPr>
        <w:tcBorders>
          <w:top w:val="nil"/>
          <w:left w:val="nil"/>
          <w:bottom w:val="single" w:color="000000" w:themeColor="text1" w:sz="4" w:space="0"/>
          <w:right w:val="nil"/>
        </w:tcBorders>
      </w:tcPr>
    </w:tblStylePr>
    <w:tblStylePr w:type="lastRow">
      <w:rPr>
        <w:b/>
        <w:color w:val="404040"/>
      </w:rPr>
      <w:tblPr/>
      <w:tcPr>
        <w:tcBorders>
          <w:top w:val="single" w:color="000000" w:themeColor="tex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BEBEBE" w:themeColor="text1" w:themeTint="40" w:fill="BEBEBE" w:themeFill="text1" w:themeFillTint="40"/>
      </w:tcPr>
    </w:tblStylePr>
    <w:tblStylePr w:type="band2Vert">
      <w:tblPr/>
    </w:tblStylePr>
    <w:tblStylePr w:type="band1Horz">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2">
    <w:name w:val="List Table 1 Light - Accent 1"/>
    <w:basedOn w:val="32"/>
    <w:uiPriority w:val="99"/>
    <w:pPr>
      <w:spacing w:after="0" w:line="240" w:lineRule="auto"/>
    </w:pPr>
    <w:tblPr/>
    <w:tblStylePr w:type="firstRow">
      <w:rPr>
        <w:b/>
        <w:color w:val="404040"/>
      </w:rPr>
      <w:tblPr/>
      <w:tcPr>
        <w:tcBorders>
          <w:top w:val="nil"/>
          <w:left w:val="nil"/>
          <w:bottom w:val="single" w:color="4472C4" w:themeColor="accent1" w:sz="4" w:space="0"/>
          <w:right w:val="nil"/>
        </w:tcBorders>
      </w:tcPr>
    </w:tblStylePr>
    <w:tblStylePr w:type="lastRow">
      <w:rPr>
        <w:b/>
        <w:color w:val="404040"/>
      </w:rPr>
      <w:tblPr/>
      <w:tcPr>
        <w:tcBorders>
          <w:top w:val="single" w:color="4472C4" w:themeColor="accent1"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0DBF0" w:themeColor="accent1" w:themeTint="40" w:fill="D0DBF0" w:themeFill="accent1" w:themeFillTint="40"/>
      </w:tcPr>
    </w:tblStylePr>
    <w:tblStylePr w:type="band2Vert">
      <w:tblPr/>
    </w:tblStylePr>
    <w:tblStylePr w:type="band1Horz">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3">
    <w:name w:val="List Table 1 Light - Accent 2"/>
    <w:basedOn w:val="32"/>
    <w:uiPriority w:val="99"/>
    <w:pPr>
      <w:spacing w:after="0" w:line="240" w:lineRule="auto"/>
    </w:pPr>
    <w:tblPr/>
    <w:tblStylePr w:type="firstRow">
      <w:rPr>
        <w:b/>
        <w:color w:val="404040"/>
      </w:rPr>
      <w:tblPr/>
      <w:tcPr>
        <w:tcBorders>
          <w:top w:val="nil"/>
          <w:left w:val="nil"/>
          <w:bottom w:val="single" w:color="ED7D31" w:themeColor="accent2" w:sz="4" w:space="0"/>
          <w:right w:val="nil"/>
        </w:tcBorders>
      </w:tcPr>
    </w:tblStylePr>
    <w:tblStylePr w:type="lastRow">
      <w:rPr>
        <w:b/>
        <w:color w:val="404040"/>
      </w:rPr>
      <w:tblPr/>
      <w:tcPr>
        <w:tcBorders>
          <w:top w:val="single" w:color="ED7D31" w:themeColor="accent2"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ADECB" w:themeColor="accent2" w:themeTint="40" w:fill="FADECB" w:themeFill="accent2" w:themeFillTint="40"/>
      </w:tcPr>
    </w:tblStylePr>
    <w:tblStylePr w:type="band2Vert">
      <w:tblPr/>
    </w:tblStylePr>
    <w:tblStylePr w:type="band1Horz">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4">
    <w:name w:val="List Table 1 Light - Accent 3"/>
    <w:basedOn w:val="32"/>
    <w:uiPriority w:val="99"/>
    <w:pPr>
      <w:spacing w:after="0" w:line="240" w:lineRule="auto"/>
    </w:pPr>
    <w:tblPr/>
    <w:tblStylePr w:type="firstRow">
      <w:rPr>
        <w:b/>
        <w:color w:val="404040"/>
      </w:rPr>
      <w:tblPr/>
      <w:tcPr>
        <w:tcBorders>
          <w:top w:val="nil"/>
          <w:left w:val="nil"/>
          <w:bottom w:val="single" w:color="A5A5A5" w:themeColor="accent3" w:sz="4" w:space="0"/>
          <w:right w:val="nil"/>
        </w:tcBorders>
      </w:tcPr>
    </w:tblStylePr>
    <w:tblStylePr w:type="lastRow">
      <w:rPr>
        <w:b/>
        <w:color w:val="404040"/>
      </w:rPr>
      <w:tblPr/>
      <w:tcPr>
        <w:tcBorders>
          <w:top w:val="single" w:color="A5A5A5" w:themeColor="accent3"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E8E8E8" w:themeColor="accent3" w:themeTint="40" w:fill="E8E8E8" w:themeFill="accent3" w:themeFillTint="40"/>
      </w:tcPr>
    </w:tblStylePr>
    <w:tblStylePr w:type="band2Vert">
      <w:tblPr/>
    </w:tblStylePr>
    <w:tblStylePr w:type="band1Horz">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5">
    <w:name w:val="List Table 1 Light - Accent 4"/>
    <w:basedOn w:val="32"/>
    <w:uiPriority w:val="99"/>
    <w:pPr>
      <w:spacing w:after="0" w:line="240" w:lineRule="auto"/>
    </w:pPr>
    <w:tblPr/>
    <w:tblStylePr w:type="firstRow">
      <w:rPr>
        <w:b/>
        <w:color w:val="404040"/>
      </w:rPr>
      <w:tblPr/>
      <w:tcPr>
        <w:tcBorders>
          <w:top w:val="nil"/>
          <w:left w:val="nil"/>
          <w:bottom w:val="single" w:color="FFC000" w:themeColor="accent4" w:sz="4" w:space="0"/>
          <w:right w:val="nil"/>
        </w:tcBorders>
      </w:tcPr>
    </w:tblStylePr>
    <w:tblStylePr w:type="lastRow">
      <w:rPr>
        <w:b/>
        <w:color w:val="404040"/>
      </w:rPr>
      <w:tblPr/>
      <w:tcPr>
        <w:tcBorders>
          <w:top w:val="single" w:color="FFC000" w:themeColor="accent4"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FFEFBE" w:themeColor="accent4" w:themeTint="40" w:fill="FFEFBE" w:themeFill="accent4" w:themeFillTint="40"/>
      </w:tcPr>
    </w:tblStylePr>
    <w:tblStylePr w:type="band2Vert">
      <w:tblPr/>
    </w:tblStylePr>
    <w:tblStylePr w:type="band1Horz">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6">
    <w:name w:val="List Table 1 Light - Accent 5"/>
    <w:basedOn w:val="32"/>
    <w:uiPriority w:val="99"/>
    <w:pPr>
      <w:spacing w:after="0" w:line="240" w:lineRule="auto"/>
    </w:pPr>
    <w:tblPr/>
    <w:tblStylePr w:type="firstRow">
      <w:rPr>
        <w:b/>
        <w:color w:val="404040"/>
      </w:rPr>
      <w:tblPr/>
      <w:tcPr>
        <w:tcBorders>
          <w:top w:val="nil"/>
          <w:left w:val="nil"/>
          <w:bottom w:val="single" w:color="5B9BD5" w:themeColor="accent5" w:sz="4" w:space="0"/>
          <w:right w:val="nil"/>
        </w:tcBorders>
      </w:tcPr>
    </w:tblStylePr>
    <w:tblStylePr w:type="lastRow">
      <w:rPr>
        <w:b/>
        <w:color w:val="404040"/>
      </w:rPr>
      <w:tblPr/>
      <w:tcPr>
        <w:tcBorders>
          <w:top w:val="single" w:color="5B9BD5" w:themeColor="accent5"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5E5F4" w:themeColor="accent5" w:themeTint="40" w:fill="D5E5F4" w:themeFill="accent5" w:themeFillTint="40"/>
      </w:tcPr>
    </w:tblStylePr>
    <w:tblStylePr w:type="band2Vert">
      <w:tblPr/>
    </w:tblStylePr>
    <w:tblStylePr w:type="band1Horz">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7">
    <w:name w:val="List Table 1 Light - Accent 6"/>
    <w:basedOn w:val="32"/>
    <w:uiPriority w:val="99"/>
    <w:pPr>
      <w:spacing w:after="0" w:line="240" w:lineRule="auto"/>
    </w:pPr>
    <w:tblPr/>
    <w:tblStylePr w:type="firstRow">
      <w:rPr>
        <w:b/>
        <w:color w:val="404040"/>
      </w:rPr>
      <w:tblPr/>
      <w:tcPr>
        <w:tcBorders>
          <w:top w:val="nil"/>
          <w:left w:val="nil"/>
          <w:bottom w:val="single" w:color="70AD47" w:themeColor="accent6" w:sz="4" w:space="0"/>
          <w:right w:val="nil"/>
        </w:tcBorders>
      </w:tcPr>
    </w:tblStylePr>
    <w:tblStylePr w:type="lastRow">
      <w:rPr>
        <w:b/>
        <w:color w:val="404040"/>
      </w:rPr>
      <w:tblPr/>
      <w:tcPr>
        <w:tcBorders>
          <w:top w:val="single" w:color="70AD47" w:themeColor="accent6" w:sz="4" w:space="0"/>
          <w:left w:val="nil"/>
          <w:bottom w:val="nil"/>
          <w:right w:val="nil"/>
        </w:tcBorders>
      </w:tcPr>
    </w:tblStylePr>
    <w:tblStylePr w:type="firstCol">
      <w:rPr>
        <w:b/>
        <w:color w:val="404040"/>
      </w:rPr>
      <w:tblPr/>
    </w:tblStylePr>
    <w:tblStylePr w:type="lastCol">
      <w:rPr>
        <w:b/>
        <w:color w:val="404040"/>
      </w:rPr>
      <w:tblPr/>
    </w:tblStylePr>
    <w:tblStylePr w:type="band1Vert">
      <w:tblPr/>
      <w:tcPr>
        <w:shd w:val="clear" w:color="DAEBCF" w:themeColor="accent6" w:themeTint="40" w:fill="DAEBCF" w:themeFill="accent6" w:themeFillTint="40"/>
      </w:tcPr>
    </w:tblStylePr>
    <w:tblStylePr w:type="band2Vert">
      <w:tblPr/>
    </w:tblStylePr>
    <w:tblStylePr w:type="band1Horz">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8">
    <w:name w:val="List Table 2"/>
    <w:basedOn w:val="32"/>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bl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19">
    <w:name w:val="List Table 2 - Accent 1"/>
    <w:basedOn w:val="32"/>
    <w:uiPriority w:val="99"/>
    <w:pPr>
      <w:spacing w:after="0" w:line="240" w:lineRule="auto"/>
    </w:pPr>
    <w:tblPr>
      <w:tblBorders>
        <w:top w:val="single" w:color="95AFDD" w:themeColor="accent1" w:themeTint="90" w:sz="4" w:space="0"/>
        <w:bottom w:val="single" w:color="95AFDD" w:themeColor="accent1" w:themeTint="90" w:sz="4" w:space="0"/>
        <w:insideH w:val="single" w:color="95AFDD" w:themeColor="accent1" w:themeTint="90" w:sz="4" w:space="0"/>
      </w:tblBorders>
    </w:tblPr>
    <w:tblStylePr w:type="fir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lastRow">
      <w:rPr>
        <w:rFonts w:ascii="Arial" w:hAnsi="Arial"/>
        <w:b/>
        <w:color w:val="404040"/>
        <w:sz w:val="22"/>
      </w:rPr>
      <w:tblPr/>
      <w:tcPr>
        <w:tcBorders>
          <w:top w:val="single" w:color="95AFDD" w:themeColor="accent1" w:themeTint="90" w:sz="4" w:space="0"/>
          <w:left w:val="nil"/>
          <w:bottom w:val="single" w:color="95AFDD" w:themeColor="accent1"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0">
    <w:name w:val="List Table 2 - Accent 2"/>
    <w:basedOn w:val="32"/>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bl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1">
    <w:name w:val="List Table 2 - Accent 3"/>
    <w:basedOn w:val="32"/>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bl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2">
    <w:name w:val="List Table 2 - Accent 4"/>
    <w:basedOn w:val="32"/>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bl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3">
    <w:name w:val="List Table 2 - Accent 5"/>
    <w:basedOn w:val="32"/>
    <w:uiPriority w:val="99"/>
    <w:pPr>
      <w:spacing w:after="0" w:line="240" w:lineRule="auto"/>
    </w:pPr>
    <w:tblPr>
      <w:tblBorders>
        <w:top w:val="single" w:color="A2C6E7" w:themeColor="accent5" w:themeTint="90" w:sz="4" w:space="0"/>
        <w:bottom w:val="single" w:color="A2C6E7" w:themeColor="accent5" w:themeTint="90" w:sz="4" w:space="0"/>
        <w:insideH w:val="single" w:color="A2C6E7" w:themeColor="accent5" w:themeTint="90" w:sz="4" w:space="0"/>
      </w:tblBorders>
    </w:tblPr>
    <w:tblStylePr w:type="fir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lastRow">
      <w:rPr>
        <w:rFonts w:ascii="Arial" w:hAnsi="Arial"/>
        <w:b/>
        <w:color w:val="404040"/>
        <w:sz w:val="22"/>
      </w:rPr>
      <w:tblPr/>
      <w:tcPr>
        <w:tcBorders>
          <w:top w:val="single" w:color="A2C6E7" w:themeColor="accent5" w:themeTint="90" w:sz="4" w:space="0"/>
          <w:left w:val="nil"/>
          <w:bottom w:val="single" w:color="A2C6E7" w:themeColor="accent5"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4">
    <w:name w:val="List Table 2 - Accent 6"/>
    <w:basedOn w:val="32"/>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bl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Pr/>
    </w:tblStylePr>
    <w:tblStylePr w:type="lastCol">
      <w:rPr>
        <w:rFonts w:ascii="Arial" w:hAnsi="Arial"/>
        <w:b/>
        <w:color w:val="404040"/>
        <w:sz w:val="22"/>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5">
    <w:name w:val="List Table 3"/>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2Vert">
      <w:tbl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6">
    <w:name w:val="List Table 3 - Accent 1"/>
    <w:basedOn w:val="32"/>
    <w:uiPriority w:val="99"/>
    <w:pPr>
      <w:spacing w:after="0" w:line="240" w:lineRule="auto"/>
    </w:pPr>
    <w:tblPr>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4472C4" w:themeColor="accent1" w:sz="4" w:space="0"/>
          <w:right w:val="single" w:color="4472C4" w:themeColor="accent1" w:sz="4" w:space="0"/>
        </w:tcBorders>
      </w:tcPr>
    </w:tblStylePr>
    <w:tblStylePr w:type="band2Vert">
      <w:tblPr/>
    </w:tblStylePr>
    <w:tblStylePr w:type="band1Horz">
      <w:rPr>
        <w:rFonts w:ascii="Arial" w:hAnsi="Arial"/>
        <w:color w:val="404040"/>
        <w:sz w:val="22"/>
      </w:rPr>
      <w:tblPr/>
      <w:tcPr>
        <w:tcBorders>
          <w:top w:val="single" w:color="4472C4" w:themeColor="accent1" w:sz="4" w:space="0"/>
          <w:bottom w:val="single" w:color="4472C4" w:themeColor="accent1"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7">
    <w:name w:val="List Table 3 - Accent 2"/>
    <w:basedOn w:val="32"/>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rFonts w:ascii="Arial" w:hAnsi="Arial"/>
        <w:b/>
        <w:color w:val="FFFFFF"/>
        <w:sz w:val="22"/>
      </w:rPr>
      <w:tblPr/>
      <w:tcPr>
        <w:shd w:val="clear" w:color="F4B285" w:themeColor="accent2" w:themeTint="97" w:fill="F4B28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4B285" w:themeColor="accent2" w:themeTint="97" w:sz="4" w:space="0"/>
          <w:right w:val="single" w:color="F4B285" w:themeColor="accent2" w:themeTint="97" w:sz="4" w:space="0"/>
        </w:tcBorders>
      </w:tcPr>
    </w:tblStylePr>
    <w:tblStylePr w:type="band2Vert">
      <w:tblPr/>
    </w:tblStylePr>
    <w:tblStylePr w:type="band1Horz">
      <w:rPr>
        <w:rFonts w:ascii="Arial" w:hAnsi="Arial"/>
        <w:color w:val="404040"/>
        <w:sz w:val="22"/>
      </w:rPr>
      <w:tblPr/>
      <w:tcPr>
        <w:tcBorders>
          <w:top w:val="single" w:color="F4B285" w:themeColor="accent2" w:themeTint="97" w:sz="4" w:space="0"/>
          <w:bottom w:val="single" w:color="F4B285" w:themeColor="accent2" w:themeTint="9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8">
    <w:name w:val="List Table 3 - Accent 3"/>
    <w:basedOn w:val="32"/>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C9C9C9" w:themeColor="accent3" w:themeTint="98" w:sz="4" w:space="0"/>
          <w:right w:val="single" w:color="C9C9C9" w:themeColor="accent3" w:themeTint="98" w:sz="4" w:space="0"/>
        </w:tcBorders>
      </w:tcPr>
    </w:tblStylePr>
    <w:tblStylePr w:type="band2Vert">
      <w:tblPr/>
    </w:tblStylePr>
    <w:tblStylePr w:type="band1Horz">
      <w:rPr>
        <w:rFonts w:ascii="Arial" w:hAnsi="Arial"/>
        <w:color w:val="404040"/>
        <w:sz w:val="22"/>
      </w:rPr>
      <w:tblPr/>
      <w:tcPr>
        <w:tcBorders>
          <w:top w:val="single" w:color="C9C9C9" w:themeColor="accent3" w:themeTint="98" w:sz="4" w:space="0"/>
          <w:bottom w:val="single" w:color="C9C9C9" w:themeColor="accent3"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29">
    <w:name w:val="List Table 3 - Accent 4"/>
    <w:basedOn w:val="32"/>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rFonts w:ascii="Arial" w:hAnsi="Arial"/>
        <w:b/>
        <w:color w:val="FFFFFF"/>
        <w:sz w:val="22"/>
      </w:rPr>
      <w:tblPr/>
      <w:tcPr>
        <w:shd w:val="clear" w:color="FFD864" w:themeColor="accent4" w:themeTint="9A" w:fill="FFD864"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FFD864" w:themeColor="accent4" w:themeTint="9A" w:sz="4" w:space="0"/>
          <w:right w:val="single" w:color="FFD864" w:themeColor="accent4" w:themeTint="9A" w:sz="4" w:space="0"/>
        </w:tcBorders>
      </w:tcPr>
    </w:tblStylePr>
    <w:tblStylePr w:type="band2Vert">
      <w:tblPr/>
    </w:tblStylePr>
    <w:tblStylePr w:type="band1Horz">
      <w:rPr>
        <w:rFonts w:ascii="Arial" w:hAnsi="Arial"/>
        <w:color w:val="404040"/>
        <w:sz w:val="22"/>
      </w:rPr>
      <w:tblPr/>
      <w:tcPr>
        <w:tcBorders>
          <w:top w:val="single" w:color="FFD864" w:themeColor="accent4" w:themeTint="9A" w:sz="4" w:space="0"/>
          <w:bottom w:val="single" w:color="FFD864" w:themeColor="accent4"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0">
    <w:name w:val="List Table 3 - Accent 5"/>
    <w:basedOn w:val="32"/>
    <w:uiPriority w:val="99"/>
    <w:pPr>
      <w:spacing w:after="0" w:line="240" w:lineRule="auto"/>
    </w:pPr>
    <w:tblPr>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9BC2E5" w:themeColor="accent5" w:themeTint="9A" w:sz="4" w:space="0"/>
          <w:right w:val="single" w:color="9BC2E5" w:themeColor="accent5" w:themeTint="9A" w:sz="4" w:space="0"/>
        </w:tcBorders>
      </w:tcPr>
    </w:tblStylePr>
    <w:tblStylePr w:type="band2Vert">
      <w:tblPr/>
    </w:tblStylePr>
    <w:tblStylePr w:type="band1Horz">
      <w:rPr>
        <w:rFonts w:ascii="Arial" w:hAnsi="Arial"/>
        <w:color w:val="404040"/>
        <w:sz w:val="22"/>
      </w:rPr>
      <w:tblPr/>
      <w:tcPr>
        <w:tcBorders>
          <w:top w:val="single" w:color="9BC2E5" w:themeColor="accent5" w:themeTint="9A" w:sz="4" w:space="0"/>
          <w:bottom w:val="single" w:color="9BC2E5" w:themeColor="accent5" w:themeTint="9A"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1">
    <w:name w:val="List Table 3 - Accent 6"/>
    <w:basedOn w:val="32"/>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tcBorders>
          <w:left w:val="single" w:color="A9D08E" w:themeColor="accent6" w:themeTint="98" w:sz="4" w:space="0"/>
          <w:right w:val="single" w:color="A9D08E" w:themeColor="accent6" w:themeTint="98" w:sz="4" w:space="0"/>
        </w:tcBorders>
      </w:tcPr>
    </w:tblStylePr>
    <w:tblStylePr w:type="band2Vert">
      <w:tblPr/>
    </w:tblStylePr>
    <w:tblStylePr w:type="band1Horz">
      <w:rPr>
        <w:rFonts w:ascii="Arial" w:hAnsi="Arial"/>
        <w:color w:val="404040"/>
        <w:sz w:val="22"/>
      </w:rPr>
      <w:tblPr/>
      <w:tcPr>
        <w:tcBorders>
          <w:top w:val="single" w:color="A9D08E" w:themeColor="accent6" w:themeTint="98" w:sz="4" w:space="0"/>
          <w:bottom w:val="single" w:color="A9D08E" w:themeColor="accent6" w:themeTint="98"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2">
    <w:name w:val="List Table 4"/>
    <w:basedOn w:val="32"/>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BEBEBE" w:themeColor="text1" w:themeTint="40" w:fill="BEBEBE" w:themeFill="text1" w:themeFillTint="40"/>
      </w:tcPr>
    </w:tblStylePr>
    <w:tblStylePr w:type="band2Vert">
      <w:tblPr/>
    </w:tblStylePr>
    <w:tblStylePr w:type="band1Horz">
      <w:rPr>
        <w:rFonts w:ascii="Arial" w:hAnsi="Arial"/>
        <w:color w:val="404040"/>
        <w:sz w:val="22"/>
      </w:rPr>
      <w:tblPr/>
      <w:tcPr>
        <w:shd w:val="clear" w:color="BEBEBE" w:themeColor="text1" w:themeTint="40" w:fill="BEBEBE" w:themeFill="tex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3">
    <w:name w:val="List Table 4 - Accent 1"/>
    <w:basedOn w:val="32"/>
    <w:uiPriority w:val="99"/>
    <w:pPr>
      <w:spacing w:after="0" w:line="240" w:lineRule="auto"/>
    </w:pPr>
    <w:tblPr>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0DBF0" w:themeColor="accent1" w:themeTint="40" w:fill="D0DBF0" w:themeFill="accent1" w:themeFillTint="40"/>
      </w:tcPr>
    </w:tblStylePr>
    <w:tblStylePr w:type="band2Vert">
      <w:tblPr/>
    </w:tblStylePr>
    <w:tblStylePr w:type="band1Horz">
      <w:rPr>
        <w:rFonts w:ascii="Arial" w:hAnsi="Arial"/>
        <w:color w:val="404040"/>
        <w:sz w:val="22"/>
      </w:rPr>
      <w:tblPr/>
      <w:tcPr>
        <w:shd w:val="clear" w:color="D0DBF0" w:themeColor="accent1" w:themeTint="40" w:fill="D0DBF0" w:themeFill="accent1"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4">
    <w:name w:val="List Table 4 - Accent 2"/>
    <w:basedOn w:val="32"/>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ADECB" w:themeColor="accent2" w:themeTint="40" w:fill="FADECB" w:themeFill="accent2" w:themeFillTint="40"/>
      </w:tcPr>
    </w:tblStylePr>
    <w:tblStylePr w:type="band2Vert">
      <w:tblPr/>
    </w:tblStylePr>
    <w:tblStylePr w:type="band1Horz">
      <w:rPr>
        <w:rFonts w:ascii="Arial" w:hAnsi="Arial"/>
        <w:color w:val="404040"/>
        <w:sz w:val="22"/>
      </w:rPr>
      <w:tblPr/>
      <w:tcPr>
        <w:shd w:val="clear" w:color="FADECB" w:themeColor="accent2" w:themeTint="40" w:fill="FADECB" w:themeFill="accent2"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5">
    <w:name w:val="List Table 4 - Accent 3"/>
    <w:basedOn w:val="32"/>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E8E8E8" w:themeColor="accent3" w:themeTint="40" w:fill="E8E8E8" w:themeFill="accent3" w:themeFillTint="40"/>
      </w:tcPr>
    </w:tblStylePr>
    <w:tblStylePr w:type="band2Vert">
      <w:tblPr/>
    </w:tblStylePr>
    <w:tblStylePr w:type="band1Horz">
      <w:rPr>
        <w:rFonts w:ascii="Arial" w:hAnsi="Arial"/>
        <w:color w:val="404040"/>
        <w:sz w:val="22"/>
      </w:rPr>
      <w:tblPr/>
      <w:tcPr>
        <w:shd w:val="clear" w:color="E8E8E8" w:themeColor="accent3" w:themeTint="40" w:fill="E8E8E8" w:themeFill="accent3"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6">
    <w:name w:val="List Table 4 - Accent 4"/>
    <w:basedOn w:val="32"/>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FFEFBE" w:themeColor="accent4" w:themeTint="40" w:fill="FFEFBE" w:themeFill="accent4" w:themeFillTint="40"/>
      </w:tcPr>
    </w:tblStylePr>
    <w:tblStylePr w:type="band2Vert">
      <w:tblPr/>
    </w:tblStylePr>
    <w:tblStylePr w:type="band1Horz">
      <w:rPr>
        <w:rFonts w:ascii="Arial" w:hAnsi="Arial"/>
        <w:color w:val="404040"/>
        <w:sz w:val="22"/>
      </w:rPr>
      <w:tblPr/>
      <w:tcPr>
        <w:shd w:val="clear" w:color="FFEFBE" w:themeColor="accent4" w:themeTint="40" w:fill="FFEFBE" w:themeFill="accent4"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7">
    <w:name w:val="List Table 4 - Accent 5"/>
    <w:basedOn w:val="32"/>
    <w:uiPriority w:val="99"/>
    <w:pPr>
      <w:spacing w:after="0" w:line="240" w:lineRule="auto"/>
    </w:pPr>
    <w:tblPr>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5E5F4" w:themeColor="accent5" w:themeTint="40" w:fill="D5E5F4" w:themeFill="accent5" w:themeFillTint="40"/>
      </w:tcPr>
    </w:tblStylePr>
    <w:tblStylePr w:type="band2Vert">
      <w:tblPr/>
    </w:tblStylePr>
    <w:tblStylePr w:type="band1Horz">
      <w:rPr>
        <w:rFonts w:ascii="Arial" w:hAnsi="Arial"/>
        <w:color w:val="404040"/>
        <w:sz w:val="22"/>
      </w:rPr>
      <w:tblPr/>
      <w:tcPr>
        <w:shd w:val="clear" w:color="D5E5F4" w:themeColor="accent5" w:themeTint="40" w:fill="D5E5F4" w:themeFill="accent5"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8">
    <w:name w:val="List Table 4 - Accent 6"/>
    <w:basedOn w:val="32"/>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rFonts w:ascii="Arial" w:hAnsi="Arial"/>
        <w:color w:val="404040"/>
        <w:sz w:val="22"/>
      </w:rPr>
      <w:tblPr/>
      <w:tcPr>
        <w:shd w:val="clear" w:color="DAEBCF" w:themeColor="accent6" w:themeTint="40" w:fill="DAEBCF" w:themeFill="accent6" w:themeFillTint="40"/>
      </w:tcPr>
    </w:tblStylePr>
    <w:tblStylePr w:type="band2Vert">
      <w:tblPr/>
    </w:tblStylePr>
    <w:tblStylePr w:type="band1Horz">
      <w:rPr>
        <w:rFonts w:ascii="Arial" w:hAnsi="Arial"/>
        <w:color w:val="404040"/>
        <w:sz w:val="22"/>
      </w:rPr>
      <w:tblPr/>
      <w:tcPr>
        <w:shd w:val="clear" w:color="DAEBCF" w:themeColor="accent6" w:themeTint="40" w:fill="DAEBCF" w:themeFill="accent6" w:themeFillTint="40"/>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39">
    <w:name w:val="List Table 5 Dark"/>
    <w:basedOn w:val="32"/>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bl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7E7E7E" w:themeColor="text1" w:themeTint="80" w:sz="32" w:space="0"/>
          <w:right w:val="single" w:color="FFFFFF" w:themeColor="light1" w:sz="4" w:space="0"/>
        </w:tcBorders>
      </w:tcPr>
    </w:tblStylePr>
    <w:tblStylePr w:type="lastCol">
      <w:tblPr/>
      <w:tcPr>
        <w:tcBorders>
          <w:left w:val="single" w:color="FFFFFF" w:themeColor="light1" w:sz="4" w:space="0"/>
          <w:right w:val="single" w:color="7E7E7E"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blPr/>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Pr/>
    </w:tblStylePr>
    <w:tblStylePr w:type="nwCell">
      <w:tblPr/>
    </w:tblStylePr>
    <w:tblStylePr w:type="seCell">
      <w:tblPr/>
    </w:tblStylePr>
    <w:tblStylePr w:type="swCell">
      <w:tblPr/>
    </w:tblStylePr>
  </w:style>
  <w:style w:type="table" w:customStyle="1" w:styleId="140">
    <w:name w:val="List Table 5 Dark - Accent 1"/>
    <w:basedOn w:val="32"/>
    <w:uiPriority w:val="99"/>
    <w:pPr>
      <w:spacing w:after="0" w:line="240" w:lineRule="auto"/>
    </w:pPr>
    <w:tblPr>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tblPr>
    <w:tblStylePr w:type="firstRow">
      <w:rPr>
        <w:rFonts w:ascii="Arial" w:hAnsi="Arial"/>
        <w:b/>
        <w:color w:val="FFFFFF" w:themeColor="light1"/>
        <w:sz w:val="22"/>
        <w14:textFill>
          <w14:solidFill>
            <w14:schemeClr w14:val="lt1"/>
          </w14:solidFill>
        </w14:textFill>
      </w:rPr>
      <w:tblPr/>
      <w:tcPr>
        <w:tcBorders>
          <w:top w:val="single" w:color="4472C4" w:themeColor="accent1" w:sz="32" w:space="0"/>
          <w:bottom w:val="single" w:color="FFFFFF" w:themeColor="light1" w:sz="12" w:space="0"/>
        </w:tcBorders>
        <w:shd w:val="clear" w:color="4472C4" w:themeColor="accent1" w:fill="4472C4" w:themeFill="accent1"/>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4472C4" w:themeColor="accent1" w:sz="32" w:space="0"/>
          <w:right w:val="single" w:color="FFFFFF" w:themeColor="light1" w:sz="4" w:space="0"/>
        </w:tcBorders>
      </w:tcPr>
    </w:tblStylePr>
    <w:tblStylePr w:type="lastCol">
      <w:tblPr/>
      <w:tcPr>
        <w:tcBorders>
          <w:left w:val="single" w:color="FFFFFF" w:themeColor="light1" w:sz="4" w:space="0"/>
          <w:right w:val="single" w:color="4472C4" w:themeColor="accent1" w:sz="32" w:space="0"/>
        </w:tcBorders>
      </w:tcPr>
    </w:tblStylePr>
    <w:tblStylePr w:type="band1Vert">
      <w:tblPr/>
      <w:tcPr>
        <w:tcBorders>
          <w:left w:val="single" w:color="FFFFFF" w:themeColor="light1" w:sz="4" w:space="0"/>
          <w:right w:val="single" w:color="FFFFFF" w:themeColor="light1" w:sz="4" w:space="0"/>
        </w:tcBorders>
        <w:shd w:val="clear" w:color="4472C4" w:themeColor="accent1" w:fill="4472C4"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472C4" w:themeColor="accent1" w:fill="4472C4" w:themeFill="accent1"/>
      </w:tcPr>
    </w:tblStylePr>
    <w:tblStylePr w:type="band2Horz">
      <w:tblPr/>
      <w:tcPr>
        <w:tcBorders>
          <w:top w:val="single" w:color="FFFFFF" w:themeColor="light1" w:sz="4" w:space="0"/>
          <w:bottom w:val="single" w:color="FFFFFF" w:themeColor="light1" w:sz="4" w:space="0"/>
        </w:tcBorders>
        <w:shd w:val="clear" w:color="4472C4" w:themeColor="accent1" w:fill="4472C4" w:themeFill="accent1"/>
      </w:tcPr>
    </w:tblStylePr>
    <w:tblStylePr w:type="neCell">
      <w:tblPr/>
    </w:tblStylePr>
    <w:tblStylePr w:type="nwCell">
      <w:tblPr/>
    </w:tblStylePr>
    <w:tblStylePr w:type="seCell">
      <w:tblPr/>
    </w:tblStylePr>
    <w:tblStylePr w:type="swCell">
      <w:tblPr/>
    </w:tblStylePr>
  </w:style>
  <w:style w:type="table" w:customStyle="1" w:styleId="141">
    <w:name w:val="List Table 5 Dark - Accent 2"/>
    <w:basedOn w:val="32"/>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rFonts w:ascii="Arial" w:hAnsi="Arial"/>
        <w:b/>
        <w:color w:val="FFFFFF" w:themeColor="light1"/>
        <w:sz w:val="22"/>
        <w14:textFill>
          <w14:solidFill>
            <w14:schemeClr w14:val="lt1"/>
          </w14:solidFill>
        </w14:textFill>
      </w:rPr>
      <w:tbl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4B285" w:themeColor="accent2" w:themeTint="97" w:sz="32" w:space="0"/>
          <w:right w:val="single" w:color="FFFFFF" w:themeColor="light1" w:sz="4" w:space="0"/>
        </w:tcBorders>
      </w:tcPr>
    </w:tblStylePr>
    <w:tblStylePr w:type="lastCol">
      <w:tblPr/>
      <w:tcPr>
        <w:tcBorders>
          <w:left w:val="single" w:color="FFFFFF" w:themeColor="light1" w:sz="4" w:space="0"/>
          <w:right w:val="single" w:color="F4B285"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blPr/>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neCell">
      <w:tblPr/>
    </w:tblStylePr>
    <w:tblStylePr w:type="nwCell">
      <w:tblPr/>
    </w:tblStylePr>
    <w:tblStylePr w:type="seCell">
      <w:tblPr/>
    </w:tblStylePr>
    <w:tblStylePr w:type="swCell">
      <w:tblPr/>
    </w:tblStylePr>
  </w:style>
  <w:style w:type="table" w:customStyle="1" w:styleId="142">
    <w:name w:val="List Table 5 Dark - Accent 3"/>
    <w:basedOn w:val="32"/>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C9C9C9" w:themeColor="accent3" w:themeTint="98" w:sz="32" w:space="0"/>
          <w:right w:val="single" w:color="FFFFFF" w:themeColor="light1" w:sz="4" w:space="0"/>
        </w:tcBorders>
      </w:tcPr>
    </w:tblStylePr>
    <w:tblStylePr w:type="lastCol">
      <w:tblPr/>
      <w:tcPr>
        <w:tcBorders>
          <w:left w:val="single" w:color="FFFFFF" w:themeColor="light1" w:sz="4" w:space="0"/>
          <w:right w:val="single" w:color="C9C9C9"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blPr/>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neCell">
      <w:tblPr/>
    </w:tblStylePr>
    <w:tblStylePr w:type="nwCell">
      <w:tblPr/>
    </w:tblStylePr>
    <w:tblStylePr w:type="seCell">
      <w:tblPr/>
    </w:tblStylePr>
    <w:tblStylePr w:type="swCell">
      <w:tblPr/>
    </w:tblStylePr>
  </w:style>
  <w:style w:type="table" w:customStyle="1" w:styleId="143">
    <w:name w:val="List Table 5 Dark - Accent 4"/>
    <w:basedOn w:val="32"/>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FFD864" w:themeColor="accent4" w:themeTint="9A" w:sz="32" w:space="0"/>
          <w:right w:val="single" w:color="FFFFFF" w:themeColor="light1" w:sz="4" w:space="0"/>
        </w:tcBorders>
      </w:tcPr>
    </w:tblStylePr>
    <w:tblStylePr w:type="lastCol">
      <w:tblPr/>
      <w:tcPr>
        <w:tcBorders>
          <w:left w:val="single" w:color="FFFFFF" w:themeColor="light1" w:sz="4" w:space="0"/>
          <w:right w:val="single" w:color="FFD864"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blPr/>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neCell">
      <w:tblPr/>
    </w:tblStylePr>
    <w:tblStylePr w:type="nwCell">
      <w:tblPr/>
    </w:tblStylePr>
    <w:tblStylePr w:type="seCell">
      <w:tblPr/>
    </w:tblStylePr>
    <w:tblStylePr w:type="swCell">
      <w:tblPr/>
    </w:tblStylePr>
  </w:style>
  <w:style w:type="table" w:customStyle="1" w:styleId="144">
    <w:name w:val="List Table 5 Dark - Accent 5"/>
    <w:basedOn w:val="32"/>
    <w:uiPriority w:val="99"/>
    <w:pPr>
      <w:spacing w:after="0" w:line="240" w:lineRule="auto"/>
    </w:pPr>
    <w:tblPr>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tblPr>
    <w:tblStylePr w:type="firstRow">
      <w:rPr>
        <w:rFonts w:ascii="Arial" w:hAnsi="Arial"/>
        <w:b/>
        <w:color w:val="FFFFFF" w:themeColor="light1"/>
        <w:sz w:val="22"/>
        <w14:textFill>
          <w14:solidFill>
            <w14:schemeClr w14:val="lt1"/>
          </w14:solidFill>
        </w14:textFill>
      </w:rPr>
      <w:tblPr/>
      <w:tcPr>
        <w:tcBorders>
          <w:top w:val="single" w:color="9BC2E5" w:themeColor="accent5" w:themeTint="9A" w:sz="32" w:space="0"/>
          <w:bottom w:val="single" w:color="FFFFFF" w:themeColor="light1" w:sz="12" w:space="0"/>
        </w:tcBorders>
        <w:shd w:val="clear" w:color="9BC2E5" w:themeColor="accent5" w:themeTint="9A" w:fill="9BC2E5" w:themeFill="accent5" w:themeFillTint="9A"/>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9BC2E5" w:themeColor="accent5" w:themeTint="9A" w:sz="32" w:space="0"/>
          <w:right w:val="single" w:color="FFFFFF" w:themeColor="light1" w:sz="4" w:space="0"/>
        </w:tcBorders>
      </w:tcPr>
    </w:tblStylePr>
    <w:tblStylePr w:type="lastCol">
      <w:tblPr/>
      <w:tcPr>
        <w:tcBorders>
          <w:left w:val="single" w:color="FFFFFF" w:themeColor="light1" w:sz="4" w:space="0"/>
          <w:right w:val="single" w:color="9BC2E5"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9BC2E5" w:themeColor="accent5" w:themeTint="9A" w:fill="9BC2E5"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band2Horz">
      <w:tblPr/>
      <w:tcPr>
        <w:tcBorders>
          <w:top w:val="single" w:color="FFFFFF" w:themeColor="light1" w:sz="4" w:space="0"/>
          <w:bottom w:val="single" w:color="FFFFFF" w:themeColor="light1" w:sz="4" w:space="0"/>
        </w:tcBorders>
        <w:shd w:val="clear" w:color="9BC2E5" w:themeColor="accent5" w:themeTint="9A" w:fill="9BC2E5" w:themeFill="accent5" w:themeFillTint="9A"/>
      </w:tcPr>
    </w:tblStylePr>
    <w:tblStylePr w:type="neCell">
      <w:tblPr/>
    </w:tblStylePr>
    <w:tblStylePr w:type="nwCell">
      <w:tblPr/>
    </w:tblStylePr>
    <w:tblStylePr w:type="seCell">
      <w:tblPr/>
    </w:tblStylePr>
    <w:tblStylePr w:type="swCell">
      <w:tblPr/>
    </w:tblStylePr>
  </w:style>
  <w:style w:type="table" w:customStyle="1" w:styleId="145">
    <w:name w:val="List Table 5 Dark - Accent 6"/>
    <w:basedOn w:val="32"/>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rFonts w:ascii="Arial" w:hAnsi="Arial"/>
        <w:b/>
        <w:color w:val="FFFFFF" w:themeColor="light1"/>
        <w:sz w:val="22"/>
        <w14:textFill>
          <w14:solidFill>
            <w14:schemeClr w14:val="lt1"/>
          </w14:solidFill>
        </w14:textFill>
      </w:rPr>
      <w:tbl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Pr/>
    </w:tblStylePr>
    <w:tblStylePr w:type="firstCol">
      <w:rPr>
        <w:rFonts w:ascii="Arial" w:hAnsi="Arial"/>
        <w:b/>
        <w:color w:val="FFFFFF" w:themeColor="light1"/>
        <w:sz w:val="22"/>
        <w14:textFill>
          <w14:solidFill>
            <w14:schemeClr w14:val="lt1"/>
          </w14:solidFill>
        </w14:textFill>
      </w:rPr>
      <w:tblPr/>
      <w:tcPr>
        <w:tcBorders>
          <w:left w:val="single" w:color="A9D08E" w:themeColor="accent6" w:themeTint="98" w:sz="32" w:space="0"/>
          <w:right w:val="single" w:color="FFFFFF" w:themeColor="light1" w:sz="4" w:space="0"/>
        </w:tcBorders>
      </w:tcPr>
    </w:tblStylePr>
    <w:tblStylePr w:type="lastCol">
      <w:tblPr/>
      <w:tcPr>
        <w:tcBorders>
          <w:left w:val="single" w:color="FFFFFF" w:themeColor="light1" w:sz="4" w:space="0"/>
          <w:right w:val="single" w:color="A9D08E"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blPr/>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neCell">
      <w:tblPr/>
    </w:tblStylePr>
    <w:tblStylePr w:type="nwCell">
      <w:tblPr/>
    </w:tblStylePr>
    <w:tblStylePr w:type="seCell">
      <w:tblPr/>
    </w:tblStylePr>
    <w:tblStylePr w:type="swCell">
      <w:tblPr/>
    </w:tblStylePr>
  </w:style>
  <w:style w:type="table" w:customStyle="1" w:styleId="146">
    <w:name w:val="List Table 6 Colorful"/>
    <w:basedOn w:val="32"/>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blPr/>
      <w:tcPr>
        <w:tcBorders>
          <w:bottom w:val="single" w:color="7E7E7E" w:themeColor="text1" w:themeTint="80" w:sz="4" w:space="0"/>
        </w:tcBorders>
      </w:tcPr>
    </w:tblStylePr>
    <w:tblStylePr w:type="lastRow">
      <w:rPr>
        <w:b/>
        <w:color w:val="000000" w:themeColor="text1"/>
        <w14:textFill>
          <w14:solidFill>
            <w14:schemeClr w14:val="tx1"/>
          </w14:solidFill>
        </w14:textFill>
      </w:rPr>
      <w:tblPr/>
      <w:tcPr>
        <w:tcBorders>
          <w:top w:val="single" w:color="7E7E7E" w:themeColor="text1" w:themeTint="80" w:sz="4" w:space="0"/>
        </w:tcBorders>
      </w:tcPr>
    </w:tblStylePr>
    <w:tblStylePr w:type="firstCol">
      <w:rPr>
        <w:b/>
        <w:color w:val="000000" w:themeColor="text1"/>
        <w14:textFill>
          <w14:solidFill>
            <w14:schemeClr w14:val="tx1"/>
          </w14:solidFill>
        </w14:textFill>
      </w:rPr>
      <w:tblPr/>
    </w:tblStylePr>
    <w:tblStylePr w:type="lastCol">
      <w:rPr>
        <w:b/>
        <w:color w:val="000000" w:themeColor="text1"/>
        <w14:textFill>
          <w14:solidFill>
            <w14:schemeClr w14:val="tx1"/>
          </w14:solidFill>
        </w14:textFill>
      </w:rPr>
      <w:tbl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000000" w:themeColor="text1"/>
        <w:sz w:val="22"/>
        <w14:textFill>
          <w14:solidFill>
            <w14:schemeClr w14:val="tx1"/>
          </w14:solidFill>
        </w14:textFill>
      </w:rPr>
      <w:tbl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Pr/>
    </w:tblStylePr>
    <w:tblStylePr w:type="neCell">
      <w:tblPr/>
    </w:tblStylePr>
    <w:tblStylePr w:type="nwCell">
      <w:tblPr/>
    </w:tblStylePr>
    <w:tblStylePr w:type="seCell">
      <w:tblPr/>
    </w:tblStylePr>
    <w:tblStylePr w:type="swCell">
      <w:tblPr/>
    </w:tblStylePr>
  </w:style>
  <w:style w:type="table" w:customStyle="1" w:styleId="147">
    <w:name w:val="List Table 6 Colorful - Accent 1"/>
    <w:basedOn w:val="32"/>
    <w:uiPriority w:val="99"/>
    <w:pPr>
      <w:spacing w:after="0" w:line="240" w:lineRule="auto"/>
    </w:pPr>
    <w:tblPr>
      <w:tblBorders>
        <w:top w:val="single" w:color="4472C4" w:themeColor="accent1" w:sz="4" w:space="0"/>
        <w:bottom w:val="single" w:color="4472C4" w:themeColor="accent1" w:sz="4" w:space="0"/>
      </w:tblBorders>
    </w:tblPr>
    <w:tblStylePr w:type="firstRow">
      <w:rPr>
        <w:b/>
        <w:color w:val="254174" w:themeColor="accent1" w:themeShade="94"/>
      </w:rPr>
      <w:tblPr/>
      <w:tcPr>
        <w:tcBorders>
          <w:bottom w:val="single" w:color="4472C4" w:themeColor="accent1" w:sz="4" w:space="0"/>
        </w:tcBorders>
      </w:tcPr>
    </w:tblStylePr>
    <w:tblStylePr w:type="lastRow">
      <w:rPr>
        <w:b/>
        <w:color w:val="254174" w:themeColor="accent1" w:themeShade="94"/>
      </w:rPr>
      <w:tblPr/>
      <w:tcPr>
        <w:tcBorders>
          <w:top w:val="single" w:color="4472C4" w:themeColor="accent1" w:sz="4" w:space="0"/>
        </w:tcBorders>
      </w:tcPr>
    </w:tblStylePr>
    <w:tblStylePr w:type="firstCol">
      <w:rPr>
        <w:b/>
        <w:color w:val="254174" w:themeColor="accent1" w:themeShade="94"/>
      </w:rPr>
      <w:tblPr/>
    </w:tblStylePr>
    <w:tblStylePr w:type="lastCol">
      <w:rPr>
        <w:b/>
        <w:color w:val="254174" w:themeColor="accent1" w:themeShade="94"/>
      </w:rPr>
      <w:tbl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54174" w:themeColor="accent1" w:themeShade="94"/>
        <w:sz w:val="22"/>
      </w:rPr>
      <w:tblPr/>
      <w:tcPr>
        <w:shd w:val="clear" w:color="D0DBF0" w:themeColor="accent1" w:themeTint="40" w:fill="D0DBF0" w:themeFill="accent1" w:themeFillTint="40"/>
      </w:tcPr>
    </w:tblStylePr>
    <w:tblStylePr w:type="band2Horz">
      <w:rPr>
        <w:rFonts w:ascii="Arial" w:hAnsi="Arial"/>
        <w:color w:val="254174"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48">
    <w:name w:val="List Table 6 Colorful - Accent 2"/>
    <w:basedOn w:val="32"/>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bl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bl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Pr/>
    </w:tblStylePr>
    <w:tblStylePr w:type="lastCol">
      <w:rPr>
        <w:b/>
        <w:color w:val="F4B285" w:themeColor="accent2" w:themeTint="96"/>
        <w14:textFill>
          <w14:solidFill>
            <w14:schemeClr w14:val="accent2">
              <w14:lumMod w14:val="59000"/>
              <w14:lumOff w14:val="41000"/>
            </w14:schemeClr>
          </w14:solidFill>
        </w14:textFill>
      </w:rPr>
      <w:tbl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49">
    <w:name w:val="List Table 6 Colorful - Accent 3"/>
    <w:basedOn w:val="32"/>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bl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bl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Pr/>
    </w:tblStylePr>
    <w:tblStylePr w:type="lastCol">
      <w:rPr>
        <w:b/>
        <w:color w:val="C9C9C9" w:themeColor="accent3" w:themeTint="99"/>
        <w14:textFill>
          <w14:solidFill>
            <w14:schemeClr w14:val="accent3">
              <w14:lumMod w14:val="60000"/>
              <w14:lumOff w14:val="40000"/>
            </w14:schemeClr>
          </w14:solidFill>
        </w14:textFill>
      </w:rPr>
      <w:tbl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0">
    <w:name w:val="List Table 6 Colorful - Accent 4"/>
    <w:basedOn w:val="32"/>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bl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bl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Pr/>
    </w:tblStylePr>
    <w:tblStylePr w:type="lastCol">
      <w:rPr>
        <w:b/>
        <w:color w:val="FFD966" w:themeColor="accent4" w:themeTint="99"/>
        <w14:textFill>
          <w14:solidFill>
            <w14:schemeClr w14:val="accent4">
              <w14:lumMod w14:val="60000"/>
              <w14:lumOff w14:val="40000"/>
            </w14:schemeClr>
          </w14:solidFill>
        </w14:textFill>
      </w:rPr>
      <w:tbl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1">
    <w:name w:val="List Table 6 Colorful - Accent 5"/>
    <w:basedOn w:val="32"/>
    <w:uiPriority w:val="99"/>
    <w:pPr>
      <w:spacing w:after="0" w:line="240" w:lineRule="auto"/>
    </w:pPr>
    <w:tblPr>
      <w:tblBorders>
        <w:top w:val="single" w:color="9BC2E5" w:themeColor="accent5" w:themeTint="9A" w:sz="4" w:space="0"/>
        <w:bottom w:val="single" w:color="9BC2E5" w:themeColor="accent5" w:themeTint="9A" w:sz="4" w:space="0"/>
      </w:tblBorders>
    </w:tblPr>
    <w:tblStylePr w:type="firstRow">
      <w:rPr>
        <w:b/>
        <w:color w:val="9DC3E6" w:themeColor="accent5" w:themeTint="99"/>
        <w14:textFill>
          <w14:solidFill>
            <w14:schemeClr w14:val="accent5">
              <w14:lumMod w14:val="60000"/>
              <w14:lumOff w14:val="40000"/>
            </w14:schemeClr>
          </w14:solidFill>
        </w14:textFill>
      </w:rPr>
      <w:tblPr/>
      <w:tcPr>
        <w:tcBorders>
          <w:bottom w:val="single" w:color="9BC2E5" w:themeColor="accent5" w:themeTint="9A" w:sz="4" w:space="0"/>
        </w:tcBorders>
      </w:tcPr>
    </w:tblStylePr>
    <w:tblStylePr w:type="lastRow">
      <w:rPr>
        <w:b/>
        <w:color w:val="9DC3E6" w:themeColor="accent5" w:themeTint="99"/>
        <w14:textFill>
          <w14:solidFill>
            <w14:schemeClr w14:val="accent5">
              <w14:lumMod w14:val="60000"/>
              <w14:lumOff w14:val="40000"/>
            </w14:schemeClr>
          </w14:solidFill>
        </w14:textFill>
      </w:rPr>
      <w:tblPr/>
      <w:tcPr>
        <w:tcBorders>
          <w:top w:val="single" w:color="9BC2E5" w:themeColor="accent5" w:themeTint="9A" w:sz="4" w:space="0"/>
        </w:tcBorders>
      </w:tcPr>
    </w:tblStylePr>
    <w:tblStylePr w:type="firstCol">
      <w:rPr>
        <w:b/>
        <w:color w:val="9DC3E6" w:themeColor="accent5" w:themeTint="99"/>
        <w14:textFill>
          <w14:solidFill>
            <w14:schemeClr w14:val="accent5">
              <w14:lumMod w14:val="60000"/>
              <w14:lumOff w14:val="40000"/>
            </w14:schemeClr>
          </w14:solidFill>
        </w14:textFill>
      </w:rPr>
      <w:tblPr/>
    </w:tblStylePr>
    <w:tblStylePr w:type="lastCol">
      <w:rPr>
        <w:b/>
        <w:color w:val="9DC3E6" w:themeColor="accent5" w:themeTint="99"/>
        <w14:textFill>
          <w14:solidFill>
            <w14:schemeClr w14:val="accent5">
              <w14:lumMod w14:val="60000"/>
              <w14:lumOff w14:val="40000"/>
            </w14:schemeClr>
          </w14:solidFill>
        </w14:textFill>
      </w:rPr>
      <w:tbl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2">
    <w:name w:val="List Table 6 Colorful - Accent 6"/>
    <w:basedOn w:val="32"/>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bl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bl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Pr/>
    </w:tblStylePr>
    <w:tblStylePr w:type="lastCol">
      <w:rPr>
        <w:b/>
        <w:color w:val="A9D18E" w:themeColor="accent6" w:themeTint="99"/>
        <w14:textFill>
          <w14:solidFill>
            <w14:schemeClr w14:val="accent6">
              <w14:lumMod w14:val="60000"/>
              <w14:lumOff w14:val="40000"/>
            </w14:schemeClr>
          </w14:solidFill>
        </w14:textFill>
      </w:rPr>
      <w:tbl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3">
    <w:name w:val="List Table 7 Colorful"/>
    <w:basedOn w:val="32"/>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bl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blPr/>
      <w:tcPr>
        <w:tcBorders>
          <w:top w:val="nil"/>
          <w:left w:val="single" w:color="7E7E7E" w:themeColor="text1" w:themeTint="80" w:sz="4" w:space="0"/>
          <w:bottom w:val="nil"/>
          <w:right w:val="nil"/>
        </w:tcBorders>
        <w:shd w:val="clear" w:color="FFFFFF" w:fill="auto"/>
      </w:tcPr>
    </w:tblStylePr>
    <w:tblStylePr w:type="band1Vert">
      <w:tblPr/>
      <w:tcPr>
        <w:shd w:val="clear" w:color="BEBEBE" w:themeColor="text1" w:themeTint="40" w:fill="BEBEBE" w:themeFill="text1" w:themeFillTint="40"/>
      </w:tcPr>
    </w:tblStylePr>
    <w:tblStylePr w:type="band2Vert">
      <w:tblPr/>
    </w:tblStylePr>
    <w:tblStylePr w:type="band1Horz">
      <w:rPr>
        <w:rFonts w:ascii="Arial" w:hAnsi="Arial"/>
        <w:color w:val="808080" w:themeColor="text1" w:themeTint="80"/>
        <w:sz w:val="22"/>
        <w14:textFill>
          <w14:solidFill>
            <w14:schemeClr w14:val="tx1">
              <w14:lumMod w14:val="50000"/>
              <w14:lumOff w14:val="50000"/>
            </w14:schemeClr>
          </w14:solidFill>
        </w14:textFill>
      </w:rPr>
      <w:tbl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4">
    <w:name w:val="List Table 7 Colorful - Accent 1"/>
    <w:basedOn w:val="32"/>
    <w:uiPriority w:val="99"/>
    <w:pPr>
      <w:spacing w:after="0" w:line="240" w:lineRule="auto"/>
    </w:pPr>
    <w:tblPr>
      <w:tblBorders>
        <w:right w:val="single" w:color="4472C4" w:themeColor="accent1" w:sz="4" w:space="0"/>
      </w:tblBorders>
    </w:tblPr>
    <w:tblStylePr w:type="firstRow">
      <w:rPr>
        <w:rFonts w:ascii="Arial" w:hAnsi="Arial"/>
        <w:i/>
        <w:color w:val="254174" w:themeColor="accent1" w:themeShade="94"/>
        <w:sz w:val="22"/>
      </w:rPr>
      <w:tblPr/>
      <w:tcPr>
        <w:tcBorders>
          <w:top w:val="nil"/>
          <w:left w:val="nil"/>
          <w:bottom w:val="single" w:color="4472C4" w:themeColor="accent1" w:sz="4" w:space="0"/>
          <w:right w:val="nil"/>
        </w:tcBorders>
        <w:shd w:val="clear" w:color="FFFFFF" w:themeColor="light1" w:fill="FFFFFF" w:themeFill="light1"/>
      </w:tcPr>
    </w:tblStylePr>
    <w:tblStylePr w:type="lastRow">
      <w:rPr>
        <w:rFonts w:ascii="Arial" w:hAnsi="Arial"/>
        <w:i/>
        <w:color w:val="254174" w:themeColor="accent1" w:themeShade="94"/>
        <w:sz w:val="22"/>
      </w:rPr>
      <w:tblPr/>
      <w:tcPr>
        <w:tcBorders>
          <w:top w:val="single" w:color="4472C4"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1" w:themeShade="94"/>
        <w:sz w:val="22"/>
      </w:rPr>
      <w:tblPr/>
      <w:tcPr>
        <w:tcBorders>
          <w:top w:val="nil"/>
          <w:left w:val="nil"/>
          <w:bottom w:val="nil"/>
          <w:right w:val="single" w:color="4472C4" w:themeColor="accent1" w:sz="4" w:space="0"/>
        </w:tcBorders>
        <w:shd w:val="clear" w:color="FFFFFF" w:fill="auto"/>
      </w:tcPr>
    </w:tblStylePr>
    <w:tblStylePr w:type="lastCol">
      <w:rPr>
        <w:rFonts w:ascii="Arial" w:hAnsi="Arial"/>
        <w:i/>
        <w:color w:val="254174" w:themeColor="accent1" w:themeShade="94"/>
        <w:sz w:val="22"/>
      </w:rPr>
      <w:tblPr/>
      <w:tcPr>
        <w:tcBorders>
          <w:top w:val="nil"/>
          <w:left w:val="single" w:color="4472C4" w:themeColor="accent1" w:sz="4" w:space="0"/>
          <w:bottom w:val="nil"/>
          <w:right w:val="nil"/>
        </w:tcBorders>
        <w:shd w:val="clear" w:color="FFFFFF" w:fill="auto"/>
      </w:tcPr>
    </w:tblStylePr>
    <w:tblStylePr w:type="band1Vert">
      <w:tblPr/>
      <w:tcPr>
        <w:shd w:val="clear" w:color="D0DBF0" w:themeColor="accent1" w:themeTint="40" w:fill="D0DBF0" w:themeFill="accent1" w:themeFillTint="40"/>
      </w:tcPr>
    </w:tblStylePr>
    <w:tblStylePr w:type="band2Vert">
      <w:tblPr/>
    </w:tblStylePr>
    <w:tblStylePr w:type="band1Horz">
      <w:rPr>
        <w:rFonts w:ascii="Arial" w:hAnsi="Arial"/>
        <w:color w:val="254174" w:themeColor="accent1" w:themeShade="94"/>
        <w:sz w:val="22"/>
      </w:rPr>
      <w:tblPr/>
      <w:tcPr>
        <w:shd w:val="clear" w:color="D0DBF0" w:themeColor="accent1" w:themeTint="40" w:fill="D0DBF0" w:themeFill="accent1" w:themeFillTint="40"/>
      </w:tcPr>
    </w:tblStylePr>
    <w:tblStylePr w:type="band2Horz">
      <w:rPr>
        <w:rFonts w:ascii="Arial" w:hAnsi="Arial"/>
        <w:color w:val="254174" w:themeColor="accent1" w:themeShade="94"/>
        <w:sz w:val="22"/>
      </w:rPr>
      <w:tblPr/>
    </w:tblStylePr>
    <w:tblStylePr w:type="neCell">
      <w:tblPr/>
    </w:tblStylePr>
    <w:tblStylePr w:type="nwCell">
      <w:tblPr/>
    </w:tblStylePr>
    <w:tblStylePr w:type="seCell">
      <w:tblPr/>
    </w:tblStylePr>
    <w:tblStylePr w:type="swCell">
      <w:tblPr/>
    </w:tblStylePr>
  </w:style>
  <w:style w:type="table" w:customStyle="1" w:styleId="155">
    <w:name w:val="List Table 7 Colorful - Accent 2"/>
    <w:basedOn w:val="32"/>
    <w:uiPriority w:val="99"/>
    <w:pPr>
      <w:spacing w:after="0" w:line="240" w:lineRule="auto"/>
    </w:pPr>
    <w:tblPr>
      <w:tblBorders>
        <w:right w:val="single" w:color="F4B285" w:themeColor="accent2" w:themeTint="97" w:sz="4" w:space="0"/>
      </w:tblBorders>
    </w:tblPr>
    <w:tblStylePr w:type="firstRow">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bl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blPr/>
      <w:tcPr>
        <w:tcBorders>
          <w:top w:val="nil"/>
          <w:left w:val="single" w:color="F4B285" w:themeColor="accent2" w:themeTint="97" w:sz="4" w:space="0"/>
          <w:bottom w:val="nil"/>
          <w:right w:val="nil"/>
        </w:tcBorders>
        <w:shd w:val="clear" w:color="FFFFFF" w:fill="auto"/>
      </w:tcPr>
    </w:tblStylePr>
    <w:tblStylePr w:type="band1Vert">
      <w:tblPr/>
      <w:tcPr>
        <w:shd w:val="clear" w:color="FADECB" w:themeColor="accent2" w:themeTint="40" w:fill="FADECB" w:themeFill="accent2" w:themeFillTint="40"/>
      </w:tcPr>
    </w:tblStylePr>
    <w:tblStylePr w:type="band2Vert">
      <w:tbl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bl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6">
    <w:name w:val="List Table 7 Colorful - Accent 3"/>
    <w:basedOn w:val="32"/>
    <w:uiPriority w:val="99"/>
    <w:pPr>
      <w:spacing w:after="0" w:line="240" w:lineRule="auto"/>
    </w:pPr>
    <w:tblPr>
      <w:tblBorders>
        <w:right w:val="single" w:color="C9C9C9" w:themeColor="accent3" w:themeTint="98" w:sz="4" w:space="0"/>
      </w:tblBorders>
    </w:tblPr>
    <w:tblStylePr w:type="firstRow">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bl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blPr/>
      <w:tcPr>
        <w:tcBorders>
          <w:top w:val="nil"/>
          <w:left w:val="single" w:color="C9C9C9" w:themeColor="accent3" w:themeTint="98" w:sz="4" w:space="0"/>
          <w:bottom w:val="nil"/>
          <w:right w:val="nil"/>
        </w:tcBorders>
        <w:shd w:val="clear" w:color="FFFFFF" w:fill="auto"/>
      </w:tcPr>
    </w:tblStylePr>
    <w:tblStylePr w:type="band1Vert">
      <w:tblPr/>
      <w:tcPr>
        <w:shd w:val="clear" w:color="E8E8E8" w:themeColor="accent3" w:themeTint="40" w:fill="E8E8E8" w:themeFill="accent3" w:themeFillTint="40"/>
      </w:tcPr>
    </w:tblStylePr>
    <w:tblStylePr w:type="band2Vert">
      <w:tbl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bl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7">
    <w:name w:val="List Table 7 Colorful - Accent 4"/>
    <w:basedOn w:val="32"/>
    <w:uiPriority w:val="99"/>
    <w:pPr>
      <w:spacing w:after="0" w:line="240" w:lineRule="auto"/>
    </w:pPr>
    <w:tblPr>
      <w:tblBorders>
        <w:right w:val="single" w:color="FFD864" w:themeColor="accent4" w:themeTint="9A" w:sz="4" w:space="0"/>
      </w:tblBorders>
    </w:tblPr>
    <w:tblStylePr w:type="firstRow">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bl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blPr/>
      <w:tcPr>
        <w:tcBorders>
          <w:top w:val="nil"/>
          <w:left w:val="single" w:color="FFD864" w:themeColor="accent4" w:themeTint="9A" w:sz="4" w:space="0"/>
          <w:bottom w:val="nil"/>
          <w:right w:val="nil"/>
        </w:tcBorders>
        <w:shd w:val="clear" w:color="FFFFFF" w:fill="auto"/>
      </w:tcPr>
    </w:tblStylePr>
    <w:tblStylePr w:type="band1Vert">
      <w:tblPr/>
      <w:tcPr>
        <w:shd w:val="clear" w:color="FFEFBE" w:themeColor="accent4" w:themeTint="40" w:fill="FFEFBE" w:themeFill="accent4" w:themeFillTint="40"/>
      </w:tcPr>
    </w:tblStylePr>
    <w:tblStylePr w:type="band2Vert">
      <w:tbl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bl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8">
    <w:name w:val="List Table 7 Colorful - Accent 5"/>
    <w:basedOn w:val="32"/>
    <w:uiPriority w:val="99"/>
    <w:pPr>
      <w:spacing w:after="0" w:line="240" w:lineRule="auto"/>
    </w:pPr>
    <w:tblPr>
      <w:tblBorders>
        <w:right w:val="single" w:color="9BC2E5" w:themeColor="accent5" w:themeTint="9A" w:sz="4" w:space="0"/>
      </w:tblBorders>
    </w:tblPr>
    <w:tblStylePr w:type="firstRow">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single" w:color="9BC2E5" w:themeColor="accent5" w:themeTint="9A" w:sz="4" w:space="0"/>
          <w:right w:val="nil"/>
        </w:tcBorders>
        <w:shd w:val="clear" w:color="FFFFFF" w:themeColor="light1" w:fill="FFFFFF" w:themeFill="light1"/>
      </w:tcPr>
    </w:tblStylePr>
    <w:tblStylePr w:type="lastRow">
      <w:rPr>
        <w:rFonts w:ascii="Arial" w:hAnsi="Arial"/>
        <w:i/>
        <w:color w:val="9DC3E6" w:themeColor="accent5" w:themeTint="99"/>
        <w:sz w:val="22"/>
        <w14:textFill>
          <w14:solidFill>
            <w14:schemeClr w14:val="accent5">
              <w14:lumMod w14:val="60000"/>
              <w14:lumOff w14:val="40000"/>
            </w14:schemeClr>
          </w14:solidFill>
        </w14:textFill>
      </w:rPr>
      <w:tblPr/>
      <w:tcPr>
        <w:tcBorders>
          <w:top w:val="single" w:color="9BC2E5"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nil"/>
          <w:bottom w:val="nil"/>
          <w:right w:val="single" w:color="9BC2E5" w:themeColor="accent5" w:themeTint="9A" w:sz="4" w:space="0"/>
        </w:tcBorders>
        <w:shd w:val="clear" w:color="FFFFFF" w:fill="auto"/>
      </w:tcPr>
    </w:tblStylePr>
    <w:tblStylePr w:type="lastCol">
      <w:rPr>
        <w:rFonts w:ascii="Arial" w:hAnsi="Arial"/>
        <w:i/>
        <w:color w:val="9DC3E6" w:themeColor="accent5" w:themeTint="99"/>
        <w:sz w:val="22"/>
        <w14:textFill>
          <w14:solidFill>
            <w14:schemeClr w14:val="accent5">
              <w14:lumMod w14:val="60000"/>
              <w14:lumOff w14:val="40000"/>
            </w14:schemeClr>
          </w14:solidFill>
        </w14:textFill>
      </w:rPr>
      <w:tblPr/>
      <w:tcPr>
        <w:tcBorders>
          <w:top w:val="nil"/>
          <w:left w:val="single" w:color="9BC2E5" w:themeColor="accent5" w:themeTint="9A" w:sz="4" w:space="0"/>
          <w:bottom w:val="nil"/>
          <w:right w:val="nil"/>
        </w:tcBorders>
        <w:shd w:val="clear" w:color="FFFFFF" w:fill="auto"/>
      </w:tcPr>
    </w:tblStylePr>
    <w:tblStylePr w:type="band1Vert">
      <w:tblPr/>
      <w:tcPr>
        <w:shd w:val="clear" w:color="D5E5F4" w:themeColor="accent5" w:themeTint="40" w:fill="D5E5F4" w:themeFill="accent5" w:themeFillTint="40"/>
      </w:tcPr>
    </w:tblStylePr>
    <w:tblStylePr w:type="band2Vert">
      <w:tblPr/>
    </w:tblStylePr>
    <w:tblStylePr w:type="band1Horz">
      <w:rPr>
        <w:rFonts w:ascii="Arial" w:hAnsi="Arial"/>
        <w:color w:val="9DC3E6" w:themeColor="accent5" w:themeTint="99"/>
        <w:sz w:val="22"/>
        <w14:textFill>
          <w14:solidFill>
            <w14:schemeClr w14:val="accent5">
              <w14:lumMod w14:val="60000"/>
              <w14:lumOff w14:val="40000"/>
            </w14:schemeClr>
          </w14:solidFill>
        </w14:textFill>
      </w:rPr>
      <w:tblPr/>
      <w:tcPr>
        <w:shd w:val="clear" w:color="D5E5F4" w:themeColor="accent5" w:themeTint="40" w:fill="D5E5F4" w:themeFill="accent5" w:themeFillTint="40"/>
      </w:tcPr>
    </w:tblStylePr>
    <w:tblStylePr w:type="band2Horz">
      <w:rPr>
        <w:rFonts w:ascii="Arial" w:hAnsi="Arial"/>
        <w:color w:val="9DC3E6" w:themeColor="accent5" w:themeTint="99"/>
        <w:sz w:val="22"/>
        <w14:textFill>
          <w14:solidFill>
            <w14:schemeClr w14:val="accent5">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59">
    <w:name w:val="List Table 7 Colorful - Accent 6"/>
    <w:basedOn w:val="32"/>
    <w:uiPriority w:val="99"/>
    <w:pPr>
      <w:spacing w:after="0" w:line="240" w:lineRule="auto"/>
    </w:pPr>
    <w:tblPr>
      <w:tblBorders>
        <w:right w:val="single" w:color="A9D08E" w:themeColor="accent6" w:themeTint="98" w:sz="4" w:space="0"/>
      </w:tblBorders>
    </w:tblPr>
    <w:tblStylePr w:type="firstRow">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bl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blPr/>
      <w:tcPr>
        <w:tcBorders>
          <w:top w:val="nil"/>
          <w:left w:val="single" w:color="A9D08E" w:themeColor="accent6" w:themeTint="98" w:sz="4" w:space="0"/>
          <w:bottom w:val="nil"/>
          <w:right w:val="nil"/>
        </w:tcBorders>
        <w:shd w:val="clear" w:color="FFFFFF" w:fill="auto"/>
      </w:tcPr>
    </w:tblStylePr>
    <w:tblStylePr w:type="band1Vert">
      <w:tblPr/>
      <w:tcPr>
        <w:shd w:val="clear" w:color="DAEBCF" w:themeColor="accent6" w:themeTint="40" w:fill="DAEBCF" w:themeFill="accent6" w:themeFillTint="40"/>
      </w:tcPr>
    </w:tblStylePr>
    <w:tblStylePr w:type="band2Vert">
      <w:tbl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bl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Pr/>
    </w:tblStylePr>
    <w:tblStylePr w:type="neCell">
      <w:tblPr/>
    </w:tblStylePr>
    <w:tblStylePr w:type="nwCell">
      <w:tblPr/>
    </w:tblStylePr>
    <w:tblStylePr w:type="seCell">
      <w:tblPr/>
    </w:tblStylePr>
    <w:tblStylePr w:type="swCell">
      <w:tblPr/>
    </w:tblStylePr>
  </w:style>
  <w:style w:type="table" w:customStyle="1" w:styleId="160">
    <w:name w:val="Lined - Accent"/>
    <w:basedOn w:val="32"/>
    <w:uiPriority w:val="99"/>
    <w:pPr>
      <w:spacing w:after="0" w:line="240" w:lineRule="auto"/>
    </w:pPr>
    <w:rPr>
      <w:color w:val="404040"/>
    </w:rPr>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1">
    <w:name w:val="Lined - Accent 1"/>
    <w:basedOn w:val="32"/>
    <w:uiPriority w:val="99"/>
    <w:pPr>
      <w:spacing w:after="0" w:line="240" w:lineRule="auto"/>
    </w:pPr>
    <w:rPr>
      <w:color w:val="404040"/>
    </w:rP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62">
    <w:name w:val="Lined - Accent 2"/>
    <w:basedOn w:val="32"/>
    <w:uiPriority w:val="99"/>
    <w:pPr>
      <w:spacing w:after="0" w:line="240" w:lineRule="auto"/>
    </w:pPr>
    <w:rPr>
      <w:color w:val="404040"/>
    </w:rPr>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63">
    <w:name w:val="Lined - Accent 3"/>
    <w:basedOn w:val="32"/>
    <w:uiPriority w:val="99"/>
    <w:pPr>
      <w:spacing w:after="0" w:line="240" w:lineRule="auto"/>
    </w:pPr>
    <w:rPr>
      <w:color w:val="404040"/>
    </w:rP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64">
    <w:name w:val="Lined - Accent 4"/>
    <w:basedOn w:val="32"/>
    <w:uiPriority w:val="99"/>
    <w:pPr>
      <w:spacing w:after="0" w:line="240" w:lineRule="auto"/>
    </w:pPr>
    <w:rPr>
      <w:color w:val="404040"/>
    </w:rPr>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65">
    <w:name w:val="Lined - Accent 5"/>
    <w:basedOn w:val="32"/>
    <w:uiPriority w:val="99"/>
    <w:pPr>
      <w:spacing w:after="0" w:line="240" w:lineRule="auto"/>
    </w:pPr>
    <w:rPr>
      <w:color w:val="404040"/>
    </w:rP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66">
    <w:name w:val="Lined - Accent 6"/>
    <w:basedOn w:val="32"/>
    <w:uiPriority w:val="99"/>
    <w:pPr>
      <w:spacing w:after="0" w:line="240" w:lineRule="auto"/>
    </w:pPr>
    <w:rPr>
      <w:color w:val="404040"/>
    </w:rP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67">
    <w:name w:val="Bordered &amp; Lined - Accent"/>
    <w:basedOn w:val="32"/>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blPr/>
      <w:tcPr>
        <w:shd w:val="clear" w:color="7E7E7E" w:themeColor="text1" w:themeTint="80" w:fill="7E7E7E" w:themeFill="text1" w:themeFillTint="80"/>
      </w:tcPr>
    </w:tblStylePr>
    <w:tblStylePr w:type="lastRow">
      <w:rPr>
        <w:rFonts w:ascii="Arial" w:hAnsi="Arial"/>
        <w:color w:val="F2F2F2"/>
        <w:sz w:val="22"/>
      </w:rPr>
      <w:tblPr/>
      <w:tcPr>
        <w:shd w:val="clear" w:color="7E7E7E" w:themeColor="text1" w:themeTint="80" w:fill="7E7E7E" w:themeFill="text1" w:themeFillTint="80"/>
      </w:tcPr>
    </w:tblStylePr>
    <w:tblStylePr w:type="firstCol">
      <w:rPr>
        <w:rFonts w:ascii="Arial" w:hAnsi="Arial"/>
        <w:color w:val="F2F2F2"/>
        <w:sz w:val="22"/>
      </w:rPr>
      <w:tblPr/>
      <w:tcPr>
        <w:shd w:val="clear" w:color="7E7E7E" w:themeColor="text1" w:themeTint="80" w:fill="7E7E7E" w:themeFill="text1" w:themeFillTint="80"/>
      </w:tcPr>
    </w:tblStylePr>
    <w:tblStylePr w:type="lastCol">
      <w:rPr>
        <w:rFonts w:ascii="Arial" w:hAnsi="Arial"/>
        <w:color w:val="F2F2F2"/>
        <w:sz w:val="22"/>
      </w:rPr>
      <w:tblPr/>
      <w:tcPr>
        <w:shd w:val="clear" w:color="7E7E7E" w:themeColor="text1" w:themeTint="80" w:fill="7E7E7E" w:themeFill="text1" w:themeFillTint="80"/>
      </w:tcPr>
    </w:tblStylePr>
    <w:tblStylePr w:type="band1Vert">
      <w:rPr>
        <w:rFonts w:ascii="Arial" w:hAnsi="Arial"/>
        <w:color w:val="404040"/>
        <w:sz w:val="22"/>
      </w:rPr>
      <w:tblPr/>
    </w:tblStylePr>
    <w:tblStylePr w:type="band2Vert">
      <w:rPr>
        <w:rFonts w:ascii="Arial" w:hAnsi="Arial"/>
        <w:color w:val="404040"/>
        <w:sz w:val="22"/>
      </w:rPr>
      <w:tblPr/>
      <w:tcPr>
        <w:shd w:val="clear" w:color="F1F1F1" w:themeColor="text1" w:themeTint="0D" w:fill="F1F1F1" w:themeFill="text1" w:themeFillTint="0D"/>
      </w:tcPr>
    </w:tblStylePr>
    <w:tblStylePr w:type="band1Horz">
      <w:rPr>
        <w:rFonts w:ascii="Arial" w:hAnsi="Arial"/>
        <w:color w:val="404040"/>
        <w:sz w:val="22"/>
      </w:rPr>
      <w:tblPr/>
    </w:tblStylePr>
    <w:tblStylePr w:type="band2Horz">
      <w:rPr>
        <w:rFonts w:ascii="Arial" w:hAnsi="Arial"/>
        <w:color w:val="404040"/>
        <w:sz w:val="22"/>
      </w:rPr>
      <w:tblPr/>
      <w:tcPr>
        <w:shd w:val="clear" w:color="F1F1F1" w:themeColor="text1" w:themeTint="0D" w:fill="F1F1F1" w:themeFill="text1" w:themeFillTint="0D"/>
      </w:tcPr>
    </w:tblStylePr>
    <w:tblStylePr w:type="neCell">
      <w:tblPr/>
    </w:tblStylePr>
    <w:tblStylePr w:type="nwCell">
      <w:tblPr/>
    </w:tblStylePr>
    <w:tblStylePr w:type="seCell">
      <w:tblPr/>
    </w:tblStylePr>
    <w:tblStylePr w:type="swCell">
      <w:tblPr/>
    </w:tblStylePr>
  </w:style>
  <w:style w:type="table" w:customStyle="1" w:styleId="168">
    <w:name w:val="Bordered &amp; Lined - Accent 1"/>
    <w:basedOn w:val="32"/>
    <w:uiPriority w:val="99"/>
    <w:pPr>
      <w:spacing w:after="0" w:line="240" w:lineRule="auto"/>
    </w:pPr>
    <w:rPr>
      <w:color w:val="404040"/>
    </w:rPr>
    <w:tblPr>
      <w:tblBorders>
        <w:top w:val="single" w:color="244175" w:themeColor="accent1" w:themeShade="95" w:sz="4" w:space="0"/>
        <w:left w:val="single" w:color="244175" w:themeColor="accent1" w:themeShade="95" w:sz="4" w:space="0"/>
        <w:bottom w:val="single" w:color="244175" w:themeColor="accent1" w:themeShade="95" w:sz="4" w:space="0"/>
        <w:right w:val="single" w:color="244175" w:themeColor="accent1" w:themeShade="95" w:sz="4" w:space="0"/>
        <w:insideH w:val="single" w:color="244175" w:themeColor="accent1" w:themeShade="95" w:sz="4" w:space="0"/>
        <w:insideV w:val="single" w:color="244175" w:themeColor="accent1" w:themeShade="95" w:sz="4" w:space="0"/>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Pr/>
    </w:tblStylePr>
    <w:tblStylePr w:type="band2Horz">
      <w:rPr>
        <w:rFonts w:ascii="Arial" w:hAnsi="Arial"/>
        <w:color w:val="404040"/>
        <w:sz w:val="22"/>
      </w:rPr>
      <w:tblPr/>
      <w:tcPr>
        <w:shd w:val="clear" w:color="C4D2EC" w:themeColor="accent1" w:themeTint="50" w:fill="C4D2EC" w:themeFill="accent1" w:themeFillTint="50"/>
      </w:tcPr>
    </w:tblStylePr>
    <w:tblStylePr w:type="neCell">
      <w:tblPr/>
    </w:tblStylePr>
    <w:tblStylePr w:type="nwCell">
      <w:tblPr/>
    </w:tblStylePr>
    <w:tblStylePr w:type="seCell">
      <w:tblPr/>
    </w:tblStylePr>
    <w:tblStylePr w:type="swCell">
      <w:tblPr/>
    </w:tblStylePr>
  </w:style>
  <w:style w:type="table" w:customStyle="1" w:styleId="169">
    <w:name w:val="Bordered &amp; Lined - Accent 2"/>
    <w:basedOn w:val="32"/>
    <w:uiPriority w:val="99"/>
    <w:pPr>
      <w:spacing w:after="0" w:line="240" w:lineRule="auto"/>
    </w:pPr>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rFonts w:ascii="Arial" w:hAnsi="Arial"/>
        <w:color w:val="F2F2F2"/>
        <w:sz w:val="22"/>
      </w:rPr>
      <w:tblPr/>
      <w:tcPr>
        <w:shd w:val="clear" w:color="F4B285" w:themeColor="accent2" w:themeTint="97" w:fill="F4B285" w:themeFill="accent2" w:themeFillTint="97"/>
      </w:tcPr>
    </w:tblStylePr>
    <w:tblStylePr w:type="lastRow">
      <w:rPr>
        <w:rFonts w:ascii="Arial" w:hAnsi="Arial"/>
        <w:color w:val="F2F2F2"/>
        <w:sz w:val="22"/>
      </w:rPr>
      <w:tblPr/>
      <w:tcPr>
        <w:shd w:val="clear" w:color="F4B285" w:themeColor="accent2" w:themeTint="97" w:fill="F4B285" w:themeFill="accent2" w:themeFillTint="97"/>
      </w:tcPr>
    </w:tblStylePr>
    <w:tblStylePr w:type="firstCol">
      <w:rPr>
        <w:rFonts w:ascii="Arial" w:hAnsi="Arial"/>
        <w:color w:val="F2F2F2"/>
        <w:sz w:val="22"/>
      </w:rPr>
      <w:tblPr/>
      <w:tcPr>
        <w:shd w:val="clear" w:color="F4B285" w:themeColor="accent2" w:themeTint="97" w:fill="F4B285" w:themeFill="accent2" w:themeFillTint="97"/>
      </w:tcPr>
    </w:tblStylePr>
    <w:tblStylePr w:type="lastCol">
      <w:rPr>
        <w:rFonts w:ascii="Arial" w:hAnsi="Arial"/>
        <w:color w:val="F2F2F2"/>
        <w:sz w:val="22"/>
      </w:rPr>
      <w:tblPr/>
      <w:tcPr>
        <w:shd w:val="clear" w:color="F4B285" w:themeColor="accent2" w:themeTint="97" w:fill="F4B285" w:themeFill="accent2" w:themeFillTint="97"/>
      </w:tcPr>
    </w:tblStylePr>
    <w:tblStylePr w:type="band1Vert">
      <w:rPr>
        <w:rFonts w:ascii="Arial" w:hAnsi="Arial"/>
        <w:color w:val="404040"/>
        <w:sz w:val="22"/>
      </w:rPr>
      <w:tbl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blStylePr>
    <w:tblStylePr w:type="band2Horz">
      <w:rPr>
        <w:rFonts w:ascii="Arial" w:hAnsi="Arial"/>
        <w:color w:val="404040"/>
        <w:sz w:val="22"/>
      </w:rPr>
      <w:tblPr/>
      <w:tcPr>
        <w:shd w:val="clear" w:color="FBE5D6" w:themeColor="accent2" w:themeTint="32" w:fill="FBE5D6" w:themeFill="accent2" w:themeFillTint="32"/>
      </w:tcPr>
    </w:tblStylePr>
    <w:tblStylePr w:type="neCell">
      <w:tblPr/>
    </w:tblStylePr>
    <w:tblStylePr w:type="nwCell">
      <w:tblPr/>
    </w:tblStylePr>
    <w:tblStylePr w:type="seCell">
      <w:tblPr/>
    </w:tblStylePr>
    <w:tblStylePr w:type="swCell">
      <w:tblPr/>
    </w:tblStylePr>
  </w:style>
  <w:style w:type="table" w:customStyle="1" w:styleId="170">
    <w:name w:val="Bordered &amp; Lined - Accent 3"/>
    <w:basedOn w:val="32"/>
    <w:uiPriority w:val="99"/>
    <w:pPr>
      <w:spacing w:after="0" w:line="240" w:lineRule="auto"/>
    </w:pPr>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CECEC" w:themeColor="accent3" w:themeTint="34" w:fill="ECECEC" w:themeFill="accent3" w:themeFillTint="34"/>
      </w:tcPr>
    </w:tblStylePr>
    <w:tblStylePr w:type="neCell">
      <w:tblPr/>
    </w:tblStylePr>
    <w:tblStylePr w:type="nwCell">
      <w:tblPr/>
    </w:tblStylePr>
    <w:tblStylePr w:type="seCell">
      <w:tblPr/>
    </w:tblStylePr>
    <w:tblStylePr w:type="swCell">
      <w:tblPr/>
    </w:tblStylePr>
  </w:style>
  <w:style w:type="table" w:customStyle="1" w:styleId="171">
    <w:name w:val="Bordered &amp; Lined - Accent 4"/>
    <w:basedOn w:val="32"/>
    <w:uiPriority w:val="99"/>
    <w:pPr>
      <w:spacing w:after="0" w:line="240" w:lineRule="auto"/>
    </w:pPr>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rFonts w:ascii="Arial" w:hAnsi="Arial"/>
        <w:color w:val="F2F2F2"/>
        <w:sz w:val="22"/>
      </w:rPr>
      <w:tblPr/>
      <w:tcPr>
        <w:shd w:val="clear" w:color="FFD864" w:themeColor="accent4" w:themeTint="9A" w:fill="FFD864" w:themeFill="accent4" w:themeFillTint="9A"/>
      </w:tcPr>
    </w:tblStylePr>
    <w:tblStylePr w:type="lastRow">
      <w:rPr>
        <w:rFonts w:ascii="Arial" w:hAnsi="Arial"/>
        <w:color w:val="F2F2F2"/>
        <w:sz w:val="22"/>
      </w:rPr>
      <w:tblPr/>
      <w:tcPr>
        <w:shd w:val="clear" w:color="FFD864" w:themeColor="accent4" w:themeTint="9A" w:fill="FFD864" w:themeFill="accent4" w:themeFillTint="9A"/>
      </w:tcPr>
    </w:tblStylePr>
    <w:tblStylePr w:type="firstCol">
      <w:rPr>
        <w:rFonts w:ascii="Arial" w:hAnsi="Arial"/>
        <w:color w:val="F2F2F2"/>
        <w:sz w:val="22"/>
      </w:rPr>
      <w:tblPr/>
      <w:tcPr>
        <w:shd w:val="clear" w:color="FFD864" w:themeColor="accent4" w:themeTint="9A" w:fill="FFD864" w:themeFill="accent4" w:themeFillTint="9A"/>
      </w:tcPr>
    </w:tblStylePr>
    <w:tblStylePr w:type="lastCol">
      <w:rPr>
        <w:rFonts w:ascii="Arial" w:hAnsi="Arial"/>
        <w:color w:val="F2F2F2"/>
        <w:sz w:val="22"/>
      </w:rPr>
      <w:tblPr/>
      <w:tcPr>
        <w:shd w:val="clear" w:color="FFD864" w:themeColor="accent4" w:themeTint="9A" w:fill="FFD864" w:themeFill="accent4" w:themeFillTint="9A"/>
      </w:tcPr>
    </w:tblStylePr>
    <w:tblStylePr w:type="band1Vert">
      <w:rPr>
        <w:rFonts w:ascii="Arial" w:hAnsi="Arial"/>
        <w:color w:val="404040"/>
        <w:sz w:val="22"/>
      </w:rPr>
      <w:tblPr/>
    </w:tblStylePr>
    <w:tblStylePr w:type="band2Vert">
      <w:rPr>
        <w:rFonts w:ascii="Arial" w:hAnsi="Arial"/>
        <w:color w:val="404040"/>
        <w:sz w:val="22"/>
      </w:rPr>
      <w:tblPr/>
      <w:tcPr>
        <w:shd w:val="clear" w:color="FEF2CA" w:themeColor="accent4" w:themeTint="34" w:fill="FEF2CA" w:themeFill="accent4"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FEF2CA" w:themeColor="accent4" w:themeTint="34" w:fill="FEF2CA" w:themeFill="accent4" w:themeFillTint="34"/>
      </w:tcPr>
    </w:tblStylePr>
    <w:tblStylePr w:type="neCell">
      <w:tblPr/>
    </w:tblStylePr>
    <w:tblStylePr w:type="nwCell">
      <w:tblPr/>
    </w:tblStylePr>
    <w:tblStylePr w:type="seCell">
      <w:tblPr/>
    </w:tblStylePr>
    <w:tblStylePr w:type="swCell">
      <w:tblPr/>
    </w:tblStylePr>
  </w:style>
  <w:style w:type="table" w:customStyle="1" w:styleId="172">
    <w:name w:val="Bordered &amp; Lined - Accent 5"/>
    <w:basedOn w:val="32"/>
    <w:uiPriority w:val="99"/>
    <w:pPr>
      <w:spacing w:after="0" w:line="240" w:lineRule="auto"/>
    </w:pPr>
    <w:rPr>
      <w:color w:val="404040"/>
    </w:rPr>
    <w:tblPr>
      <w:tblBorders>
        <w:top w:val="single" w:color="245B8D" w:themeColor="accent5" w:themeShade="95" w:sz="4" w:space="0"/>
        <w:left w:val="single" w:color="245B8D" w:themeColor="accent5" w:themeShade="95" w:sz="4" w:space="0"/>
        <w:bottom w:val="single" w:color="245B8D" w:themeColor="accent5" w:themeShade="95" w:sz="4" w:space="0"/>
        <w:right w:val="single" w:color="245B8D" w:themeColor="accent5" w:themeShade="95" w:sz="4" w:space="0"/>
        <w:insideH w:val="single" w:color="245B8D" w:themeColor="accent5" w:themeShade="95" w:sz="4" w:space="0"/>
        <w:insideV w:val="single" w:color="245B8D" w:themeColor="accent5" w:themeShade="95" w:sz="4" w:space="0"/>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DDEAF6" w:themeColor="accent5" w:themeTint="34" w:fill="DDEAF6" w:themeFill="accent5" w:themeFillTint="34"/>
      </w:tcPr>
    </w:tblStylePr>
    <w:tblStylePr w:type="neCell">
      <w:tblPr/>
    </w:tblStylePr>
    <w:tblStylePr w:type="nwCell">
      <w:tblPr/>
    </w:tblStylePr>
    <w:tblStylePr w:type="seCell">
      <w:tblPr/>
    </w:tblStylePr>
    <w:tblStylePr w:type="swCell">
      <w:tblPr/>
    </w:tblStylePr>
  </w:style>
  <w:style w:type="table" w:customStyle="1" w:styleId="173">
    <w:name w:val="Bordered &amp; Lined - Accent 6"/>
    <w:basedOn w:val="32"/>
    <w:uiPriority w:val="99"/>
    <w:pPr>
      <w:spacing w:after="0" w:line="240" w:lineRule="auto"/>
    </w:pPr>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blStylePr>
    <w:tblStylePr w:type="band2Horz">
      <w:rPr>
        <w:rFonts w:ascii="Arial" w:hAnsi="Arial"/>
        <w:color w:val="404040"/>
        <w:sz w:val="22"/>
      </w:rPr>
      <w:tblPr/>
      <w:tcPr>
        <w:shd w:val="clear" w:color="E1EFD8" w:themeColor="accent6" w:themeTint="34" w:fill="E1EFD8" w:themeFill="accent6" w:themeFillTint="34"/>
      </w:tcPr>
    </w:tblStylePr>
    <w:tblStylePr w:type="neCell">
      <w:tblPr/>
    </w:tblStylePr>
    <w:tblStylePr w:type="nwCell">
      <w:tblPr/>
    </w:tblStylePr>
    <w:tblStylePr w:type="seCell">
      <w:tblPr/>
    </w:tblStylePr>
    <w:tblStylePr w:type="swCell">
      <w:tblPr/>
    </w:tblStylePr>
  </w:style>
  <w:style w:type="table" w:customStyle="1" w:styleId="174">
    <w:name w:val="Bordered"/>
    <w:basedOn w:val="32"/>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blPr/>
      <w:tcPr>
        <w:tcBorders>
          <w:bottom w:val="single" w:color="7E7E7E" w:themeColor="text1" w:themeTint="80" w:sz="12" w:space="0"/>
        </w:tcBorders>
      </w:tcPr>
    </w:tblStylePr>
    <w:tblStylePr w:type="lastRow">
      <w:rPr>
        <w:rFonts w:ascii="Arial" w:hAnsi="Arial"/>
        <w:color w:val="404040"/>
        <w:sz w:val="22"/>
      </w:rPr>
      <w:tblPr/>
      <w:tcPr>
        <w:tcBorders>
          <w:top w:val="single" w:color="7E7E7E" w:themeColor="text1" w:themeTint="80"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7E7E7E" w:themeColor="text1" w:themeTint="80"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5">
    <w:name w:val="Bordered - Accent 1"/>
    <w:basedOn w:val="32"/>
    <w:uiPriority w:val="99"/>
    <w:pPr>
      <w:spacing w:after="0" w:line="240" w:lineRule="auto"/>
    </w:pPr>
    <w:tblPr>
      <w:tbl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insideH w:val="single" w:color="B3C6E7" w:themeColor="accent1" w:themeTint="67" w:sz="4" w:space="0"/>
        <w:insideV w:val="single" w:color="B3C6E7" w:themeColor="accent1" w:themeTint="67" w:sz="4" w:space="0"/>
      </w:tblBorders>
    </w:tblPr>
    <w:tblStylePr w:type="firstRow">
      <w:rPr>
        <w:rFonts w:ascii="Arial" w:hAnsi="Arial"/>
        <w:color w:val="404040"/>
        <w:sz w:val="22"/>
      </w:rPr>
      <w:tblPr/>
      <w:tcPr>
        <w:tcBorders>
          <w:bottom w:val="single" w:color="4472C4" w:themeColor="accent1" w:sz="12" w:space="0"/>
        </w:tcBorders>
      </w:tcPr>
    </w:tblStylePr>
    <w:tblStylePr w:type="lastRow">
      <w:rPr>
        <w:rFonts w:ascii="Arial" w:hAnsi="Arial"/>
        <w:color w:val="404040"/>
        <w:sz w:val="22"/>
      </w:rPr>
      <w:tblPr/>
      <w:tcPr>
        <w:tcBorders>
          <w:top w:val="single" w:color="4472C4" w:themeColor="accent1"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4472C4" w:themeColor="accent1"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3C6E7" w:themeColor="accent1" w:themeTint="67" w:sz="4" w:space="0"/>
          <w:left w:val="single" w:color="B3C6E7" w:themeColor="accent1" w:themeTint="67" w:sz="4" w:space="0"/>
          <w:bottom w:val="single" w:color="B3C6E7" w:themeColor="accent1" w:themeTint="67" w:sz="4" w:space="0"/>
          <w:right w:val="single" w:color="B3C6E7" w:themeColor="accent1"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6">
    <w:name w:val="Bordered - Accent 2"/>
    <w:basedOn w:val="32"/>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rFonts w:ascii="Arial" w:hAnsi="Arial"/>
        <w:color w:val="404040"/>
        <w:sz w:val="22"/>
      </w:rPr>
      <w:tblPr/>
      <w:tcPr>
        <w:tcBorders>
          <w:bottom w:val="single" w:color="F4B285" w:themeColor="accent2" w:themeTint="97" w:sz="12" w:space="0"/>
        </w:tcBorders>
      </w:tcPr>
    </w:tblStylePr>
    <w:tblStylePr w:type="lastRow">
      <w:rPr>
        <w:rFonts w:ascii="Arial" w:hAnsi="Arial"/>
        <w:color w:val="404040"/>
        <w:sz w:val="22"/>
      </w:rPr>
      <w:tblPr/>
      <w:tcPr>
        <w:tcBorders>
          <w:top w:val="single" w:color="F4B285" w:themeColor="accent2" w:themeTint="97"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4B285" w:themeColor="accent2" w:themeTint="97"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7">
    <w:name w:val="Bordered - Accent 3"/>
    <w:basedOn w:val="32"/>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rFonts w:ascii="Arial" w:hAnsi="Arial"/>
        <w:color w:val="404040"/>
        <w:sz w:val="22"/>
      </w:rPr>
      <w:tblPr/>
      <w:tcPr>
        <w:tcBorders>
          <w:bottom w:val="single" w:color="C9C9C9" w:themeColor="accent3" w:themeTint="98" w:sz="12" w:space="0"/>
        </w:tcBorders>
      </w:tcPr>
    </w:tblStylePr>
    <w:tblStylePr w:type="lastRow">
      <w:rPr>
        <w:rFonts w:ascii="Arial" w:hAnsi="Arial"/>
        <w:color w:val="404040"/>
        <w:sz w:val="22"/>
      </w:rPr>
      <w:tblPr/>
      <w:tcPr>
        <w:tcBorders>
          <w:top w:val="single" w:color="C9C9C9" w:themeColor="accent3"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C9C9C9" w:themeColor="accent3"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8">
    <w:name w:val="Bordered - Accent 4"/>
    <w:basedOn w:val="32"/>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rFonts w:ascii="Arial" w:hAnsi="Arial"/>
        <w:color w:val="404040"/>
        <w:sz w:val="22"/>
      </w:rPr>
      <w:tblPr/>
      <w:tcPr>
        <w:tcBorders>
          <w:bottom w:val="single" w:color="FFD864" w:themeColor="accent4" w:themeTint="9A" w:sz="12" w:space="0"/>
        </w:tcBorders>
      </w:tcPr>
    </w:tblStylePr>
    <w:tblStylePr w:type="lastRow">
      <w:rPr>
        <w:rFonts w:ascii="Arial" w:hAnsi="Arial"/>
        <w:color w:val="404040"/>
        <w:sz w:val="22"/>
      </w:rPr>
      <w:tblPr/>
      <w:tcPr>
        <w:tcBorders>
          <w:top w:val="single" w:color="FFD864" w:themeColor="accent4"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FFD864" w:themeColor="accent4"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79">
    <w:name w:val="Bordered - Accent 5"/>
    <w:basedOn w:val="32"/>
    <w:uiPriority w:val="99"/>
    <w:pPr>
      <w:spacing w:after="0" w:line="240" w:lineRule="auto"/>
    </w:pPr>
    <w:tblPr>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firstRow">
      <w:rPr>
        <w:rFonts w:ascii="Arial" w:hAnsi="Arial"/>
        <w:color w:val="404040"/>
        <w:sz w:val="22"/>
      </w:rPr>
      <w:tblPr/>
      <w:tcPr>
        <w:tcBorders>
          <w:bottom w:val="single" w:color="9BC2E5" w:themeColor="accent5" w:themeTint="9A" w:sz="12" w:space="0"/>
        </w:tcBorders>
      </w:tcPr>
    </w:tblStylePr>
    <w:tblStylePr w:type="lastRow">
      <w:rPr>
        <w:rFonts w:ascii="Arial" w:hAnsi="Arial"/>
        <w:color w:val="404040"/>
        <w:sz w:val="22"/>
      </w:rPr>
      <w:tblPr/>
      <w:tcPr>
        <w:tcBorders>
          <w:top w:val="single" w:color="9BC2E5" w:themeColor="accent5" w:themeTint="9A"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9BC2E5" w:themeColor="accent5" w:themeTint="9A"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table" w:customStyle="1" w:styleId="180">
    <w:name w:val="Bordered - Accent 6"/>
    <w:basedOn w:val="32"/>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rFonts w:ascii="Arial" w:hAnsi="Arial"/>
        <w:color w:val="404040"/>
        <w:sz w:val="22"/>
      </w:rPr>
      <w:tblPr/>
      <w:tcPr>
        <w:tcBorders>
          <w:bottom w:val="single" w:color="A9D08E" w:themeColor="accent6" w:themeTint="98" w:sz="12" w:space="0"/>
        </w:tcBorders>
      </w:tcPr>
    </w:tblStylePr>
    <w:tblStylePr w:type="lastRow">
      <w:rPr>
        <w:rFonts w:ascii="Arial" w:hAnsi="Arial"/>
        <w:color w:val="404040"/>
        <w:sz w:val="22"/>
      </w:rPr>
      <w:tblPr/>
      <w:tcPr>
        <w:tcBorders>
          <w:top w:val="single" w:color="A9D08E" w:themeColor="accent6" w:themeTint="98" w:sz="12" w:space="0"/>
        </w:tcBorders>
      </w:tcPr>
    </w:tblStylePr>
    <w:tblStylePr w:type="firstCol">
      <w:rPr>
        <w:rFonts w:ascii="Arial" w:hAnsi="Arial"/>
        <w:color w:val="404040"/>
        <w:sz w:val="22"/>
      </w:rPr>
      <w:tblPr/>
    </w:tblStylePr>
    <w:tblStylePr w:type="lastCol">
      <w:rPr>
        <w:rFonts w:ascii="Arial" w:hAnsi="Arial"/>
        <w:color w:val="404040"/>
        <w:sz w:val="22"/>
      </w:rPr>
      <w:tblPr/>
      <w:tcPr>
        <w:tcBorders>
          <w:left w:val="single" w:color="A9D08E" w:themeColor="accent6" w:themeTint="98" w:sz="12" w:space="0"/>
        </w:tcBorders>
      </w:tcPr>
    </w:tblStylePr>
    <w:tblStylePr w:type="band1Vert">
      <w:tblPr/>
    </w:tblStylePr>
    <w:tblStylePr w:type="band2Vert">
      <w:tblPr/>
    </w:tblStylePr>
    <w:tblStylePr w:type="band1Horz">
      <w:rPr>
        <w:rFonts w:ascii="Arial" w:hAnsi="Arial"/>
        <w:color w:val="404040"/>
        <w:sz w:val="22"/>
      </w:rPr>
      <w:tbl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band2Horz">
      <w:tblPr/>
    </w:tblStylePr>
    <w:tblStylePr w:type="neCell">
      <w:tblPr/>
    </w:tblStylePr>
    <w:tblStylePr w:type="nwCell">
      <w:tblPr/>
    </w:tblStylePr>
    <w:tblStylePr w:type="seCell">
      <w:tblPr/>
    </w:tblStylePr>
    <w:tblStylePr w:type="swCell">
      <w:tblPr/>
    </w:tblStylePr>
  </w:style>
  <w:style w:type="character" w:customStyle="1" w:styleId="181">
    <w:name w:val="Footnote Text Char"/>
    <w:link w:val="26"/>
    <w:uiPriority w:val="99"/>
    <w:rPr>
      <w:sz w:val="18"/>
    </w:rPr>
  </w:style>
  <w:style w:type="character" w:customStyle="1" w:styleId="182">
    <w:name w:val="Endnote Text Char"/>
    <w:link w:val="19"/>
    <w:uiPriority w:val="99"/>
    <w:rPr>
      <w:sz w:val="20"/>
    </w:rPr>
  </w:style>
  <w:style w:type="paragraph" w:customStyle="1" w:styleId="183">
    <w:name w:val="TOC Heading"/>
    <w:unhideWhenUsed/>
    <w:uiPriority w:val="39"/>
    <w:rPr>
      <w:rFonts w:hint="default" w:ascii="Times New Roman" w:hAnsi="Times New Roman" w:eastAsia="宋体" w:cs="Times New Roman"/>
    </w:rPr>
  </w:style>
  <w:style w:type="character" w:customStyle="1" w:styleId="184">
    <w:name w:val="标题 1 字符"/>
    <w:basedOn w:val="34"/>
    <w:link w:val="4"/>
    <w:qFormat/>
    <w:uiPriority w:val="0"/>
    <w:rPr>
      <w:rFonts w:ascii="Times New Roman" w:hAnsi="Times New Roman" w:eastAsia="宋体" w:cs="Times New Roman"/>
      <w:b/>
      <w:bCs/>
      <w:sz w:val="44"/>
      <w:szCs w:val="44"/>
      <w:lang w:val="en-US" w:eastAsia="zh-CN" w:bidi="ar-SA"/>
    </w:rPr>
  </w:style>
  <w:style w:type="character" w:customStyle="1" w:styleId="185">
    <w:name w:val="标题 2 字符"/>
    <w:basedOn w:val="34"/>
    <w:link w:val="5"/>
    <w:qFormat/>
    <w:uiPriority w:val="0"/>
    <w:rPr>
      <w:rFonts w:ascii="Cambria" w:hAnsi="Cambria" w:eastAsia="宋体" w:cs="Times New Roman"/>
      <w:b/>
      <w:bCs/>
      <w:sz w:val="32"/>
      <w:szCs w:val="32"/>
      <w:lang w:val="en-US" w:eastAsia="zh-CN" w:bidi="ar-SA"/>
    </w:rPr>
  </w:style>
  <w:style w:type="character" w:customStyle="1" w:styleId="186">
    <w:name w:val="Header Char"/>
    <w:basedOn w:val="34"/>
    <w:qFormat/>
    <w:uiPriority w:val="0"/>
    <w:rPr>
      <w:rFonts w:ascii="Times New Roman" w:hAnsi="Times New Roman"/>
      <w:sz w:val="18"/>
      <w:szCs w:val="18"/>
    </w:rPr>
  </w:style>
  <w:style w:type="character" w:customStyle="1" w:styleId="187">
    <w:name w:val="Footer Char"/>
    <w:basedOn w:val="34"/>
    <w:qFormat/>
    <w:uiPriority w:val="0"/>
    <w:rPr>
      <w:rFonts w:ascii="Times New Roman" w:hAnsi="Times New Roman"/>
      <w:sz w:val="18"/>
      <w:szCs w:val="18"/>
    </w:rPr>
  </w:style>
  <w:style w:type="character" w:customStyle="1" w:styleId="188">
    <w:name w:val="Body Text Char"/>
    <w:basedOn w:val="34"/>
    <w:qFormat/>
    <w:uiPriority w:val="0"/>
    <w:rPr>
      <w:rFonts w:ascii="Times New Roman" w:hAnsi="Times New Roman"/>
      <w:szCs w:val="24"/>
    </w:rPr>
  </w:style>
  <w:style w:type="paragraph" w:customStyle="1" w:styleId="189">
    <w:name w:val="Default"/>
    <w:qFormat/>
    <w:uiPriority w:val="0"/>
    <w:pPr>
      <w:widowControl w:val="0"/>
    </w:pPr>
    <w:rPr>
      <w:rFonts w:hint="default" w:ascii="仿宋" w:hAnsi="Times New Roman" w:eastAsia="仿宋" w:cs="仿宋"/>
      <w:color w:val="000000"/>
      <w:sz w:val="24"/>
      <w:szCs w:val="24"/>
      <w:lang w:val="en-US" w:eastAsia="zh-CN" w:bidi="ar-SA"/>
    </w:rPr>
  </w:style>
  <w:style w:type="paragraph" w:styleId="190">
    <w:name w:val="List Paragraph"/>
    <w:basedOn w:val="1"/>
    <w:qFormat/>
    <w:uiPriority w:val="0"/>
    <w:pPr>
      <w:ind w:firstLine="200"/>
    </w:pPr>
  </w:style>
  <w:style w:type="paragraph" w:customStyle="1" w:styleId="191">
    <w:name w:val="TOC 标题1"/>
    <w:basedOn w:val="4"/>
    <w:next w:val="1"/>
    <w:qFormat/>
    <w:uiPriority w:val="0"/>
    <w:pPr>
      <w:widowControl/>
      <w:spacing w:before="480" w:after="0" w:line="276" w:lineRule="auto"/>
      <w:jc w:val="left"/>
      <w:outlineLvl w:val="9"/>
    </w:pPr>
    <w:rPr>
      <w:rFonts w:ascii="Cambria" w:hAnsi="Cambria"/>
      <w:color w:val="376092"/>
      <w:sz w:val="28"/>
      <w:szCs w:val="28"/>
    </w:rPr>
  </w:style>
  <w:style w:type="paragraph" w:customStyle="1" w:styleId="192">
    <w:name w:val="TOC 标题2"/>
    <w:basedOn w:val="4"/>
    <w:next w:val="1"/>
    <w:qFormat/>
    <w:uiPriority w:val="0"/>
    <w:pPr>
      <w:widowControl/>
      <w:spacing w:before="480" w:after="0" w:line="276" w:lineRule="auto"/>
      <w:jc w:val="left"/>
      <w:outlineLvl w:val="9"/>
    </w:pPr>
    <w:rPr>
      <w:rFonts w:ascii="Cambria" w:hAnsi="Cambria"/>
      <w:color w:val="376092"/>
      <w:sz w:val="28"/>
      <w:szCs w:val="28"/>
    </w:rPr>
  </w:style>
  <w:style w:type="character" w:customStyle="1" w:styleId="193">
    <w:name w:val="标题 1 Char"/>
    <w:basedOn w:val="34"/>
    <w:link w:val="4"/>
    <w:qFormat/>
    <w:uiPriority w:val="9"/>
    <w:rPr>
      <w:rFonts w:ascii="Times New Roman" w:hAnsi="Times New Roman"/>
      <w:b/>
      <w:bCs/>
      <w:sz w:val="44"/>
      <w:szCs w:val="44"/>
    </w:rPr>
  </w:style>
  <w:style w:type="character" w:customStyle="1" w:styleId="194">
    <w:name w:val="标题 2 Char"/>
    <w:basedOn w:val="34"/>
    <w:link w:val="5"/>
    <w:qFormat/>
    <w:uiPriority w:val="9"/>
    <w:rPr>
      <w:rFonts w:asciiTheme="majorHAnsi" w:hAnsiTheme="majorHAnsi" w:eastAsiaTheme="majorEastAsia" w:cstheme="majorBidi"/>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等线 Light"/>
        <a:cs typeface="Arial"/>
      </a:majorFont>
      <a:minorFont>
        <a:latin typeface="等线"/>
        <a:ea typeface="等线"/>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4607e624-560a-41d9-b45a-10aac82e25d5</errorID>
      <errorWord>(</errorWord>
      <group>L1_Format</group>
      <groupName>格式问题</groupName>
      <ability>L2_HalfPunc_CN</ability>
      <abilityName>全半角检查</abilityName>
      <candidateList>
        <item>（</item>
      </candidateList>
      <explain>文本全半角错误。</explain>
      <paraID>256A9120</paraID>
      <start>0</start>
      <end>1</end>
      <status>modified</status>
      <modifiedWord>（</modifiedWord>
      <trackRevisions>false</trackRevisions>
    </reviewItem>
    <reviewItem>
      <errorID>aa4d22a8-a1d3-49d9-ae87-c6838dc477e0</errorID>
      <errorWord>)</errorWord>
      <group>L1_Format</group>
      <groupName>格式问题</groupName>
      <ability>L2_HalfPunc_CN</ability>
      <abilityName>全半角检查</abilityName>
      <candidateList>
        <item>）</item>
      </candidateList>
      <explain>文本全半角错误。</explain>
      <paraID>256A9120</paraID>
      <start>14</start>
      <end>15</end>
      <status>modified</status>
      <modifiedWord>）</modifiedWord>
      <trackRevisions>false</trackRevisions>
    </reviewItem>
    <reviewItem>
      <errorID>c3ca5730-3191-437b-aabe-9a37a09f8900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382F78A2</paraID>
      <start>0</start>
      <end>2</end>
      <status>modified</status>
      <modifiedWord>1.</modifiedWord>
      <trackRevisions>false</trackRevisions>
    </reviewItem>
    <reviewItem>
      <errorID>33e8d1f2-5cfd-4015-a654-539ccc124ccb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280605E1</paraID>
      <start>0</start>
      <end>2</end>
      <status>modified</status>
      <modifiedWord>2.</modifiedWord>
      <trackRevisions>false</trackRevisions>
    </reviewItem>
    <reviewItem>
      <errorID>d597611c-ae78-4f40-806c-a05498538347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2BAF37BB</paraID>
      <start>0</start>
      <end>2</end>
      <status>modified</status>
      <modifiedWord>3.</modifiedWord>
      <trackRevisions>false</trackRevisions>
    </reviewItem>
    <reviewItem>
      <errorID>ff2c9f0f-a6d6-42c2-8f91-fd6cceaa5595</errorID>
      <errorWord>提高</errorWord>
      <group>L1_Grammar</group>
      <groupName>语法问题</groupName>
      <ability>L2_Grammar</ability>
      <abilityName>语法错误</abilityName>
      <candidateList>
        <item>增强</item>
      </candidateList>
      <explain>“提高～意识”搭配不当，建议修改为“增强～意识”。</explain>
      <paraID>2BAF37BB</paraID>
      <start>14</start>
      <end>16</end>
      <status>modified</status>
      <modifiedWord>增强</modifiedWord>
      <trackRevisions>false</trackRevisions>
    </reviewItem>
    <reviewItem>
      <errorID>e155cb55-72c4-47b5-97f0-e653004220b2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3B807B09</paraID>
      <start>0</start>
      <end>2</end>
      <status>modified</status>
      <modifiedWord>4.</modifiedWord>
      <trackRevisions>false</trackRevisions>
    </reviewItem>
    <reviewItem>
      <errorID>d193c973-ab5b-4ba8-bb0e-0a5c7e1c60d5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5AE3F057</paraID>
      <start>0</start>
      <end>2</end>
      <status>modified</status>
      <modifiedWord>5.</modifiedWord>
      <trackRevisions>false</trackRevisions>
    </reviewItem>
    <reviewItem>
      <errorID>ddc027fb-d9ae-472d-b502-82ba23600587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23EABEBE</paraID>
      <start>0</start>
      <end>2</end>
      <status>modified</status>
      <modifiedWord>6.</modifiedWord>
      <trackRevisions>false</trackRevisions>
    </reviewItem>
    <reviewItem>
      <errorID>a1c45f3b-faa1-4e5d-be1e-3716fad000d1</errorID>
      <errorWord>.</errorWord>
      <group>L1_Format</group>
      <groupName>格式问题</groupName>
      <ability>L2_HalfPunc_CN</ability>
      <abilityName>全半角检查</abilityName>
      <candidateList>
        <item>。</item>
      </candidateList>
      <explain>文本全半角错误。</explain>
      <paraID>24DC3FD3</paraID>
      <start>95</start>
      <end>96</end>
      <status>modified</status>
      <modifiedWord>。</modifiedWord>
      <trackRevisions>false</trackRevisions>
    </reviewItem>
    <reviewItem>
      <errorID>97361c44-0943-4382-8673-f8b102542a11</errorID>
      <errorWord>:</errorWord>
      <group>L1_Format</group>
      <groupName>格式问题</groupName>
      <ability>L2_HalfPunc_CN</ability>
      <abilityName>全半角检查</abilityName>
      <candidateList>
        <item>：</item>
      </candidateList>
      <explain>文本全半角错误。</explain>
      <paraID>782390AD</paraID>
      <start>34</start>
      <end>35</end>
      <status>modified</status>
      <modifiedWord>：</modifiedWord>
      <trackRevisions>false</trackRevisions>
    </reviewItem>
    <reviewItem>
      <errorID>ebbf0506-4e96-4bf7-9dcd-99d6db42dcba</errorID>
      <errorWord>(</errorWord>
      <group>L1_Format</group>
      <groupName>格式问题</groupName>
      <ability>L2_HalfPunc_CN</ability>
      <abilityName>全半角检查</abilityName>
      <candidateList>
        <item>（</item>
      </candidateList>
      <explain>文本全半角错误。</explain>
      <paraID>782390AD</paraID>
      <start>127</start>
      <end>128</end>
      <status>modified</status>
      <modifiedWord>（</modifiedWord>
      <trackRevisions>false</trackRevisions>
    </reviewItem>
    <reviewItem>
      <errorID>48f8fa79-44ec-490c-b0ac-f18076d88d12</errorID>
      <errorWord>)</errorWord>
      <group>L1_Format</group>
      <groupName>格式问题</groupName>
      <ability>L2_HalfPunc_CN</ability>
      <abilityName>全半角检查</abilityName>
      <candidateList>
        <item>）</item>
      </candidateList>
      <explain>文本全半角错误。</explain>
      <paraID>782390AD</paraID>
      <start>131</start>
      <end>132</end>
      <status>modified</status>
      <modifiedWord>）</modifiedWord>
      <trackRevisions>false</trackRevisions>
    </reviewItem>
    <reviewItem>
      <errorID>2e6fc5ba-6d54-4654-b406-794fd43e2a68</errorID>
      <errorWord>；、</errorWord>
      <group>L1_Punc</group>
      <groupName>标点问题</groupName>
      <ability>L2_Punc_CN</ability>
      <abilityName>标点符号检查</abilityName>
      <candidateList>
        <item>；</item>
      </candidateList>
      <explain/>
      <paraID>782390AD</paraID>
      <start>143</start>
      <end>144</end>
      <status>modified</status>
      <modifiedWord>；</modifiedWord>
      <trackRevisions>false</trackRevisions>
    </reviewItem>
    <reviewItem>
      <errorID>d55f833e-0b52-405c-8656-6b49f0d3777b</errorID>
      <errorWord>(</errorWord>
      <group>L1_Format</group>
      <groupName>格式问题</groupName>
      <ability>L2_HalfPunc_CN</ability>
      <abilityName>全半角检查</abilityName>
      <candidateList>
        <item>（</item>
      </candidateList>
      <explain>文本全半角错误。</explain>
      <paraID>782390AD</paraID>
      <start>148</start>
      <end>149</end>
      <status>modified</status>
      <modifiedWord>（</modifiedWord>
      <trackRevisions>false</trackRevisions>
    </reviewItem>
    <reviewItem>
      <errorID>6fe131f3-dc14-40ff-bba1-5c3397cfdddc</errorID>
      <errorWord>)</errorWord>
      <group>L1_Format</group>
      <groupName>格式问题</groupName>
      <ability>L2_HalfPunc_CN</ability>
      <abilityName>全半角检查</abilityName>
      <candidateList>
        <item>）</item>
      </candidateList>
      <explain>文本全半角错误。</explain>
      <paraID>782390AD</paraID>
      <start>152</start>
      <end>153</end>
      <status>modified</status>
      <modifiedWord>）</modifiedWord>
      <trackRevisions>false</trackRevisions>
    </reviewItem>
    <reviewItem>
      <errorID>5a58fe83-dcb5-4789-8ae1-3438eadd786c</errorID>
      <errorWord>(</errorWord>
      <group>L1_Format</group>
      <groupName>格式问题</groupName>
      <ability>L2_HalfPunc_CN</ability>
      <abilityName>全半角检查</abilityName>
      <candidateList>
        <item>（</item>
      </candidateList>
      <explain>文本全半角错误。</explain>
      <paraID>782390AD</paraID>
      <start>170</start>
      <end>171</end>
      <status>modified</status>
      <modifiedWord>（</modifiedWord>
      <trackRevisions>false</trackRevisions>
    </reviewItem>
    <reviewItem>
      <errorID>8b311d38-fc90-4797-84bf-337dc57f938c</errorID>
      <errorWord>)</errorWord>
      <group>L1_Format</group>
      <groupName>格式问题</groupName>
      <ability>L2_HalfPunc_CN</ability>
      <abilityName>全半角检查</abilityName>
      <candidateList>
        <item>）</item>
      </candidateList>
      <explain>文本全半角错误。</explain>
      <paraID>782390AD</paraID>
      <start>174</start>
      <end>175</end>
      <status>modified</status>
      <modifiedWord>）</modifiedWord>
      <trackRevisions>false</trackRevisions>
    </reviewItem>
    <reviewItem>
      <errorID>8a7a4494-4220-4cd2-adc1-d3dee0bc4683</errorID>
      <errorWord>(</errorWord>
      <group>L1_Format</group>
      <groupName>格式问题</groupName>
      <ability>L2_HalfPunc_CN</ability>
      <abilityName>全半角检查</abilityName>
      <candidateList>
        <item>（</item>
      </candidateList>
      <explain>文本全半角错误。</explain>
      <paraID>782390AD</paraID>
      <start>194</start>
      <end>195</end>
      <status>modified</status>
      <modifiedWord>（</modifiedWord>
      <trackRevisions>false</trackRevisions>
    </reviewItem>
    <reviewItem>
      <errorID>0d894fd2-1635-42cd-bdb1-7d008e1fcf68</errorID>
      <errorWord>)</errorWord>
      <group>L1_Format</group>
      <groupName>格式问题</groupName>
      <ability>L2_HalfPunc_CN</ability>
      <abilityName>全半角检查</abilityName>
      <candidateList>
        <item>）</item>
      </candidateList>
      <explain>文本全半角错误。</explain>
      <paraID>782390AD</paraID>
      <start>198</start>
      <end>199</end>
      <status>modified</status>
      <modifiedWord>）</modifiedWord>
      <trackRevisions>false</trackRevisions>
    </reviewItem>
    <reviewItem>
      <errorID>5959b865-f803-49cb-a831-a1b2c5cead76</errorID>
      <errorWord>(</errorWord>
      <group>L1_Format</group>
      <groupName>格式问题</groupName>
      <ability>L2_HalfPunc_CN</ability>
      <abilityName>全半角检查</abilityName>
      <candidateList>
        <item>（</item>
      </candidateList>
      <explain>文本全半角错误。</explain>
      <paraID>782390AD</paraID>
      <start>222</start>
      <end>223</end>
      <status>modified</status>
      <modifiedWord>（</modifiedWord>
      <trackRevisions>false</trackRevisions>
    </reviewItem>
    <reviewItem>
      <errorID>5a03ca41-3f9b-4d0f-9662-b690c57e2661</errorID>
      <errorWord>)</errorWord>
      <group>L1_Format</group>
      <groupName>格式问题</groupName>
      <ability>L2_HalfPunc_CN</ability>
      <abilityName>全半角检查</abilityName>
      <candidateList>
        <item>）</item>
      </candidateList>
      <explain>文本全半角错误。</explain>
      <paraID>782390AD</paraID>
      <start>226</start>
      <end>227</end>
      <status>modified</status>
      <modifiedWord>）</modifiedWord>
      <trackRevisions>false</trackRevisions>
    </reviewItem>
    <reviewItem>
      <errorID>3c727a22-385b-4493-b4cd-8dfdb953d510</errorID>
      <errorWord>年</errorWord>
      <group>L1_Word</group>
      <groupName>字词问题</groupName>
      <ability>L2_Typo</ability>
      <abilityName>字词错误</abilityName>
      <candidateList>
        <item>年一</item>
      </candidateList>
      <explain/>
      <paraID>5A8C0DEE</paraID>
      <start>4</start>
      <end>6</end>
      <status>modified</status>
      <modifiedWord>年一</modifiedWord>
      <trackRevisions>false</trackRevisions>
    </reviewItem>
    <reviewItem>
      <errorID>11182efc-ce93-4f39-9015-2b46e62109ae</errorID>
      <errorWord>:</errorWord>
      <group>L1_Format</group>
      <groupName>格式问题</groupName>
      <ability>L2_HalfPunc_CN</ability>
      <abilityName>全半角检查</abilityName>
      <candidateList>
        <item>：</item>
      </candidateList>
      <explain>文本全半角错误。</explain>
      <paraID> 1DA50B6</paraID>
      <start>29</start>
      <end>30</end>
      <status>modified</status>
      <modifiedWord>：</modifiedWord>
      <trackRevisions>false</trackRevisions>
    </reviewItem>
    <reviewItem>
      <errorID>cc79ecc5-4465-48db-ac1f-878a4e9dfbe8</errorID>
      <errorWord>&lt;</errorWord>
      <group>L1_Format</group>
      <groupName>格式问题</groupName>
      <ability>L2_HalfPunc_CN</ability>
      <abilityName>全半角检查</abilityName>
      <candidateList>
        <item>〈</item>
      </candidateList>
      <explain>文本全半角错误。</explain>
      <paraID>6489C989</paraID>
      <start>69</start>
      <end>70</end>
      <status>modified</status>
      <modifiedWord>〈</modifiedWord>
      <trackRevisions>false</trackRevisions>
    </reviewItem>
    <reviewItem>
      <errorID>769c3b9d-8ad9-4329-86fd-54cae55baadc</errorID>
      <errorWord>&gt;</errorWord>
      <group>L1_Format</group>
      <groupName>格式问题</groupName>
      <ability>L2_HalfPunc_CN</ability>
      <abilityName>全半角检查</abilityName>
      <candidateList>
        <item>〉</item>
      </candidateList>
      <explain>文本全半角错误。</explain>
      <paraID>6489C989</paraID>
      <start>72</start>
      <end>73</end>
      <status>modified</status>
      <modifiedWord>〉</modifiedWord>
      <trackRevisions>false</trackRevisions>
    </reviewItem>
    <reviewItem>
      <errorID>e48dfc1e-a471-423f-9133-0c55a31ac091</errorID>
      <errorWord>&lt;</errorWord>
      <group>L1_Format</group>
      <groupName>格式问题</groupName>
      <ability>L2_HalfPunc_CN</ability>
      <abilityName>全半角检查</abilityName>
      <candidateList>
        <item>〈</item>
      </candidateList>
      <explain>文本全半角错误。</explain>
      <paraID>6489C989</paraID>
      <start>79</start>
      <end>80</end>
      <status>modified</status>
      <modifiedWord>〈</modifiedWord>
      <trackRevisions>false</trackRevisions>
    </reviewItem>
    <reviewItem>
      <errorID>3726361c-02c7-4687-b5bf-c4d8bad2ba4c</errorID>
      <errorWord>&gt;</errorWord>
      <group>L1_Format</group>
      <groupName>格式问题</groupName>
      <ability>L2_HalfPunc_CN</ability>
      <abilityName>全半角检查</abilityName>
      <candidateList>
        <item>〉</item>
      </candidateList>
      <explain>文本全半角错误。</explain>
      <paraID>6489C989</paraID>
      <start>82</start>
      <end>83</end>
      <status>modified</status>
      <modifiedWord>〉</modifiedWord>
      <trackRevisions>false</trackRevisions>
    </reviewItem>
    <reviewItem>
      <errorID>cc4fbcc8-f7df-4cf9-bbf6-919f75f92286</errorID>
      <errorWord>,</errorWord>
      <group>L1_Format</group>
      <groupName>格式问题</groupName>
      <ability>L2_HalfPunc_CN</ability>
      <abilityName>全半角检查</abilityName>
      <candidateList>
        <item>，</item>
      </candidateList>
      <explain>文本全半角错误。</explain>
      <paraID>36ECDAD5</paraID>
      <start>22</start>
      <end>23</end>
      <status>modified</status>
      <modifiedWord>，</modifiedWord>
      <trackRevisions>false</trackRevisions>
    </reviewItem>
    <reviewItem>
      <errorID>0185717c-565e-47cc-bb36-e50e82033ac9</errorID>
      <errorWord>因</errorWord>
      <group>L1_Word</group>
      <groupName>字词问题</groupName>
      <ability>L2_Typo</ability>
      <abilityName>字词错误</abilityName>
      <candidateList>
        <item>因是</item>
      </candidateList>
      <explain/>
      <paraID>36ECDAD5</paraID>
      <start>71</start>
      <end>73</end>
      <status>modified</status>
      <modifiedWord>因是</modifiedWord>
      <trackRevisions>false</trackRevisions>
    </reviewItem>
    <reviewItem>
      <errorID>30b08a07-fd3a-4e68-a935-acd7e4326507</errorID>
      <errorWord>…。</errorWord>
      <group>L1_Punc</group>
      <groupName>标点问题</groupName>
      <ability>L2_Punc_CN</ability>
      <abilityName>标点符号检查</abilityName>
      <candidateList>
        <item>…</item>
      </candidateList>
      <explain/>
      <paraID>2FEAFF78</paraID>
      <start>74</start>
      <end>75</end>
      <status>modified</status>
      <modifiedWord>…</modifiedWord>
      <trackRevisions>false</trackRevisions>
    </reviewItem>
    <reviewItem>
      <errorID>f29ce041-c8e4-47a6-b1d3-42a7cb91e827</errorID>
      <errorWord>查看</errorWord>
      <group>L1_Word</group>
      <groupName>字词问题</groupName>
      <ability>L2_Typo</ability>
      <abilityName>字词错误</abilityName>
      <candidateList>
        <item>查勘</item>
      </candidateList>
      <explain/>
      <paraID>299280E1</paraID>
      <start>35</start>
      <end>37</end>
      <status>unmodified</status>
      <modifiedWord/>
      <trackRevisions>false</trackRevisions>
    </reviewItem>
    <reviewItem>
      <errorID>3e50e877-712a-4018-8cc3-e2daa7e829af</errorID>
      <errorWord>(</errorWord>
      <group>L1_Format</group>
      <groupName>格式问题</groupName>
      <ability>L2_HalfPunc_CN</ability>
      <abilityName>全半角检查</abilityName>
      <candidateList>
        <item>（</item>
      </candidateList>
      <explain>文本全半角错误。</explain>
      <paraID>30D0D349</paraID>
      <start>18</start>
      <end>19</end>
      <status>modified</status>
      <modifiedWord>（</modifiedWord>
      <trackRevisions>false</trackRevisions>
    </reviewItem>
    <reviewItem>
      <errorID>5e5f1004-5a1f-4ca7-b58c-f27f8be21017</errorID>
      <errorWord>)</errorWord>
      <group>L1_Format</group>
      <groupName>格式问题</groupName>
      <ability>L2_HalfPunc_CN</ability>
      <abilityName>全半角检查</abilityName>
      <candidateList>
        <item>）</item>
      </candidateList>
      <explain>文本全半角错误。</explain>
      <paraID>30D0D349</paraID>
      <start>45</start>
      <end>46</end>
      <status>modified</status>
      <modifiedWord>）</modifiedWord>
      <trackRevisions>false</trackRevisions>
    </reviewItem>
    <reviewItem>
      <errorID>d58d5111-af91-4f9d-abca-4a40b65c60af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CA92BDB</paraID>
      <start>0</start>
      <end>2</end>
      <status>modified</status>
      <modifiedWord>1.</modifiedWord>
      <trackRevisions>false</trackRevisions>
    </reviewItem>
    <reviewItem>
      <errorID>4e790a8d-3c36-4b75-a6f3-84d6165726ae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4F59D362</paraID>
      <start>0</start>
      <end>2</end>
      <status>modified</status>
      <modifiedWord>2.</modifiedWord>
      <trackRevisions>false</trackRevisions>
    </reviewItem>
    <reviewItem>
      <errorID>f8d6e54e-6ad4-4eec-87f9-4f297e6c3fc3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77F6DBFF</paraID>
      <start>0</start>
      <end>2</end>
      <status>modified</status>
      <modifiedWord>3.</modifiedWord>
      <trackRevisions>false</trackRevisions>
    </reviewItem>
    <reviewItem>
      <errorID>8164ba29-e481-4421-8b73-a52fd6f94f90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78F1FB7C</paraID>
      <start>0</start>
      <end>2</end>
      <status>modified</status>
      <modifiedWord>4.</modifiedWord>
      <trackRevisions>false</trackRevisions>
    </reviewItem>
    <reviewItem>
      <errorID>2656e402-847a-4ceb-95e5-c6e0a1f87c51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364AD6E1</paraID>
      <start>0</start>
      <end>2</end>
      <status>modified</status>
      <modifiedWord>5.</modifiedWord>
      <trackRevisions>false</trackRevisions>
    </reviewItem>
    <reviewItem>
      <errorID>55be429e-5863-4555-bd49-6a306ec0a1b0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12E9AC93</paraID>
      <start>0</start>
      <end>2</end>
      <status>modified</status>
      <modifiedWord>6.</modifiedWord>
      <trackRevisions>false</trackRevisions>
    </reviewItem>
    <reviewItem>
      <errorID>f4b4f5c8-3ca8-4876-a411-8fc14a9cd47c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1C83068C</paraID>
      <start>0</start>
      <end>2</end>
      <status>modified</status>
      <modifiedWord>7.</modifiedWord>
      <trackRevisions>false</trackRevisions>
    </reviewItem>
    <reviewItem>
      <errorID>d04d02d6-b14f-4f6d-a16c-483e6f6d3341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4BCE3CEE</paraID>
      <start>0</start>
      <end>2</end>
      <status>modified</status>
      <modifiedWord>8.</modifiedWord>
      <trackRevisions>false</trackRevisions>
    </reviewItem>
    <reviewItem>
      <errorID>9bd82091-69a2-46d9-8e25-bdf3cdd2b9ce</errorID>
      <errorWord>会计法</errorWord>
      <group>L1_Knowledge</group>
      <groupName>知识性问题</groupName>
      <ability>L2_Knowledge</ability>
      <abilityName>其他知识</abilityName>
      <candidateList>
        <item>中华人民共和国会计法</item>
      </candidateList>
      <explain>当前法律法规名称使用简称，请注意是否应当使用全称。</explain>
      <paraID>6941B78D</paraID>
      <start>25</start>
      <end>35</end>
      <status>modified</status>
      <modifiedWord>中华人民共和国会计法</modifiedWord>
      <trackRevisions>false</trackRevisions>
    </reviewItem>
    <reviewItem>
      <errorID>27c1f9dd-c9a5-4fc4-8209-65fe3001b332</errorID>
      <errorWord>相关的</errorWord>
      <group>L1_Word</group>
      <groupName>字词问题</groupName>
      <ability>L2_Typo</ability>
      <abilityName>字词错误</abilityName>
      <candidateList>
        <item>相关</item>
      </candidateList>
      <explain/>
      <paraID>6941B78D</paraID>
      <start>37</start>
      <end>39</end>
      <status>modified</status>
      <modifiedWord>相关</modifiedWord>
      <trackRevisions>false</trackRevisions>
    </reviewItem>
    <reviewItem>
      <errorID>cf82904c-73b6-447c-a24b-31ab97067f33</errorID>
      <errorWord>决不</errorWord>
      <group>L1_Word</group>
      <groupName>字词问题</groupName>
      <ability>L2_Typo</ability>
      <abilityName>字词错误</abilityName>
      <candidateList>
        <item>绝不</item>
      </candidateList>
      <explain>存在发音相同字词的误用。</explain>
      <paraID>6941B78D</paraID>
      <start>72</start>
      <end>74</end>
      <status>modified</status>
      <modifiedWord>绝不</modifiedWord>
      <trackRevisions>false</trackRevisions>
    </reviewItem>
    <reviewItem>
      <errorID>4ee9e369-fa95-4a2e-a2dd-8675ff9e968c</errorID>
      <errorWord>，，</errorWord>
      <group>L1_Punc</group>
      <groupName>标点问题</groupName>
      <ability>L2_Punc_CN</ability>
      <abilityName>标点符号检查</abilityName>
      <candidateList>
        <item>，</item>
      </candidateList>
      <explain/>
      <paraID>694EBCB2</paraID>
      <start>77</start>
      <end>78</end>
      <status>modified</status>
      <modifiedWord>，</modifiedWord>
      <trackRevisions>false</trackRevisions>
    </reviewItem>
    <reviewItem>
      <errorID>5fcbeedb-c82d-4e3a-a090-249f066a9196</errorID>
      <errorWord>的</errorWord>
      <group>L1_Word</group>
      <groupName>字词问题</groupName>
      <ability>L2_DDD</ability>
      <abilityName>的地得用法</abilityName>
      <candidateList>
        <item>地</item>
      </candidateList>
      <explain/>
      <paraID>694EBCB2</paraID>
      <start>85</start>
      <end>86</end>
      <status>modified</status>
      <modifiedWord>地</modifiedWord>
      <trackRevisions>false</trackRevisions>
    </reviewItem>
    <reviewItem>
      <errorID>d2b6b839-23e1-44e0-bd20-bf8dc4af1559</errorID>
      <errorWord>)</errorWord>
      <group>L1_Format</group>
      <groupName>格式问题</groupName>
      <ability>L2_HalfPunc_CN</ability>
      <abilityName>全半角检查</abilityName>
      <candidateList>
        <item>）</item>
      </candidateList>
      <explain>文本全半角错误。</explain>
      <paraID> 6D1D4C7</paraID>
      <start>21</start>
      <end>22</end>
      <status>modified</status>
      <modifiedWord>）</modifiedWord>
      <trackRevisions>false</trackRevisions>
    </reviewItem>
    <reviewItem>
      <errorID>3d878988-af76-45dd-be65-e31fd8cb445d</errorID>
      <errorWord>(</errorWord>
      <group>L1_Format</group>
      <groupName>格式问题</groupName>
      <ability>L2_HalfPunc_CN</ability>
      <abilityName>全半角检查</abilityName>
      <candidateList>
        <item>（</item>
      </candidateList>
      <explain>文本全半角错误。</explain>
      <paraID>3371E710</paraID>
      <start>6</start>
      <end>7</end>
      <status>modified</status>
      <modifiedWord>（</modifiedWord>
      <trackRevisions>false</trackRevisions>
    </reviewItem>
    <reviewItem>
      <errorID>e488388e-6e32-43c1-b285-abb113ab9943</errorID>
      <errorWord>)</errorWord>
      <group>L1_Format</group>
      <groupName>格式问题</groupName>
      <ability>L2_HalfPunc_CN</ability>
      <abilityName>全半角检查</abilityName>
      <candidateList>
        <item>）</item>
      </candidateList>
      <explain>文本全半角错误。</explain>
      <paraID>3371E710</paraID>
      <start>9</start>
      <end>10</end>
      <status>modified</status>
      <modifiedWord>）</modifiedWord>
      <trackRevisions>false</trackRevisions>
    </reviewItem>
    <reviewItem>
      <errorID>20811ae7-17a9-4959-9875-7b2f50a6876f</errorID>
      <errorWord>:</errorWord>
      <group>L1_Format</group>
      <groupName>格式问题</groupName>
      <ability>L2_HalfPunc_CN</ability>
      <abilityName>全半角检查</abilityName>
      <candidateList>
        <item>：</item>
      </candidateList>
      <explain>文本全半角错误。</explain>
      <paraID>2D8227D0</paraID>
      <start>3</start>
      <end>4</end>
      <status>modified</status>
      <modifiedWord>：</modifiedWord>
      <trackRevisions>false</trackRevisions>
    </reviewItem>
    <reviewItem>
      <errorID>f18b925c-b893-41d4-935a-64098869b8b7</errorID>
      <errorWord>:</errorWord>
      <group>L1_Format</group>
      <groupName>格式问题</groupName>
      <ability>L2_HalfPunc_CN</ability>
      <abilityName>全半角检查</abilityName>
      <candidateList>
        <item>：</item>
      </candidateList>
      <explain>文本全半角错误。</explain>
      <paraID>242B5D61</paraID>
      <start>3</start>
      <end>4</end>
      <status>modified</status>
      <modifiedWord>：</modifiedWord>
      <trackRevisions>false</trackRevisions>
    </reviewItem>
    <reviewItem>
      <errorID>6efc79ba-9375-4516-8321-444fe02c87e4</errorID>
      <errorWord>-</errorWord>
      <group>L1_Format</group>
      <groupName>格式问题</groupName>
      <ability>L2_HalfPunc_CN</ability>
      <abilityName>全半角检查</abilityName>
      <candidateList>
        <item>－</item>
      </candidateList>
      <explain>文本全半角错误。</explain>
      <paraID>1DC407AF</paraID>
      <start>2</start>
      <end>3</end>
      <status>modified</status>
      <modifiedWord>－</modifiedWord>
      <trackRevisions>false</trackRevisions>
    </reviewItem>
    <reviewItem>
      <errorID>77191332-25f4-4e8c-8fa0-369be57f0592</errorID>
      <errorWord>:</errorWord>
      <group>L1_Format</group>
      <groupName>格式问题</groupName>
      <ability>L2_HalfPunc_CN</ability>
      <abilityName>全半角检查</abilityName>
      <candidateList>
        <item>：</item>
      </candidateList>
      <explain>文本全半角错误。</explain>
      <paraID>1DC407AF</paraID>
      <start>7</start>
      <end>8</end>
      <status>modified</status>
      <modifiedWord>：</modifiedWord>
      <trackRevisions>false</trackRevisions>
    </reviewItem>
    <reviewItem>
      <errorID>cc87472d-fe33-4e96-b2ef-e639b16f6224</errorID>
      <errorWord>-</errorWord>
      <group>L1_Format</group>
      <groupName>格式问题</groupName>
      <ability>L2_HalfPunc_CN</ability>
      <abilityName>全半角检查</abilityName>
      <candidateList>
        <item>－</item>
      </candidateList>
      <explain>文本全半角错误。</explain>
      <paraID>1DE1296B</paraID>
      <start>2</start>
      <end>3</end>
      <status>modified</status>
      <modifiedWord>－</modifiedWord>
      <trackRevisions>false</trackRevisions>
    </reviewItem>
    <reviewItem>
      <errorID>31eef2c3-cb90-4048-aff0-0935af0406e5</errorID>
      <errorWord>:</errorWord>
      <group>L1_Format</group>
      <groupName>格式问题</groupName>
      <ability>L2_HalfPunc_CN</ability>
      <abilityName>全半角检查</abilityName>
      <candidateList>
        <item>：</item>
      </candidateList>
      <explain>文本全半角错误。</explain>
      <paraID>1DE1296B</paraID>
      <start>7</start>
      <end>8</end>
      <status>modified</status>
      <modifiedWord>：</modifiedWord>
      <trackRevisions>false</trackRevisions>
    </reviewItem>
    <reviewItem>
      <errorID>0c157ba1-a444-470b-885f-69c743d186f8</errorID>
      <errorWord>其它</errorWord>
      <group>L1_Word</group>
      <groupName>字词问题</groupName>
      <ability>L2_Alias</ability>
      <abilityName>也作/曾用词</abilityName>
      <candidateList>
        <item>其他</item>
      </candidateList>
      <explain>词汇[其它]为不规范表述或旧称，其规范书面表述为[其他]。</explain>
      <paraID>6DFDF71D</paraID>
      <start>0</start>
      <end>2</end>
      <status>unmodified</status>
      <modifiedWord/>
      <trackRevisions>false</trackRevisions>
    </reviewItem>
    <reviewItem>
      <errorID>1ed711b1-c453-4fe9-bc32-dca09d89f76c</errorID>
      <errorWord>:</errorWord>
      <group>L1_Format</group>
      <groupName>格式问题</groupName>
      <ability>L2_HalfPunc_CN</ability>
      <abilityName>全半角检查</abilityName>
      <candidateList>
        <item>：</item>
      </candidateList>
      <explain>文本全半角错误。</explain>
      <paraID>6DFDF71D</paraID>
      <start>4</start>
      <end>5</end>
      <status>modified</status>
      <modifiedWord>：</modifiedWord>
      <trackRevisions>false</trackRevisions>
    </reviewItem>
    <reviewItem>
      <errorID>01e965aa-f710-47c2-9eeb-6ce5557e0920</errorID>
      <errorWord>其它</errorWord>
      <group>L1_Word</group>
      <groupName>字词问题</groupName>
      <ability>L2_Alias</ability>
      <abilityName>也作/曾用词</abilityName>
      <candidateList>
        <item>其他</item>
      </candidateList>
      <explain>词汇[其它]为不规范表述或旧称，其规范书面表述为[其他]。</explain>
      <paraID>5BA11C1A</paraID>
      <start>0</start>
      <end>2</end>
      <status>unmodified</status>
      <modifiedWord/>
      <trackRevisions>false</trackRevisions>
    </reviewItem>
    <reviewItem>
      <errorID>964b551a-5f94-403a-81ed-62f79917a20a</errorID>
      <errorWord>:</errorWord>
      <group>L1_Format</group>
      <groupName>格式问题</groupName>
      <ability>L2_HalfPunc_CN</ability>
      <abilityName>全半角检查</abilityName>
      <candidateList>
        <item>：</item>
      </candidateList>
      <explain>文本全半角错误。</explain>
      <paraID>5BA11C1A</paraID>
      <start>4</start>
      <end>5</end>
      <status>modified</status>
      <modifiedWord>：</modifiedWord>
      <trackRevisions>false</trackRevisions>
    </reviewItem>
    <reviewItem>
      <errorID>856c8c17-e980-4808-aeb5-cc2bc5af8ec6</errorID>
      <errorWord>(</errorWord>
      <group>L1_Format</group>
      <groupName>格式问题</groupName>
      <ability>L2_HalfPunc_CN</ability>
      <abilityName>全半角检查</abilityName>
      <candidateList>
        <item>（</item>
      </candidateList>
      <explain>文本全半角错误。</explain>
      <paraID>6944B026</paraID>
      <start>5</start>
      <end>6</end>
      <status>modified</status>
      <modifiedWord>（</modifiedWord>
      <trackRevisions>false</trackRevisions>
    </reviewItem>
    <reviewItem>
      <errorID>42412697-b5e6-41f1-ad7c-69d02ce1946c</errorID>
      <errorWord>)</errorWord>
      <group>L1_Format</group>
      <groupName>格式问题</groupName>
      <ability>L2_HalfPunc_CN</ability>
      <abilityName>全半角检查</abilityName>
      <candidateList>
        <item>）</item>
      </candidateList>
      <explain>文本全半角错误。</explain>
      <paraID>6944B026</paraID>
      <start>15</start>
      <end>16</end>
      <status>modified</status>
      <modifiedWord>）</modifiedWord>
      <trackRevisions>false</trackRevisions>
    </reviewItem>
    <reviewItem>
      <errorID>d48f162c-1cef-4970-b915-97ffe59915f5</errorID>
      <errorWord>(</errorWord>
      <group>L1_Format</group>
      <groupName>格式问题</groupName>
      <ability>L2_HalfPunc_CN</ability>
      <abilityName>全半角检查</abilityName>
      <candidateList>
        <item>（</item>
      </candidateList>
      <explain>文本全半角错误。</explain>
      <paraID>24958E87</paraID>
      <start>7</start>
      <end>8</end>
      <status>modified</status>
      <modifiedWord>（</modifiedWord>
      <trackRevisions>false</trackRevisions>
    </reviewItem>
    <reviewItem>
      <errorID>6d3091a6-601b-45f5-b7dd-3cca7fdc5df3</errorID>
      <errorWord>)</errorWord>
      <group>L1_Format</group>
      <groupName>格式问题</groupName>
      <ability>L2_HalfPunc_CN</ability>
      <abilityName>全半角检查</abilityName>
      <candidateList>
        <item>）</item>
      </candidateList>
      <explain>文本全半角错误。</explain>
      <paraID>24958E87</paraID>
      <start>17</start>
      <end>18</end>
      <status>modified</status>
      <modifiedWord>）</modifiedWord>
      <trackRevisions>false</trackRevisions>
    </reviewItem>
    <reviewItem>
      <errorID>d853d6ce-acfd-4932-a305-9874627e6281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31753DC5</paraID>
      <start>0</start>
      <end>2</end>
      <status>modified</status>
      <modifiedWord>8.</modifiedWord>
      <trackRevisions>false</trackRevisions>
    </reviewItem>
    <reviewItem>
      <errorID>c576d773-1a47-412b-a595-ce236592887e</errorID>
      <errorWord>反应</errorWord>
      <group>L1_Word</group>
      <groupName>字词问题</groupName>
      <ability>L2_Typo</ability>
      <abilityName>字词错误</abilityName>
      <candidateList>
        <item>反映</item>
      </candidateList>
      <explain/>
      <paraID>7F688AD0</paraID>
      <start>29</start>
      <end>31</end>
      <status>modified</status>
      <modifiedWord>反映</modifiedWord>
      <trackRevisions>false</trackRevisions>
    </reviewItem>
    <reviewItem>
      <errorID>683bdaa5-c418-4534-a9bb-9a9ce74f91b3</errorID>
      <errorWord>住房保障支出住房保障支出</errorWord>
      <group>L1_Word</group>
      <groupName>字词问题</groupName>
      <ability>L2_Typo</ability>
      <abilityName>字词错误</abilityName>
      <candidateList>
        <item>住房保障支出</item>
      </candidateList>
      <explain/>
      <paraID>6C2990D1</paraID>
      <start>3</start>
      <end>9</end>
      <status>modified</status>
      <modifiedWord>住房保障支出</modifiedWord>
      <trackRevisions>false</trackRevisions>
    </reviewItem>
    <reviewItem>
      <errorID>75851e5d-7b04-4934-a915-cdefc2ddfaa4</errorID>
      <errorWord>(</errorWord>
      <group>L1_Format</group>
      <groupName>格式问题</groupName>
      <ability>L2_HalfPunc_CN</ability>
      <abilityName>全半角检查</abilityName>
      <candidateList>
        <item>（</item>
      </candidateList>
      <explain>文本全半角错误。</explain>
      <paraID> 7A3F96A</paraID>
      <start>0</start>
      <end>1</end>
      <status>modified</status>
      <modifiedWord>（</modifiedWord>
      <trackRevisions>false</trackRevisions>
    </reviewItem>
    <reviewItem>
      <errorID>39f7629d-937e-4186-ae7a-456d6ae94670</errorID>
      <errorWord>的</errorWord>
      <group>L1_Word</group>
      <groupName>字词问题</groupName>
      <ability>L2_DDD</ability>
      <abilityName>的地得用法</abilityName>
      <candidateList>
        <item>地</item>
      </candidateList>
      <explain/>
      <paraID>290BC85E</paraID>
      <start>20</start>
      <end>21</end>
      <status>modified</status>
      <modifiedWord>地</modifiedWord>
      <trackRevisions>false</trackRevisions>
    </reviewItem>
    <reviewItem>
      <errorID>88f49781-f780-4a7c-bffc-b95c60aba10b</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49657308</paraID>
      <start>3</start>
      <end>9</end>
      <status>modified</status>
      <modifiedWord>“三公”经费</modifiedWord>
      <trackRevisions>false</trackRevisions>
    </reviewItem>
    <reviewItem>
      <errorID>a47a5c40-bf8b-415c-abdc-15946c0d7011</errorID>
      <errorWord>,</errorWord>
      <group>L1_Format</group>
      <groupName>格式问题</groupName>
      <ability>L2_HalfPunc_CN</ability>
      <abilityName>全半角检查</abilityName>
      <candidateList>
        <item>，</item>
      </candidateList>
      <explain>文本全半角错误。</explain>
      <paraID>49657308</paraID>
      <start>18</start>
      <end>19</end>
      <status>modified</status>
      <modifiedWord>，</modifiedWord>
      <trackRevisions>false</trackRevisions>
    </reviewItem>
    <reviewItem>
      <errorID>7b5c87e4-2fb4-487e-9f32-1b4bc2c7c077</errorID>
      <errorWord>较</errorWord>
      <group>L1_Word</group>
      <groupName>字词问题</groupName>
      <ability>L2_Typo</ability>
      <abilityName>字词错误</abilityName>
      <candidateList>
        <item>较为</item>
      </candidateList>
      <explain/>
      <paraID>4B6FF106</paraID>
      <start>7</start>
      <end>9</end>
      <status>modified</status>
      <modifiedWord>较为</modifiedWord>
      <trackRevisions>false</trackRevisions>
    </reviewItem>
    <reviewItem>
      <errorID>bfa7f8f6-3e85-44d8-9bf5-f2d5518dc81c</errorID>
      <errorWord>帐实相符</errorWord>
      <group>L1_Word</group>
      <groupName>字词问题</groupName>
      <ability>L2_Alias</ability>
      <abilityName>也作/曾用词</abilityName>
      <candidateList>
        <item>账实相符</item>
      </candidateList>
      <explain>词汇[帐实相符]为不规范表述或旧称，其规范书面表述为[账实相符]。</explain>
      <paraID>43844E02</paraID>
      <start>10</start>
      <end>14</end>
      <status>modified</status>
      <modifiedWord>账实相符</modifiedWord>
      <trackRevisions>false</trackRevisions>
    </reviewItem>
    <reviewItem>
      <errorID>2cfb631a-a214-40eb-a1c5-60003ff3c205</errorID>
      <errorWord>定</errorWord>
      <group>L1_Word</group>
      <groupName>字词问题</groupName>
      <ability>L2_Typo</ability>
      <abilityName>字词错误</abilityName>
      <candidateList>
        <item>定资</item>
      </candidateList>
      <explain/>
      <paraID>120FF6BA</paraID>
      <start>4</start>
      <end>6</end>
      <status>modified</status>
      <modifiedWord>定资</modifiedWord>
      <trackRevisions>false</trackRevisions>
    </reviewItem>
    <reviewItem>
      <errorID>b636f65d-16bb-4838-b5a2-0fdb046a71ff</errorID>
      <errorWord>的</errorWord>
      <group>L1_Word</group>
      <groupName>字词问题</groupName>
      <ability>L2_DDD</ability>
      <abilityName>的地得用法</abilityName>
      <candidateList>
        <item>地</item>
      </candidateList>
      <explain/>
      <paraID>712C36CE</paraID>
      <start>14</start>
      <end>15</end>
      <status>modified</status>
      <modifiedWord>地</modifiedWord>
      <trackRevisions>false</trackRevisions>
    </reviewItem>
    <reviewItem>
      <errorID>3d9e1528-409b-47e6-9eb4-1634b11ab66a</errorID>
      <errorWord>，。</errorWord>
      <group>L1_Punc</group>
      <groupName>标点问题</groupName>
      <ability>L2_Punc_CN</ability>
      <abilityName>标点符号检查</abilityName>
      <candidateList>
        <item>，</item>
      </candidateList>
      <explain/>
      <paraID>712C36CE</paraID>
      <start>72</start>
      <end>73</end>
      <status>modified</status>
      <modifiedWord>，</modifiedWord>
      <trackRevisions>false</trackRevisions>
    </reviewItem>
    <reviewItem>
      <errorID>d2c7e8b7-447a-4bbd-ad9a-41ad9032bf43</errorID>
      <errorWord>通讯盲区</errorWord>
      <group>L1_Word</group>
      <groupName>字词问题</groupName>
      <ability>L2_Typo</ability>
      <abilityName>字词错误</abilityName>
      <candidateList>
        <item>通信盲区</item>
      </candidateList>
      <explain/>
      <paraID>351264D8</paraID>
      <start>81</start>
      <end>85</end>
      <status>modified</status>
      <modifiedWord>通信盲区</modifiedWord>
      <trackRevisions>false</trackRevisions>
    </reviewItem>
    <reviewItem>
      <errorID>dc4ad74a-3e8a-4654-bfd2-002c507bdcca</errorID>
      <errorWord>.</errorWord>
      <group>L1_Format</group>
      <groupName>格式问题</groupName>
      <ability>L2_HalfPunc_CN</ability>
      <abilityName>全半角检查</abilityName>
      <candidateList>
        <item>。</item>
      </candidateList>
      <explain>文本全半角错误。</explain>
      <paraID>4124ED4B</paraID>
      <start>78</start>
      <end>79</end>
      <status>modified</status>
      <modifiedWord>。</modifiedWord>
      <trackRevisions>false</trackRevisions>
    </reviewItem>
    <reviewItem>
      <errorID>beedf12e-fb29-4335-85c9-a42029a66618</errorID>
      <errorWord>通讯无盲区</errorWord>
      <group>L1_Word</group>
      <groupName>字词问题</groupName>
      <ability>L2_Typo</ability>
      <abilityName>字词错误</abilityName>
      <candidateList>
        <item>通信无盲区</item>
      </candidateList>
      <explain/>
      <paraID>4124ED4B</paraID>
      <start>97</start>
      <end>102</end>
      <status>modified</status>
      <modifiedWord>通信无盲区</modifiedWord>
      <trackRevisions>false</trackRevisions>
    </reviewItem>
  </reviewItems>
  <config/>
</contractReview>
</file>

<file path=customXml/itemProps1.xml><?xml version="1.0" encoding="utf-8"?>
<ds:datastoreItem xmlns:ds="http://schemas.openxmlformats.org/officeDocument/2006/customXml" ds:itemID="{c911f09f-7ee2-4076-a753-eb132736d298}">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8858</Words>
  <Characters>9607</Characters>
  <TotalTime>5</TotalTime>
  <ScaleCrop>false</ScaleCrop>
  <LinksUpToDate>false</LinksUpToDate>
  <CharactersWithSpaces>9679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浅香</cp:lastModifiedBy>
  <dcterms:modified xsi:type="dcterms:W3CDTF">2026-08-21T00:44:55Z</dcterms:modified>
  <dc:title>四川省***</dc:title>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8A9EE5B72BC44A75815009B6AF7A6597</vt:lpwstr>
  </property>
  <property fmtid="{D5CDD505-2E9C-101B-9397-08002B2CF9AE}" pid="4" name="KSOTemplateDocerSaveRecord">
    <vt:lpwstr>eyJoZGlkIjoiNTk1MTZlZGIwZDE2ZTJjZTk5ZDQ5ODFkNDMxYjdkMzUiLCJ1c2VySWQiOiI0MDMyNjE4NDcifQ==</vt:lpwstr>
  </property>
</Properties>
</file>