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BC7D6C">
      <w:pPr>
        <w:spacing w:line="600" w:lineRule="exact"/>
        <w:jc w:val="center"/>
        <w:outlineLvl w:val="0"/>
        <w:rPr>
          <w:rFonts w:hint="eastAsia" w:ascii="方正小标宋简体" w:hAnsi="宋体" w:eastAsia="方正小标宋简体"/>
          <w:color w:val="000000"/>
          <w:sz w:val="72"/>
          <w:szCs w:val="72"/>
        </w:rPr>
      </w:pPr>
      <w:bookmarkStart w:id="0" w:name="_Toc15306267"/>
    </w:p>
    <w:p w14:paraId="38E2B530">
      <w:pPr>
        <w:spacing w:line="600" w:lineRule="exact"/>
        <w:jc w:val="center"/>
        <w:outlineLvl w:val="0"/>
        <w:rPr>
          <w:rFonts w:ascii="方正小标宋简体" w:hAnsi="宋体" w:eastAsia="方正小标宋简体"/>
          <w:color w:val="000000"/>
          <w:sz w:val="72"/>
          <w:szCs w:val="72"/>
        </w:rPr>
      </w:pPr>
    </w:p>
    <w:p w14:paraId="21ADE648">
      <w:pPr>
        <w:spacing w:line="600" w:lineRule="exact"/>
        <w:jc w:val="center"/>
        <w:outlineLvl w:val="0"/>
        <w:rPr>
          <w:rFonts w:ascii="方正小标宋简体" w:hAnsi="宋体" w:eastAsia="方正小标宋简体"/>
          <w:color w:val="000000"/>
          <w:sz w:val="72"/>
          <w:szCs w:val="72"/>
        </w:rPr>
      </w:pPr>
    </w:p>
    <w:p w14:paraId="15123E77">
      <w:pPr>
        <w:spacing w:line="600" w:lineRule="exact"/>
        <w:jc w:val="center"/>
        <w:outlineLvl w:val="0"/>
        <w:rPr>
          <w:rFonts w:ascii="方正小标宋简体" w:hAnsi="宋体" w:eastAsia="方正小标宋简体"/>
          <w:color w:val="000000"/>
          <w:sz w:val="72"/>
          <w:szCs w:val="72"/>
        </w:rPr>
      </w:pPr>
    </w:p>
    <w:p w14:paraId="494EBBC2">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475"/>
      <w:bookmarkStart w:id="3" w:name="_Toc15377193"/>
      <w:bookmarkStart w:id="4" w:name="_Toc15377425"/>
      <w:bookmarkStart w:id="5" w:name="_Toc1539659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Start w:id="6" w:name="_Toc15396598"/>
      <w:bookmarkStart w:id="7" w:name="_Toc15378442"/>
      <w:bookmarkStart w:id="8" w:name="_Toc15396476"/>
      <w:bookmarkStart w:id="9" w:name="_Toc15377426"/>
      <w:bookmarkStart w:id="10" w:name="_Toc15377194"/>
      <w:bookmarkStart w:id="11" w:name="_Toc15306268"/>
    </w:p>
    <w:p w14:paraId="75BB7F81">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四川省九寨沟县委群众工作局部门决算</w:t>
      </w:r>
      <w:bookmarkEnd w:id="6"/>
      <w:bookmarkEnd w:id="7"/>
      <w:bookmarkEnd w:id="8"/>
      <w:bookmarkEnd w:id="9"/>
      <w:bookmarkEnd w:id="10"/>
      <w:bookmarkEnd w:id="11"/>
    </w:p>
    <w:p w14:paraId="238CD18D">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3B36153C">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32927EDD">
      <w:pPr>
        <w:pStyle w:val="10"/>
      </w:pPr>
      <w:r>
        <w:rPr>
          <w:rFonts w:hint="eastAsia"/>
        </w:rPr>
        <w:t>公开时间：2019年8月29日</w:t>
      </w:r>
    </w:p>
    <w:p w14:paraId="4C3A4B55"/>
    <w:p w14:paraId="55E72D35">
      <w:pPr>
        <w:pStyle w:val="10"/>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tab/>
      </w:r>
      <w:r>
        <w:rPr>
          <w:rFonts w:hint="eastAsia"/>
        </w:rPr>
        <w:t>4</w:t>
      </w:r>
      <w:r>
        <w:rPr>
          <w:rFonts w:hint="eastAsia"/>
        </w:rPr>
        <w:fldChar w:fldCharType="end"/>
      </w:r>
    </w:p>
    <w:p w14:paraId="754301DE">
      <w:pPr>
        <w:pStyle w:val="11"/>
        <w:ind w:left="412"/>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1B21EE50">
      <w:pPr>
        <w:pStyle w:val="11"/>
        <w:ind w:left="412"/>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6E10C98A">
      <w:pPr>
        <w:pStyle w:val="10"/>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14:paraId="39F7CF56">
      <w:pPr>
        <w:pStyle w:val="11"/>
        <w:ind w:left="412"/>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0C901351">
      <w:pPr>
        <w:pStyle w:val="11"/>
        <w:ind w:left="412"/>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5E13A55F">
      <w:pPr>
        <w:pStyle w:val="11"/>
        <w:ind w:left="412"/>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3769C646">
      <w:pPr>
        <w:pStyle w:val="11"/>
        <w:ind w:left="412"/>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2C8A287E">
      <w:pPr>
        <w:pStyle w:val="11"/>
        <w:ind w:left="412"/>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1B646B08">
      <w:pPr>
        <w:pStyle w:val="11"/>
        <w:ind w:left="412"/>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6F5224C6">
      <w:pPr>
        <w:pStyle w:val="11"/>
        <w:ind w:left="412"/>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630FFC5F">
      <w:pPr>
        <w:pStyle w:val="11"/>
        <w:ind w:left="412"/>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5FB52BEB">
      <w:pPr>
        <w:pStyle w:val="11"/>
        <w:ind w:left="412"/>
        <w:rPr>
          <w:rFonts w:ascii="仿宋" w:hAnsi="仿宋" w:eastAsia="仿宋" w:cstheme="minorBidi"/>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2D02103B">
      <w:pPr>
        <w:pStyle w:val="11"/>
        <w:ind w:left="412"/>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248579F1">
      <w:pPr>
        <w:pStyle w:val="10"/>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14:paraId="3748627C">
      <w:pPr>
        <w:pStyle w:val="10"/>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14:paraId="1E4BBF8E">
      <w:pPr>
        <w:pStyle w:val="11"/>
        <w:ind w:left="412"/>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193B41AD">
      <w:pPr>
        <w:pStyle w:val="11"/>
        <w:ind w:left="412"/>
        <w:rPr>
          <w:rFonts w:ascii="仿宋" w:hAnsi="仿宋" w:eastAsia="仿宋" w:cstheme="minorBidi"/>
          <w:sz w:val="28"/>
          <w:szCs w:val="28"/>
        </w:rPr>
      </w:pPr>
      <w:r>
        <w:fldChar w:fldCharType="begin"/>
      </w:r>
      <w:r>
        <w:instrText xml:space="preserve"> HYPERLINK \l "_Toc15396617"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14:paraId="63AFB91D">
      <w:pPr>
        <w:pStyle w:val="10"/>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14:paraId="3DCC1F99">
      <w:pPr>
        <w:pStyle w:val="11"/>
        <w:ind w:left="4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177FF0D">
      <w:pPr>
        <w:pStyle w:val="11"/>
        <w:ind w:left="4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5EAC624">
      <w:pPr>
        <w:pStyle w:val="11"/>
        <w:ind w:left="4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E56C83C">
      <w:pPr>
        <w:pStyle w:val="11"/>
        <w:ind w:left="4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63DA72E">
      <w:pPr>
        <w:pStyle w:val="11"/>
        <w:ind w:left="4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942ECB0">
      <w:pPr>
        <w:pStyle w:val="11"/>
        <w:ind w:left="4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77BB0AC">
      <w:pPr>
        <w:pStyle w:val="11"/>
        <w:ind w:left="4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7CC4698">
      <w:pPr>
        <w:pStyle w:val="11"/>
        <w:ind w:left="4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3BE4F6A">
      <w:pPr>
        <w:pStyle w:val="11"/>
        <w:ind w:left="4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89123FA">
      <w:pPr>
        <w:pStyle w:val="11"/>
        <w:ind w:left="4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C343419">
      <w:pPr>
        <w:pStyle w:val="11"/>
        <w:ind w:left="4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83EF69D">
      <w:pPr>
        <w:pStyle w:val="11"/>
        <w:ind w:left="4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67DB3204">
      <w:pPr>
        <w:pStyle w:val="11"/>
        <w:ind w:left="4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EE02166">
      <w:pPr>
        <w:widowControl/>
        <w:jc w:val="left"/>
        <w:rPr>
          <w:rFonts w:ascii="仿宋" w:hAnsi="仿宋" w:eastAsia="仿宋"/>
          <w:color w:val="000000"/>
          <w:sz w:val="24"/>
        </w:rPr>
      </w:pPr>
      <w:r>
        <w:rPr>
          <w:rFonts w:ascii="仿宋" w:hAnsi="仿宋" w:eastAsia="仿宋"/>
          <w:color w:val="000000"/>
          <w:sz w:val="24"/>
        </w:rPr>
        <w:fldChar w:fldCharType="end"/>
      </w:r>
    </w:p>
    <w:p w14:paraId="27F7732D">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14:paraId="1D71B82D">
      <w:pPr>
        <w:pStyle w:val="2"/>
        <w:jc w:val="center"/>
        <w:rPr>
          <w:rStyle w:val="27"/>
          <w:rFonts w:ascii="黑体" w:hAnsi="黑体" w:eastAsia="黑体"/>
          <w:b/>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1CCCE006">
      <w:pPr>
        <w:widowControl/>
        <w:jc w:val="left"/>
        <w:rPr>
          <w:rFonts w:ascii="黑体" w:eastAsia="黑体"/>
          <w:color w:val="000000"/>
          <w:sz w:val="32"/>
          <w:szCs w:val="32"/>
        </w:rPr>
      </w:pPr>
    </w:p>
    <w:p w14:paraId="7738B483">
      <w:pPr>
        <w:pStyle w:val="3"/>
        <w:rPr>
          <w:rFonts w:ascii="黑体" w:eastAsia="黑体"/>
          <w:color w:val="000000"/>
        </w:rPr>
      </w:pPr>
      <w:bookmarkStart w:id="14" w:name="_Toc15377197"/>
      <w:bookmarkStart w:id="15" w:name="_Toc15396600"/>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14:paraId="6FA60788">
      <w:pPr>
        <w:widowControl/>
        <w:shd w:val="clear" w:color="auto" w:fill="FBFBFB"/>
        <w:spacing w:line="600" w:lineRule="atLeast"/>
        <w:ind w:firstLine="640"/>
        <w:jc w:val="left"/>
        <w:rPr>
          <w:rFonts w:ascii="仿宋_GB2312" w:hAnsi="宋体" w:eastAsia="仿宋_GB2312" w:cs="仿宋_GB2312"/>
          <w:color w:val="333333"/>
          <w:kern w:val="0"/>
          <w:sz w:val="32"/>
          <w:szCs w:val="32"/>
          <w:shd w:val="clear" w:color="auto" w:fill="FBFBFB"/>
        </w:rPr>
      </w:pPr>
      <w:r>
        <w:rPr>
          <w:rFonts w:hint="eastAsia" w:ascii="仿宋_GB2312" w:hAnsi="宋体" w:eastAsia="仿宋_GB2312" w:cs="仿宋_GB2312"/>
          <w:color w:val="333333"/>
          <w:kern w:val="0"/>
          <w:sz w:val="32"/>
          <w:szCs w:val="32"/>
          <w:shd w:val="clear" w:color="auto" w:fill="FBFBFB"/>
        </w:rPr>
        <w:t>县委群众工作局是九寨沟县政府组成部门。根据州委、州政府关于2018年全州工作的总体部署，2018年主要工作职能是:</w:t>
      </w:r>
    </w:p>
    <w:p w14:paraId="7901EC81">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ascii="仿宋_GB2312" w:hAnsi="宋体" w:eastAsia="仿宋_GB2312" w:cs="仿宋_GB2312"/>
          <w:color w:val="333333"/>
          <w:sz w:val="32"/>
          <w:szCs w:val="32"/>
          <w:shd w:val="clear" w:color="auto" w:fill="FBFBFB"/>
        </w:rPr>
        <w:t>1.</w:t>
      </w:r>
      <w:r>
        <w:rPr>
          <w:rFonts w:hint="eastAsia" w:ascii="仿宋_GB2312" w:hAnsi="宋体" w:eastAsia="仿宋_GB2312" w:cs="仿宋_GB2312"/>
          <w:color w:val="333333"/>
          <w:sz w:val="32"/>
          <w:szCs w:val="32"/>
          <w:shd w:val="clear" w:color="auto" w:fill="FBFBFB"/>
        </w:rPr>
        <w:t>贯彻党和国家关于信访工作的方针、政策和规定及《国务院信访工作条例》，分析、研究、调查、汇报信访资料，为领导提供决策依据。</w:t>
      </w:r>
    </w:p>
    <w:p w14:paraId="6427AA5E">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2.负责处理县内外群众、境外人士、法人及其他组织通过信访渠道给县委、县政府及领导同志的来信来电，接待来访；承办州信访局及有关部门转送、交办的群众来信来电来访。</w:t>
      </w:r>
    </w:p>
    <w:p w14:paraId="4A8010E1">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3.负责向县委、县政府反映来信来电来访中提出的重要建议、意见和问题；综合研判信访信息，开展调查研究，提出制定修改完善有关政策的建议。</w:t>
      </w:r>
    </w:p>
    <w:p w14:paraId="448178EC">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4、承担督促检查有关指示件落实情况的责任，拟定信访督查制度并组织实施，承办省、州、县领导同志交办信访事项的落实；向各乡镇和部门转办、交办信访事项；督促检查重要信访事项的处理和落实。</w:t>
      </w:r>
    </w:p>
    <w:p w14:paraId="7F79E556">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5、承担办理县联席办、信访局及有关部门转送、交办的群众信访事项。协调处理到州赴省进京集体访和进京非正常访的问题；综合协调处理跨地区、跨部门的重要信访问题。</w:t>
      </w:r>
    </w:p>
    <w:p w14:paraId="639AF32F">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6、协调指导全县信访工作。研究、起草全县有关信访工作的规范性文件；提出改进和加强信访工作的意见和建议；指导县内各部门的信访工作和乡镇的信访工作。</w:t>
      </w:r>
    </w:p>
    <w:p w14:paraId="32994C6E">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7.制定信访问题排查化解制度并组织实施；建立完善信访动态分析机制，指导全县信访信息系统建设和应用。</w:t>
      </w:r>
    </w:p>
    <w:p w14:paraId="09AF7CC1">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8、承担县信访工作联席会议的日常工作；督促落实会议决定事项。</w:t>
      </w:r>
    </w:p>
    <w:p w14:paraId="7329EADA">
      <w:pPr>
        <w:pStyle w:val="13"/>
        <w:widowControl/>
        <w:shd w:val="clear" w:color="auto" w:fill="FBFBFB"/>
        <w:spacing w:before="0" w:beforeAutospacing="0" w:after="0" w:afterAutospacing="0" w:line="525" w:lineRule="atLeast"/>
        <w:ind w:firstLine="640"/>
        <w:jc w:val="both"/>
        <w:rPr>
          <w:rFonts w:ascii="宋体" w:hAnsi="宋体" w:cs="宋体"/>
          <w:color w:val="333333"/>
          <w:sz w:val="18"/>
          <w:szCs w:val="18"/>
        </w:rPr>
      </w:pPr>
      <w:r>
        <w:rPr>
          <w:rFonts w:hint="eastAsia" w:ascii="仿宋_GB2312" w:hAnsi="宋体" w:eastAsia="仿宋_GB2312" w:cs="仿宋_GB2312"/>
          <w:color w:val="333333"/>
          <w:sz w:val="32"/>
          <w:szCs w:val="32"/>
          <w:shd w:val="clear" w:color="auto" w:fill="FBFBFB"/>
        </w:rPr>
        <w:t>9.负责全县信访工作的宣传和信息发布。</w:t>
      </w:r>
    </w:p>
    <w:p w14:paraId="02981507">
      <w:pPr>
        <w:widowControl/>
        <w:shd w:val="clear" w:color="auto" w:fill="FBFBFB"/>
        <w:ind w:firstLine="640"/>
        <w:jc w:val="left"/>
        <w:rPr>
          <w:rFonts w:ascii="仿宋" w:hAnsi="仿宋" w:eastAsia="仿宋"/>
          <w:bCs/>
          <w:color w:val="000000"/>
          <w:sz w:val="32"/>
          <w:szCs w:val="32"/>
        </w:rPr>
      </w:pPr>
      <w:r>
        <w:rPr>
          <w:rFonts w:hint="eastAsia" w:ascii="仿宋_GB2312" w:hAnsi="宋体" w:eastAsia="仿宋_GB2312" w:cs="仿宋_GB2312"/>
          <w:color w:val="333333"/>
          <w:kern w:val="0"/>
          <w:sz w:val="32"/>
          <w:szCs w:val="32"/>
          <w:shd w:val="clear" w:color="auto" w:fill="FBFBFB"/>
        </w:rPr>
        <w:t>10.承办县委、县政府交办的其他事项。</w:t>
      </w:r>
    </w:p>
    <w:p w14:paraId="75780AF1">
      <w:pPr>
        <w:pStyle w:val="3"/>
        <w:rPr>
          <w:rStyle w:val="28"/>
          <w:b w:val="0"/>
          <w:bCs w:val="0"/>
        </w:rPr>
      </w:pPr>
      <w:bookmarkStart w:id="16" w:name="_Toc15396601"/>
      <w:bookmarkStart w:id="17" w:name="_Toc15377200"/>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16"/>
      <w:bookmarkEnd w:id="17"/>
    </w:p>
    <w:p w14:paraId="44BFB0FC">
      <w:pPr>
        <w:pStyle w:val="5"/>
        <w:adjustRightInd w:val="0"/>
        <w:snapToGrid w:val="0"/>
        <w:spacing w:before="180" w:line="600" w:lineRule="exact"/>
        <w:ind w:firstLine="666" w:firstLineChars="210"/>
        <w:rPr>
          <w:rFonts w:hAnsi="宋体" w:cs="仿宋_GB2312"/>
          <w:color w:val="333333"/>
          <w:sz w:val="32"/>
          <w:szCs w:val="32"/>
          <w:shd w:val="clear" w:color="auto" w:fill="FBFBFB"/>
        </w:rPr>
      </w:pPr>
      <w:bookmarkStart w:id="18" w:name="OLE_LINK1"/>
      <w:r>
        <w:rPr>
          <w:rFonts w:hint="eastAsia" w:hAnsi="宋体" w:cs="仿宋_GB2312"/>
          <w:color w:val="333333"/>
          <w:sz w:val="32"/>
          <w:szCs w:val="32"/>
          <w:shd w:val="clear" w:color="auto" w:fill="FBFBFB"/>
        </w:rPr>
        <w:t>县委群众工作局属于独立核算行政单位。人员编制8名，其中：行政编制4名，事业编制3名，工勤编制1名。内设办公室、督查督办股。</w:t>
      </w:r>
      <w:bookmarkEnd w:id="18"/>
      <w:r>
        <w:rPr>
          <w:rFonts w:hint="eastAsia" w:hAnsi="宋体" w:cs="仿宋_GB2312"/>
          <w:color w:val="333333"/>
          <w:sz w:val="32"/>
          <w:szCs w:val="32"/>
          <w:shd w:val="clear" w:color="auto" w:fill="FBFBFB"/>
        </w:rPr>
        <w:t>下设群众工作中心。</w:t>
      </w:r>
    </w:p>
    <w:p w14:paraId="1D119C39">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503B5D8F">
      <w:pPr>
        <w:pStyle w:val="2"/>
        <w:ind w:right="440"/>
        <w:jc w:val="right"/>
        <w:rPr>
          <w:rStyle w:val="27"/>
          <w:rFonts w:ascii="黑体" w:hAnsi="黑体" w:eastAsia="黑体"/>
          <w:b w:val="0"/>
          <w:bCs w:val="0"/>
        </w:rPr>
      </w:pPr>
      <w:bookmarkStart w:id="19" w:name="_Toc15396602"/>
      <w:bookmarkStart w:id="20"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2018年度部门决算情况说明</w:t>
      </w:r>
      <w:bookmarkEnd w:id="19"/>
      <w:bookmarkEnd w:id="20"/>
    </w:p>
    <w:p w14:paraId="3F1C1360"/>
    <w:p w14:paraId="770AAA8F">
      <w:pPr>
        <w:pStyle w:val="26"/>
        <w:numPr>
          <w:ilvl w:val="0"/>
          <w:numId w:val="1"/>
        </w:numPr>
        <w:spacing w:line="600" w:lineRule="exact"/>
        <w:ind w:firstLineChars="0"/>
        <w:outlineLvl w:val="1"/>
        <w:rPr>
          <w:rStyle w:val="28"/>
          <w:rFonts w:ascii="黑体" w:hAnsi="黑体" w:eastAsia="黑体"/>
          <w:b w:val="0"/>
        </w:rPr>
      </w:pPr>
      <w:bookmarkStart w:id="21" w:name="_Toc15396603"/>
      <w:bookmarkStart w:id="22" w:name="_Toc15377205"/>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1"/>
      <w:bookmarkEnd w:id="22"/>
    </w:p>
    <w:p w14:paraId="78DD3A5D">
      <w:pPr>
        <w:spacing w:line="600" w:lineRule="exact"/>
        <w:ind w:firstLine="634" w:firstLineChars="200"/>
        <w:rPr>
          <w:rFonts w:ascii="仿宋" w:hAnsi="仿宋" w:eastAsia="仿宋"/>
          <w:sz w:val="32"/>
          <w:szCs w:val="32"/>
        </w:rPr>
      </w:pPr>
      <w:r>
        <w:rPr>
          <w:rFonts w:hint="eastAsia" w:ascii="仿宋" w:hAnsi="仿宋" w:eastAsia="仿宋"/>
          <w:color w:val="000000"/>
          <w:sz w:val="32"/>
          <w:szCs w:val="32"/>
        </w:rPr>
        <w:t>2018年度收、支总计331.97万元。与2017年相比，收、支总计增加175.49万元，增长53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sz w:val="32"/>
          <w:szCs w:val="32"/>
        </w:rPr>
        <w:t>主要变动原因：一是2018年是地质灾害多发年，经“8.8”地震发生后，山体稳定性降低，不良地质活动加剧，泥石流、滑坡、崩塌等地质灾害发生频繁。二是我县重点项目若九公路、九绵高速的建设陆续实施。信访工作形势更加严峻，信访量与去年相比上升趋势明显。</w:t>
      </w:r>
    </w:p>
    <w:p w14:paraId="39AFFE69">
      <w:pPr>
        <w:pStyle w:val="26"/>
        <w:numPr>
          <w:ilvl w:val="0"/>
          <w:numId w:val="1"/>
        </w:numPr>
        <w:spacing w:line="600" w:lineRule="exact"/>
        <w:ind w:firstLineChars="0"/>
        <w:outlineLvl w:val="1"/>
        <w:rPr>
          <w:rStyle w:val="28"/>
          <w:rFonts w:ascii="黑体" w:hAnsi="黑体" w:eastAsia="黑体"/>
          <w:b w:val="0"/>
        </w:rPr>
      </w:pPr>
      <w:bookmarkStart w:id="23" w:name="_Toc15396604"/>
      <w:bookmarkStart w:id="24" w:name="_Toc15377206"/>
      <w:r>
        <w:rPr>
          <w:rFonts w:hint="eastAsia" w:ascii="黑体" w:hAnsi="黑体" w:eastAsia="黑体"/>
          <w:color w:val="000000"/>
          <w:sz w:val="32"/>
          <w:szCs w:val="32"/>
        </w:rPr>
        <w:t>收</w:t>
      </w:r>
      <w:r>
        <w:rPr>
          <w:rStyle w:val="28"/>
          <w:rFonts w:hint="eastAsia" w:ascii="黑体" w:hAnsi="黑体" w:eastAsia="黑体"/>
          <w:b w:val="0"/>
        </w:rPr>
        <w:t>入决算情况说明</w:t>
      </w:r>
      <w:bookmarkEnd w:id="23"/>
      <w:bookmarkEnd w:id="24"/>
    </w:p>
    <w:p w14:paraId="304C37CF">
      <w:pPr>
        <w:spacing w:line="600" w:lineRule="exact"/>
        <w:ind w:firstLine="634"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8年本年收入合计257.24万元，其中：一般公共预算财政拨款收入257.24万元，占100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66E7D2FA">
      <w:pPr>
        <w:pStyle w:val="26"/>
        <w:numPr>
          <w:ilvl w:val="0"/>
          <w:numId w:val="1"/>
        </w:numPr>
        <w:spacing w:line="600" w:lineRule="exact"/>
        <w:ind w:firstLineChars="0"/>
        <w:outlineLvl w:val="1"/>
        <w:rPr>
          <w:rStyle w:val="28"/>
          <w:rFonts w:ascii="黑体" w:hAnsi="黑体" w:eastAsia="黑体"/>
          <w:b w:val="0"/>
        </w:rPr>
      </w:pPr>
      <w:bookmarkStart w:id="25" w:name="_Toc15396605"/>
      <w:bookmarkStart w:id="26"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25"/>
      <w:bookmarkEnd w:id="26"/>
    </w:p>
    <w:p w14:paraId="6A46E083">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8年本年支出合计330.47万元，其中：基本支出94.57万元，占29</w:t>
      </w:r>
      <w:r>
        <w:rPr>
          <w:rFonts w:ascii="仿宋" w:hAnsi="仿宋" w:eastAsia="仿宋"/>
          <w:color w:val="000000"/>
          <w:sz w:val="32"/>
          <w:szCs w:val="32"/>
        </w:rPr>
        <w:t>%</w:t>
      </w:r>
      <w:r>
        <w:rPr>
          <w:rFonts w:hint="eastAsia" w:ascii="仿宋" w:hAnsi="仿宋" w:eastAsia="仿宋"/>
          <w:color w:val="000000"/>
          <w:sz w:val="32"/>
          <w:szCs w:val="32"/>
        </w:rPr>
        <w:t>；项目支出235.90万元，占71</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1DB6DF8E">
      <w:pPr>
        <w:spacing w:line="600" w:lineRule="exact"/>
        <w:ind w:firstLine="634" w:firstLineChars="200"/>
        <w:outlineLvl w:val="1"/>
        <w:rPr>
          <w:rStyle w:val="28"/>
          <w:rFonts w:ascii="黑体" w:hAnsi="黑体" w:eastAsia="黑体"/>
          <w:b w:val="0"/>
        </w:rPr>
      </w:pPr>
      <w:bookmarkStart w:id="27" w:name="_Toc15377208"/>
      <w:bookmarkStart w:id="28"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7"/>
      <w:bookmarkEnd w:id="28"/>
    </w:p>
    <w:p w14:paraId="68C8DDFF">
      <w:pPr>
        <w:spacing w:line="600" w:lineRule="exact"/>
        <w:ind w:firstLine="634" w:firstLineChars="200"/>
        <w:rPr>
          <w:rFonts w:ascii="仿宋" w:hAnsi="仿宋" w:eastAsia="仿宋"/>
          <w:color w:val="FF0000"/>
          <w:sz w:val="32"/>
          <w:szCs w:val="32"/>
        </w:rPr>
      </w:pPr>
      <w:r>
        <w:rPr>
          <w:rFonts w:ascii="仿宋" w:hAnsi="仿宋" w:eastAsia="仿宋"/>
          <w:sz w:val="32"/>
          <w:szCs w:val="32"/>
        </w:rPr>
        <w:t>201</w:t>
      </w:r>
      <w:r>
        <w:rPr>
          <w:rFonts w:hint="eastAsia" w:ascii="仿宋" w:hAnsi="仿宋" w:eastAsia="仿宋"/>
          <w:sz w:val="32"/>
          <w:szCs w:val="32"/>
        </w:rPr>
        <w:t>8年财政拨款收、支总计331.97万元。与</w:t>
      </w:r>
      <w:r>
        <w:rPr>
          <w:rFonts w:ascii="仿宋" w:hAnsi="仿宋" w:eastAsia="仿宋"/>
          <w:sz w:val="32"/>
          <w:szCs w:val="32"/>
        </w:rPr>
        <w:t>201</w:t>
      </w:r>
      <w:r>
        <w:rPr>
          <w:rFonts w:hint="eastAsia" w:ascii="仿宋" w:hAnsi="仿宋" w:eastAsia="仿宋"/>
          <w:sz w:val="32"/>
          <w:szCs w:val="32"/>
        </w:rPr>
        <w:t>7年相比，财政拨款收、支总计各增加175.49万元，增长53</w:t>
      </w:r>
      <w:r>
        <w:rPr>
          <w:rFonts w:ascii="仿宋" w:hAnsi="仿宋" w:eastAsia="仿宋"/>
          <w:sz w:val="32"/>
          <w:szCs w:val="32"/>
        </w:rPr>
        <w:t>%</w:t>
      </w:r>
      <w:r>
        <w:rPr>
          <w:rFonts w:hint="eastAsia" w:ascii="仿宋" w:hAnsi="仿宋" w:eastAsia="仿宋"/>
          <w:sz w:val="32"/>
          <w:szCs w:val="32"/>
        </w:rPr>
        <w:t>。主要变动原因：一是2018年是地质灾害多发年，经“8.8”地震发生后，山体稳定性降低，不良地质活动加剧，泥石流、滑坡、崩塌等地质灾害发生频繁。二是我县重点项目若九公路、九绵高速的建设陆续实施。信访工作形势更加严峻，信访量与去年相比上升趋势明显。</w:t>
      </w:r>
    </w:p>
    <w:p w14:paraId="04491F72">
      <w:pPr>
        <w:spacing w:line="600" w:lineRule="exact"/>
        <w:ind w:firstLine="634" w:firstLineChars="200"/>
        <w:outlineLvl w:val="1"/>
        <w:rPr>
          <w:rStyle w:val="28"/>
          <w:rFonts w:ascii="黑体" w:hAnsi="黑体" w:eastAsia="黑体"/>
          <w:b w:val="0"/>
        </w:rPr>
      </w:pPr>
      <w:bookmarkStart w:id="29" w:name="_Toc15377209"/>
      <w:bookmarkStart w:id="30"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29"/>
      <w:bookmarkEnd w:id="30"/>
    </w:p>
    <w:p w14:paraId="5F3EB492">
      <w:pPr>
        <w:spacing w:line="600" w:lineRule="exact"/>
        <w:ind w:firstLine="634" w:firstLineChars="200"/>
        <w:outlineLvl w:val="2"/>
        <w:rPr>
          <w:rFonts w:ascii="仿宋" w:hAnsi="仿宋" w:eastAsia="仿宋"/>
          <w:b/>
          <w:color w:val="000000"/>
          <w:sz w:val="32"/>
          <w:szCs w:val="32"/>
        </w:rPr>
      </w:pPr>
      <w:bookmarkStart w:id="31" w:name="_Toc15377210"/>
      <w:r>
        <w:rPr>
          <w:rFonts w:hint="eastAsia" w:ascii="仿宋" w:hAnsi="仿宋" w:eastAsia="仿宋"/>
          <w:b/>
          <w:color w:val="000000"/>
          <w:sz w:val="32"/>
          <w:szCs w:val="32"/>
        </w:rPr>
        <w:t>（一）一般公共预算财政拨款支出决算总体情况</w:t>
      </w:r>
      <w:bookmarkEnd w:id="31"/>
    </w:p>
    <w:p w14:paraId="3175C102">
      <w:pPr>
        <w:spacing w:line="600" w:lineRule="exact"/>
        <w:ind w:firstLine="634" w:firstLineChars="200"/>
        <w:rPr>
          <w:rFonts w:ascii="仿宋" w:hAnsi="仿宋" w:eastAsia="仿宋"/>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8年一般公共预算财政拨款支出330.47万元，占本年支出合计的100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7年相比，一般公共预算财政拨款增加173.99万元，增长53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sz w:val="32"/>
          <w:szCs w:val="32"/>
        </w:rPr>
        <w:t>主要变动原因：一是2018年是地质灾害多发年，经“8.8”地震发生后，山体稳定性降低，不良地质活动加剧，泥石流、滑坡、崩塌等地质灾害发生频繁。二是我县重点项目若九公路、九绵高速的建设陆续实施。信访工作形势更加严峻，信访量与去年相比上升趋势明显。</w:t>
      </w:r>
    </w:p>
    <w:p w14:paraId="58EA3CCE">
      <w:pPr>
        <w:spacing w:line="600" w:lineRule="exact"/>
        <w:ind w:firstLine="634" w:firstLineChars="200"/>
        <w:outlineLvl w:val="2"/>
        <w:rPr>
          <w:rFonts w:ascii="仿宋" w:hAnsi="仿宋" w:eastAsia="仿宋"/>
          <w:b/>
          <w:sz w:val="32"/>
          <w:szCs w:val="32"/>
        </w:rPr>
      </w:pPr>
      <w:bookmarkStart w:id="32" w:name="_Toc15377211"/>
      <w:r>
        <w:rPr>
          <w:rFonts w:hint="eastAsia" w:ascii="仿宋" w:hAnsi="仿宋" w:eastAsia="仿宋"/>
          <w:b/>
          <w:sz w:val="32"/>
          <w:szCs w:val="32"/>
        </w:rPr>
        <w:t>（二）一般公共预算财政拨款支出决算结构情况</w:t>
      </w:r>
      <w:bookmarkEnd w:id="32"/>
    </w:p>
    <w:p w14:paraId="5356EAD5">
      <w:pPr>
        <w:spacing w:line="600" w:lineRule="exact"/>
        <w:ind w:firstLine="640"/>
        <w:rPr>
          <w:rFonts w:hint="eastAsia" w:ascii="仿宋" w:hAnsi="仿宋" w:eastAsia="仿宋"/>
          <w:color w:val="000000"/>
          <w:sz w:val="32"/>
          <w:szCs w:val="32"/>
        </w:rPr>
      </w:pPr>
      <w:r>
        <w:rPr>
          <w:rFonts w:ascii="仿宋" w:hAnsi="仿宋" w:eastAsia="仿宋"/>
          <w:sz w:val="32"/>
          <w:szCs w:val="32"/>
        </w:rPr>
        <w:t>201</w:t>
      </w:r>
      <w:r>
        <w:rPr>
          <w:rFonts w:hint="eastAsia" w:ascii="仿宋" w:hAnsi="仿宋" w:eastAsia="仿宋"/>
          <w:sz w:val="32"/>
          <w:szCs w:val="32"/>
        </w:rPr>
        <w:t>8年一般</w:t>
      </w:r>
      <w:r>
        <w:rPr>
          <w:rFonts w:hint="eastAsia" w:ascii="仿宋" w:hAnsi="仿宋" w:eastAsia="仿宋"/>
          <w:color w:val="000000"/>
          <w:sz w:val="32"/>
          <w:szCs w:val="32"/>
        </w:rPr>
        <w:t>公共预算财</w:t>
      </w:r>
      <w:r>
        <w:rPr>
          <w:rFonts w:hint="eastAsia" w:ascii="仿宋" w:hAnsi="仿宋" w:eastAsia="仿宋"/>
          <w:color w:val="000000" w:themeColor="text1"/>
          <w:sz w:val="32"/>
          <w:szCs w:val="32"/>
        </w:rPr>
        <w:t>政拨款支出330.47万元，主要用于以下方面</w:t>
      </w:r>
      <w:r>
        <w:rPr>
          <w:rFonts w:ascii="仿宋" w:hAnsi="仿宋" w:eastAsia="仿宋"/>
          <w:color w:val="000000" w:themeColor="text1"/>
          <w:sz w:val="32"/>
          <w:szCs w:val="32"/>
        </w:rPr>
        <w:t>:</w:t>
      </w:r>
      <w:r>
        <w:rPr>
          <w:rFonts w:hint="eastAsia" w:ascii="仿宋" w:hAnsi="仿宋" w:eastAsia="仿宋"/>
          <w:color w:val="000000"/>
          <w:sz w:val="32"/>
          <w:szCs w:val="32"/>
        </w:rPr>
        <w:t>一般公共服务201（类）</w:t>
      </w:r>
      <w:r>
        <w:rPr>
          <w:rFonts w:hint="eastAsia" w:ascii="仿宋" w:hAnsi="仿宋" w:eastAsia="仿宋"/>
          <w:color w:val="000000"/>
          <w:sz w:val="32"/>
          <w:szCs w:val="32"/>
          <w:lang w:val="en-US" w:eastAsia="zh-CN"/>
        </w:rPr>
        <w:t>03</w:t>
      </w:r>
      <w:r>
        <w:rPr>
          <w:rFonts w:hint="eastAsia" w:ascii="仿宋" w:hAnsi="仿宋" w:eastAsia="仿宋"/>
          <w:color w:val="000000"/>
          <w:sz w:val="32"/>
          <w:szCs w:val="32"/>
        </w:rPr>
        <w:t>（款）</w:t>
      </w:r>
      <w:r>
        <w:rPr>
          <w:rFonts w:hint="eastAsia" w:ascii="仿宋" w:hAnsi="仿宋" w:eastAsia="仿宋"/>
          <w:color w:val="000000"/>
          <w:sz w:val="32"/>
          <w:szCs w:val="32"/>
          <w:lang w:val="en-US" w:eastAsia="zh-CN"/>
        </w:rPr>
        <w:t>01、08</w:t>
      </w:r>
      <w:r>
        <w:rPr>
          <w:rFonts w:hint="eastAsia" w:ascii="仿宋" w:hAnsi="仿宋" w:eastAsia="仿宋"/>
          <w:color w:val="000000"/>
          <w:sz w:val="32"/>
          <w:szCs w:val="32"/>
        </w:rPr>
        <w:t>（项）</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支出283.1万元，占86%；公共安全支出204（类）02（款）</w:t>
      </w:r>
      <w:r>
        <w:rPr>
          <w:rFonts w:hint="eastAsia" w:ascii="仿宋" w:hAnsi="仿宋" w:eastAsia="仿宋"/>
          <w:color w:val="000000"/>
          <w:sz w:val="32"/>
          <w:szCs w:val="32"/>
          <w:lang w:val="en-US" w:eastAsia="zh-CN"/>
        </w:rPr>
        <w:t>99</w:t>
      </w:r>
      <w:r>
        <w:rPr>
          <w:rFonts w:hint="eastAsia" w:ascii="仿宋" w:hAnsi="仿宋" w:eastAsia="仿宋"/>
          <w:color w:val="000000"/>
          <w:sz w:val="32"/>
          <w:szCs w:val="32"/>
        </w:rPr>
        <w:t>（项）</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30万元，占9%；社会保障和就业</w:t>
      </w:r>
      <w:r>
        <w:rPr>
          <w:rFonts w:hint="eastAsia" w:ascii="仿宋" w:hAnsi="仿宋" w:eastAsia="仿宋"/>
          <w:color w:val="000000"/>
          <w:sz w:val="32"/>
          <w:szCs w:val="32"/>
          <w:lang w:val="en-US" w:eastAsia="zh-CN"/>
        </w:rPr>
        <w:t>208</w:t>
      </w:r>
      <w:r>
        <w:rPr>
          <w:rFonts w:hint="eastAsia" w:ascii="仿宋" w:hAnsi="仿宋" w:eastAsia="仿宋"/>
          <w:color w:val="000000"/>
          <w:sz w:val="32"/>
          <w:szCs w:val="32"/>
        </w:rPr>
        <w:t>（类）</w:t>
      </w:r>
      <w:r>
        <w:rPr>
          <w:rFonts w:hint="eastAsia" w:ascii="仿宋" w:hAnsi="仿宋" w:eastAsia="仿宋"/>
          <w:color w:val="000000"/>
          <w:sz w:val="32"/>
          <w:szCs w:val="32"/>
          <w:lang w:val="en-US" w:eastAsia="zh-CN"/>
        </w:rPr>
        <w:t>05</w:t>
      </w:r>
      <w:r>
        <w:rPr>
          <w:rFonts w:hint="eastAsia" w:ascii="仿宋" w:hAnsi="仿宋" w:eastAsia="仿宋"/>
          <w:color w:val="000000"/>
          <w:sz w:val="32"/>
          <w:szCs w:val="32"/>
        </w:rPr>
        <w:t>（款）05（项）</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支出6.54万元，占1.9%；医疗卫生与计划生育支出</w:t>
      </w:r>
      <w:r>
        <w:rPr>
          <w:rFonts w:hint="eastAsia" w:ascii="仿宋" w:hAnsi="仿宋" w:eastAsia="仿宋"/>
          <w:color w:val="000000"/>
          <w:sz w:val="32"/>
          <w:szCs w:val="32"/>
          <w:lang w:val="en-US" w:eastAsia="zh-CN"/>
        </w:rPr>
        <w:t>210</w:t>
      </w:r>
      <w:r>
        <w:rPr>
          <w:rFonts w:hint="eastAsia" w:ascii="仿宋" w:hAnsi="仿宋" w:eastAsia="仿宋"/>
          <w:color w:val="000000"/>
          <w:sz w:val="32"/>
          <w:szCs w:val="32"/>
        </w:rPr>
        <w:t>（类）</w:t>
      </w:r>
      <w:r>
        <w:rPr>
          <w:rFonts w:hint="eastAsia" w:ascii="仿宋" w:hAnsi="仿宋" w:eastAsia="仿宋"/>
          <w:color w:val="000000"/>
          <w:sz w:val="32"/>
          <w:szCs w:val="32"/>
          <w:lang w:val="en-US" w:eastAsia="zh-CN"/>
        </w:rPr>
        <w:t>11</w:t>
      </w:r>
      <w:r>
        <w:rPr>
          <w:rFonts w:hint="eastAsia" w:ascii="仿宋" w:hAnsi="仿宋" w:eastAsia="仿宋"/>
          <w:color w:val="000000"/>
          <w:sz w:val="32"/>
          <w:szCs w:val="32"/>
        </w:rPr>
        <w:t>（款）</w:t>
      </w:r>
      <w:r>
        <w:rPr>
          <w:rFonts w:hint="eastAsia" w:ascii="仿宋" w:hAnsi="仿宋" w:eastAsia="仿宋"/>
          <w:color w:val="000000"/>
          <w:sz w:val="32"/>
          <w:szCs w:val="32"/>
          <w:lang w:val="en-US" w:eastAsia="zh-CN"/>
        </w:rPr>
        <w:t>01、03、99</w:t>
      </w:r>
      <w:r>
        <w:rPr>
          <w:rFonts w:hint="eastAsia" w:ascii="仿宋" w:hAnsi="仿宋" w:eastAsia="仿宋"/>
          <w:color w:val="000000"/>
          <w:sz w:val="32"/>
          <w:szCs w:val="32"/>
        </w:rPr>
        <w:t>（项）</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支出5.22万元，占1.5%；住房保障</w:t>
      </w:r>
      <w:r>
        <w:rPr>
          <w:rFonts w:hint="eastAsia" w:ascii="仿宋" w:hAnsi="仿宋" w:eastAsia="仿宋"/>
          <w:color w:val="000000"/>
          <w:sz w:val="32"/>
          <w:szCs w:val="32"/>
          <w:lang w:val="en-US" w:eastAsia="zh-CN"/>
        </w:rPr>
        <w:t>221</w:t>
      </w:r>
      <w:r>
        <w:rPr>
          <w:rFonts w:hint="eastAsia" w:ascii="仿宋" w:hAnsi="仿宋" w:eastAsia="仿宋"/>
          <w:color w:val="000000"/>
          <w:sz w:val="32"/>
          <w:szCs w:val="32"/>
        </w:rPr>
        <w:t>（类）</w:t>
      </w:r>
      <w:r>
        <w:rPr>
          <w:rFonts w:hint="eastAsia" w:ascii="仿宋" w:hAnsi="仿宋" w:eastAsia="仿宋"/>
          <w:color w:val="000000"/>
          <w:sz w:val="32"/>
          <w:szCs w:val="32"/>
          <w:lang w:val="en-US" w:eastAsia="zh-CN"/>
        </w:rPr>
        <w:t>02</w:t>
      </w:r>
      <w:r>
        <w:rPr>
          <w:rFonts w:hint="eastAsia" w:ascii="仿宋" w:hAnsi="仿宋" w:eastAsia="仿宋"/>
          <w:color w:val="000000"/>
          <w:sz w:val="32"/>
          <w:szCs w:val="32"/>
        </w:rPr>
        <w:t>（款）</w:t>
      </w:r>
      <w:r>
        <w:rPr>
          <w:rFonts w:hint="eastAsia" w:ascii="仿宋" w:hAnsi="仿宋" w:eastAsia="仿宋"/>
          <w:color w:val="000000"/>
          <w:sz w:val="32"/>
          <w:szCs w:val="32"/>
          <w:lang w:val="en-US" w:eastAsia="zh-CN"/>
        </w:rPr>
        <w:t>01</w:t>
      </w:r>
      <w:r>
        <w:rPr>
          <w:rFonts w:hint="eastAsia" w:ascii="仿宋" w:hAnsi="仿宋" w:eastAsia="仿宋"/>
          <w:color w:val="000000"/>
          <w:sz w:val="32"/>
          <w:szCs w:val="32"/>
        </w:rPr>
        <w:t>（项）</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支出5.61万元，占1.6%。</w:t>
      </w:r>
    </w:p>
    <w:p w14:paraId="70631269">
      <w:pPr>
        <w:spacing w:line="600" w:lineRule="exact"/>
        <w:ind w:firstLine="634" w:firstLineChars="200"/>
        <w:outlineLvl w:val="2"/>
        <w:rPr>
          <w:rFonts w:ascii="仿宋" w:hAnsi="仿宋" w:eastAsia="仿宋"/>
          <w:b/>
          <w:color w:val="000000"/>
          <w:sz w:val="32"/>
          <w:szCs w:val="32"/>
        </w:rPr>
      </w:pPr>
      <w:bookmarkStart w:id="33" w:name="_Toc15377212"/>
      <w:r>
        <w:rPr>
          <w:rFonts w:hint="eastAsia" w:ascii="仿宋" w:hAnsi="仿宋" w:eastAsia="仿宋"/>
          <w:b/>
          <w:color w:val="000000"/>
          <w:sz w:val="32"/>
          <w:szCs w:val="32"/>
        </w:rPr>
        <w:t>（三）一般公共预算财政拨款支出决算具体情况</w:t>
      </w:r>
      <w:bookmarkEnd w:id="33"/>
    </w:p>
    <w:p w14:paraId="72719FA2">
      <w:pPr>
        <w:spacing w:line="600" w:lineRule="exact"/>
        <w:ind w:firstLine="634" w:firstLineChars="200"/>
        <w:outlineLvl w:val="2"/>
        <w:rPr>
          <w:rFonts w:ascii="仿宋" w:hAnsi="仿宋" w:eastAsia="仿宋"/>
          <w:color w:val="FF0000"/>
          <w:sz w:val="32"/>
          <w:szCs w:val="32"/>
        </w:rPr>
      </w:pPr>
      <w:bookmarkStart w:id="34" w:name="_Toc15377213"/>
      <w:bookmarkStart w:id="35" w:name="_Toc15378460"/>
      <w:bookmarkStart w:id="36" w:name="_Toc15377444"/>
      <w:r>
        <w:rPr>
          <w:rFonts w:hint="eastAsia" w:ascii="仿宋" w:hAnsi="仿宋" w:eastAsia="仿宋"/>
          <w:b/>
          <w:color w:val="000000" w:themeColor="text1"/>
          <w:sz w:val="32"/>
          <w:szCs w:val="32"/>
        </w:rPr>
        <w:t>2018年般公共预算支出决算数为330.47</w:t>
      </w:r>
      <w:r>
        <w:rPr>
          <w:rFonts w:hint="eastAsia" w:ascii="仿宋" w:hAnsi="仿宋" w:eastAsia="仿宋"/>
          <w:color w:val="000000" w:themeColor="text1"/>
          <w:sz w:val="32"/>
          <w:szCs w:val="32"/>
        </w:rPr>
        <w:t>，</w:t>
      </w:r>
      <w:r>
        <w:rPr>
          <w:rStyle w:val="16"/>
          <w:rFonts w:hint="eastAsia" w:ascii="仿宋" w:hAnsi="仿宋" w:eastAsia="仿宋"/>
          <w:bCs/>
          <w:color w:val="000000" w:themeColor="text1"/>
          <w:sz w:val="32"/>
          <w:szCs w:val="32"/>
        </w:rPr>
        <w:t>完成</w:t>
      </w:r>
      <w:r>
        <w:rPr>
          <w:rStyle w:val="16"/>
          <w:rFonts w:hint="eastAsia" w:ascii="仿宋" w:hAnsi="仿宋" w:eastAsia="仿宋"/>
          <w:bCs/>
          <w:color w:val="000000"/>
          <w:sz w:val="32"/>
          <w:szCs w:val="32"/>
        </w:rPr>
        <w:t>预算99.5</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4"/>
      <w:bookmarkEnd w:id="35"/>
      <w:bookmarkEnd w:id="36"/>
    </w:p>
    <w:p w14:paraId="69FD6A78">
      <w:pP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w:t>
      </w:r>
      <w:r>
        <w:rPr>
          <w:rStyle w:val="16"/>
          <w:rFonts w:hint="eastAsia" w:ascii="仿宋" w:hAnsi="仿宋" w:eastAsia="仿宋"/>
          <w:bCs/>
          <w:color w:val="000000"/>
          <w:sz w:val="32"/>
          <w:szCs w:val="32"/>
          <w:lang w:val="en-US" w:eastAsia="zh-CN"/>
        </w:rPr>
        <w:t>201</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03</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01、08</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支出决算为283.1万元，完成预算100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18CC7761">
      <w:pP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公共安全支出</w:t>
      </w:r>
      <w:r>
        <w:rPr>
          <w:rStyle w:val="16"/>
          <w:rFonts w:hint="eastAsia" w:ascii="仿宋" w:hAnsi="仿宋" w:eastAsia="仿宋"/>
          <w:bCs/>
          <w:color w:val="000000"/>
          <w:sz w:val="32"/>
          <w:szCs w:val="32"/>
          <w:lang w:val="en-US" w:eastAsia="zh-CN"/>
        </w:rPr>
        <w:t>204</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支出决算为30万元，完成预算95</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，决算数小于预算数的主要原因是年末财政拨款结转和结余占5%。</w:t>
      </w:r>
    </w:p>
    <w:p w14:paraId="4FB8071A">
      <w:pP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3.</w:t>
      </w:r>
      <w:r>
        <w:rPr>
          <w:rStyle w:val="16"/>
          <w:rFonts w:hint="eastAsia" w:ascii="仿宋" w:hAnsi="仿宋" w:eastAsia="仿宋"/>
          <w:bCs/>
          <w:color w:val="000000"/>
          <w:sz w:val="32"/>
          <w:szCs w:val="32"/>
        </w:rPr>
        <w:t>社会保障和就业支出</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（款）05（项）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支出决算为6.54万元，完成预算100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546C8078">
      <w:pP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4.</w:t>
      </w:r>
      <w:r>
        <w:rPr>
          <w:rStyle w:val="16"/>
          <w:rFonts w:hint="eastAsia" w:ascii="仿宋" w:hAnsi="仿宋" w:eastAsia="仿宋"/>
          <w:bCs/>
          <w:color w:val="000000"/>
          <w:sz w:val="32"/>
          <w:szCs w:val="32"/>
        </w:rPr>
        <w:t>医疗卫生与计划生育支出</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01、03、99</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支出决算为5.22万元，完成预算100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7B42268A">
      <w:pPr>
        <w:spacing w:line="600" w:lineRule="exact"/>
        <w:ind w:firstLine="634" w:firstLineChars="200"/>
        <w:rPr>
          <w:rFonts w:ascii="仿宋" w:hAnsi="仿宋" w:eastAsia="仿宋"/>
          <w:b/>
          <w:color w:val="000000"/>
          <w:sz w:val="32"/>
          <w:szCs w:val="32"/>
        </w:rPr>
      </w:pPr>
      <w:r>
        <w:rPr>
          <w:rStyle w:val="16"/>
          <w:rFonts w:ascii="仿宋" w:hAnsi="仿宋" w:eastAsia="仿宋"/>
          <w:bCs/>
          <w:color w:val="000000"/>
          <w:sz w:val="32"/>
          <w:szCs w:val="32"/>
        </w:rPr>
        <w:t>5.</w:t>
      </w:r>
      <w:r>
        <w:rPr>
          <w:rStyle w:val="16"/>
          <w:rFonts w:hint="eastAsia" w:ascii="仿宋" w:hAnsi="仿宋" w:eastAsia="仿宋"/>
          <w:bCs/>
          <w:color w:val="000000"/>
          <w:sz w:val="32"/>
          <w:szCs w:val="32"/>
        </w:rPr>
        <w:t>住房保障支出</w:t>
      </w:r>
      <w:r>
        <w:rPr>
          <w:rStyle w:val="16"/>
          <w:rFonts w:hint="eastAsia" w:ascii="仿宋" w:hAnsi="仿宋" w:eastAsia="仿宋"/>
          <w:bCs/>
          <w:color w:val="000000"/>
          <w:sz w:val="32"/>
          <w:szCs w:val="32"/>
          <w:lang w:val="en-US" w:eastAsia="zh-CN"/>
        </w:rPr>
        <w:t>221</w:t>
      </w:r>
      <w:r>
        <w:rPr>
          <w:rStyle w:val="16"/>
          <w:rFonts w:hint="eastAsia" w:ascii="仿宋" w:hAnsi="仿宋" w:eastAsia="仿宋"/>
          <w:bCs/>
          <w:color w:val="000000"/>
          <w:sz w:val="32"/>
          <w:szCs w:val="32"/>
        </w:rPr>
        <w:t>（类）</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（款）</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支出决算为5.61万元，完成预算100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3296B86D">
      <w:pPr>
        <w:tabs>
          <w:tab w:val="right" w:pos="8306"/>
        </w:tabs>
        <w:spacing w:line="600" w:lineRule="exact"/>
        <w:ind w:firstLine="640"/>
        <w:outlineLvl w:val="1"/>
        <w:rPr>
          <w:rStyle w:val="28"/>
        </w:rPr>
      </w:pPr>
      <w:bookmarkStart w:id="37" w:name="_Toc15377214"/>
      <w:bookmarkStart w:id="38"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7"/>
      <w:bookmarkEnd w:id="38"/>
      <w:r>
        <w:rPr>
          <w:rStyle w:val="28"/>
          <w:rFonts w:ascii="黑体" w:hAnsi="黑体" w:eastAsia="黑体"/>
          <w:b w:val="0"/>
        </w:rPr>
        <w:tab/>
      </w:r>
    </w:p>
    <w:p w14:paraId="1C7420FF">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94.57万元，其中：人员经费76.84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17.73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04DF7B66">
      <w:pPr>
        <w:spacing w:line="600" w:lineRule="exact"/>
        <w:ind w:firstLine="640"/>
        <w:outlineLvl w:val="1"/>
        <w:rPr>
          <w:rStyle w:val="28"/>
          <w:rFonts w:ascii="黑体" w:hAnsi="黑体" w:eastAsia="黑体"/>
          <w:b w:val="0"/>
        </w:rPr>
      </w:pPr>
      <w:bookmarkStart w:id="39" w:name="_Toc15396609"/>
      <w:bookmarkStart w:id="40" w:name="_Toc15377215"/>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39"/>
      <w:bookmarkEnd w:id="40"/>
    </w:p>
    <w:p w14:paraId="0BB7F851">
      <w:pPr>
        <w:spacing w:line="600" w:lineRule="exact"/>
        <w:ind w:firstLine="640"/>
        <w:outlineLvl w:val="2"/>
        <w:rPr>
          <w:rFonts w:ascii="仿宋" w:hAnsi="仿宋" w:eastAsia="仿宋"/>
          <w:b/>
          <w:color w:val="000000"/>
          <w:sz w:val="32"/>
          <w:szCs w:val="32"/>
        </w:rPr>
      </w:pPr>
      <w:bookmarkStart w:id="41" w:name="_Toc15377216"/>
      <w:r>
        <w:rPr>
          <w:rFonts w:hint="eastAsia" w:ascii="仿宋" w:hAnsi="仿宋" w:eastAsia="仿宋"/>
          <w:b/>
          <w:color w:val="000000"/>
          <w:sz w:val="32"/>
          <w:szCs w:val="32"/>
        </w:rPr>
        <w:t>（一）“三公”经费财政拨款支出决算总体情况说明</w:t>
      </w:r>
      <w:bookmarkEnd w:id="41"/>
    </w:p>
    <w:p w14:paraId="26AC478B">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8年“三公”经费财政拨款支出决算为8.54万元，完成预算100</w:t>
      </w:r>
      <w:r>
        <w:rPr>
          <w:rFonts w:ascii="仿宋" w:hAnsi="仿宋" w:eastAsia="仿宋"/>
          <w:color w:val="000000"/>
          <w:sz w:val="32"/>
          <w:szCs w:val="32"/>
        </w:rPr>
        <w:t>%</w:t>
      </w:r>
      <w:r>
        <w:rPr>
          <w:rFonts w:hint="eastAsia" w:ascii="仿宋" w:hAnsi="仿宋" w:eastAsia="仿宋"/>
          <w:color w:val="000000"/>
          <w:sz w:val="32"/>
          <w:szCs w:val="32"/>
        </w:rPr>
        <w:t>。</w:t>
      </w:r>
    </w:p>
    <w:p w14:paraId="2C76088D">
      <w:pPr>
        <w:spacing w:line="600" w:lineRule="exact"/>
        <w:ind w:firstLine="640"/>
        <w:outlineLvl w:val="2"/>
        <w:rPr>
          <w:rFonts w:ascii="仿宋" w:hAnsi="仿宋" w:eastAsia="仿宋"/>
          <w:b/>
          <w:color w:val="000000"/>
          <w:sz w:val="32"/>
          <w:szCs w:val="32"/>
        </w:rPr>
      </w:pPr>
      <w:bookmarkStart w:id="42" w:name="_Toc15377217"/>
      <w:r>
        <w:rPr>
          <w:rFonts w:hint="eastAsia" w:ascii="仿宋" w:hAnsi="仿宋" w:eastAsia="仿宋"/>
          <w:b/>
          <w:color w:val="000000"/>
          <w:sz w:val="32"/>
          <w:szCs w:val="32"/>
        </w:rPr>
        <w:t>（二）“三公”经费财政拨款支出决算具体情况说明</w:t>
      </w:r>
      <w:bookmarkEnd w:id="42"/>
    </w:p>
    <w:p w14:paraId="301F8671">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；公务用车购置及运行维护费支出决算8.54万元，占100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6ADAB49E">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14:paraId="32E49E91">
      <w:pPr>
        <w:spacing w:line="600" w:lineRule="exact"/>
        <w:ind w:firstLine="634"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8.54万元,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7年增加3.04万元，增长36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 w:hAnsi="仿宋" w:eastAsia="仿宋"/>
          <w:sz w:val="32"/>
          <w:szCs w:val="32"/>
        </w:rPr>
        <w:t>主要变动原因：一是2018年是地质灾害多发年，经“8.8”地震发生后，山体稳定性降低，不良地质活动加剧，泥石流、滑坡、崩塌等地质灾害发生频繁。二是我县重点项目若九公路、九绵高速的建设陆续实施。信访工作形势更加严峻，信访量与去年相比上升趋势明显。</w:t>
      </w:r>
    </w:p>
    <w:p w14:paraId="443F7E5F">
      <w:pPr>
        <w:spacing w:line="600" w:lineRule="exact"/>
        <w:ind w:firstLine="634"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w:t>
      </w:r>
    </w:p>
    <w:p w14:paraId="3A63ABC7">
      <w:pPr>
        <w:widowControl/>
        <w:shd w:val="clear" w:color="auto" w:fill="FBFBFB"/>
        <w:spacing w:line="600" w:lineRule="atLeast"/>
        <w:ind w:firstLine="640"/>
        <w:jc w:val="left"/>
        <w:rPr>
          <w:rFonts w:ascii="仿宋_GB2312" w:hAnsi="宋体" w:eastAsia="仿宋_GB2312" w:cs="仿宋_GB2312"/>
          <w:color w:val="333333"/>
          <w:kern w:val="0"/>
          <w:sz w:val="32"/>
          <w:szCs w:val="32"/>
          <w:shd w:val="clear" w:color="auto" w:fill="FBFBFB"/>
          <w:lang w:bidi="ar"/>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8.54万元。主要</w:t>
      </w:r>
      <w:r>
        <w:rPr>
          <w:rFonts w:hint="eastAsia" w:ascii="仿宋_GB2312" w:hAnsi="宋体" w:eastAsia="仿宋_GB2312" w:cs="仿宋_GB2312"/>
          <w:color w:val="333333"/>
          <w:kern w:val="0"/>
          <w:sz w:val="32"/>
          <w:szCs w:val="32"/>
          <w:shd w:val="clear" w:color="auto" w:fill="FBFBFB"/>
          <w:lang w:bidi="ar"/>
        </w:rPr>
        <w:t>用于车辆出差、下乡等所需的公务用车燃料费、维修费、过路过桥费、停车洗车费、保险费等支出。</w:t>
      </w:r>
    </w:p>
    <w:p w14:paraId="363FDF0B">
      <w:pPr>
        <w:spacing w:line="600" w:lineRule="exact"/>
        <w:ind w:firstLine="640"/>
        <w:rPr>
          <w:rFonts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bookmarkStart w:id="43" w:name="_Toc15396610"/>
      <w:bookmarkStart w:id="44" w:name="_Toc15377218"/>
    </w:p>
    <w:p w14:paraId="5756C129">
      <w:pPr>
        <w:spacing w:line="600" w:lineRule="exact"/>
        <w:ind w:firstLine="64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3"/>
      <w:bookmarkEnd w:id="44"/>
    </w:p>
    <w:p w14:paraId="1B29E2DF">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14:paraId="700DB3AC">
      <w:pPr>
        <w:numPr>
          <w:ilvl w:val="0"/>
          <w:numId w:val="2"/>
        </w:numPr>
        <w:spacing w:line="600" w:lineRule="exact"/>
        <w:ind w:firstLine="640"/>
        <w:outlineLvl w:val="1"/>
        <w:rPr>
          <w:rStyle w:val="28"/>
          <w:rFonts w:ascii="黑体" w:hAnsi="黑体" w:eastAsia="黑体"/>
          <w:b w:val="0"/>
        </w:rPr>
      </w:pPr>
      <w:bookmarkStart w:id="45" w:name="_Toc15377219"/>
      <w:bookmarkStart w:id="46" w:name="_Toc15396611"/>
      <w:r>
        <w:rPr>
          <w:rStyle w:val="28"/>
          <w:rFonts w:hint="eastAsia" w:ascii="黑体" w:hAnsi="黑体" w:eastAsia="黑体"/>
          <w:b w:val="0"/>
        </w:rPr>
        <w:t>国有资本经营预算支出决算情况说明</w:t>
      </w:r>
      <w:bookmarkEnd w:id="45"/>
      <w:bookmarkEnd w:id="46"/>
    </w:p>
    <w:p w14:paraId="1DC704BA">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14:paraId="20C14E6D">
      <w:pPr>
        <w:pStyle w:val="26"/>
        <w:numPr>
          <w:ilvl w:val="0"/>
          <w:numId w:val="3"/>
        </w:numPr>
        <w:spacing w:line="580" w:lineRule="exact"/>
        <w:ind w:firstLineChars="0"/>
        <w:rPr>
          <w:rStyle w:val="28"/>
          <w:rFonts w:ascii="黑体" w:hAnsi="黑体" w:eastAsia="黑体"/>
          <w:b w:val="0"/>
        </w:rPr>
      </w:pPr>
      <w:r>
        <w:rPr>
          <w:rStyle w:val="28"/>
          <w:rFonts w:hint="eastAsia" w:ascii="黑体" w:hAnsi="黑体" w:eastAsia="黑体"/>
          <w:b w:val="0"/>
        </w:rPr>
        <w:t>预算绩效情况说明</w:t>
      </w:r>
    </w:p>
    <w:p w14:paraId="74FF8142">
      <w:pPr>
        <w:spacing w:line="440" w:lineRule="exact"/>
        <w:ind w:firstLine="554" w:firstLineChars="200"/>
        <w:rPr>
          <w:rFonts w:ascii="黑体" w:hAnsi="黑体" w:eastAsia="黑体" w:cs="黑体"/>
          <w:bCs/>
          <w:sz w:val="28"/>
          <w:szCs w:val="28"/>
        </w:rPr>
      </w:pPr>
      <w:r>
        <w:rPr>
          <w:rFonts w:hint="eastAsia" w:ascii="黑体" w:hAnsi="黑体" w:eastAsia="黑体" w:cs="黑体"/>
          <w:bCs/>
          <w:sz w:val="28"/>
          <w:szCs w:val="28"/>
        </w:rPr>
        <w:t>一、部门（单位）整体支出绩效情况</w:t>
      </w:r>
    </w:p>
    <w:p w14:paraId="2A760F71">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从整体情况来看，我局严格按照年初预算进行部门整体支出。在支出过程中，能严格遵守各项规章制度，</w:t>
      </w:r>
      <w:r>
        <w:rPr>
          <w:rFonts w:hint="eastAsia" w:ascii="仿宋_GB2312" w:eastAsia="仿宋_GB2312"/>
          <w:color w:val="000000"/>
          <w:sz w:val="32"/>
          <w:szCs w:val="32"/>
          <w:lang w:eastAsia="zh-CN"/>
        </w:rPr>
        <w:t>“三公”经费</w:t>
      </w:r>
      <w:r>
        <w:rPr>
          <w:rFonts w:hint="eastAsia" w:ascii="仿宋_GB2312" w:eastAsia="仿宋_GB2312"/>
          <w:color w:val="000000"/>
          <w:sz w:val="32"/>
          <w:szCs w:val="32"/>
        </w:rPr>
        <w:t>从严管理，认真执行财经制度。所有项目都详细制定了方案，严格按方案组织实施，并加强了监督。尤其是在专项经费支出上，按项目实施计划的进度情况进行资金拨付，无截留、无挪用等现象。我局一直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14:paraId="782D3DE7">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制度和程序，“三公”经费较好地控制在预算范围之内。</w:t>
      </w:r>
    </w:p>
    <w:p w14:paraId="4F4BD5E9">
      <w:pPr>
        <w:spacing w:line="440" w:lineRule="exact"/>
        <w:ind w:firstLine="554" w:firstLineChars="200"/>
        <w:rPr>
          <w:rFonts w:ascii="黑体" w:hAnsi="黑体" w:eastAsia="黑体" w:cs="黑体"/>
          <w:bCs/>
          <w:sz w:val="28"/>
          <w:szCs w:val="28"/>
        </w:rPr>
      </w:pPr>
      <w:r>
        <w:rPr>
          <w:rFonts w:hint="eastAsia" w:ascii="黑体" w:hAnsi="黑体" w:eastAsia="黑体" w:cs="黑体"/>
          <w:bCs/>
          <w:sz w:val="28"/>
          <w:szCs w:val="28"/>
        </w:rPr>
        <w:t>二、存在的主要问题</w:t>
      </w:r>
    </w:p>
    <w:p w14:paraId="037992FC">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1、资金使用计划需进一步细化。</w:t>
      </w:r>
    </w:p>
    <w:p w14:paraId="0479FB5F">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2、财政预算资金到位有点迟缓，各项目经费支付不能及时到位。</w:t>
      </w:r>
    </w:p>
    <w:p w14:paraId="6F74FBE7">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3、财务人员专业技能还需进一步提升。</w:t>
      </w:r>
    </w:p>
    <w:p w14:paraId="7CF9214F">
      <w:pPr>
        <w:spacing w:line="440" w:lineRule="exact"/>
        <w:ind w:firstLine="554" w:firstLineChars="200"/>
        <w:rPr>
          <w:rFonts w:ascii="黑体" w:hAnsi="黑体" w:eastAsia="黑体" w:cs="黑体"/>
          <w:bCs/>
          <w:sz w:val="28"/>
          <w:szCs w:val="28"/>
        </w:rPr>
      </w:pPr>
      <w:r>
        <w:rPr>
          <w:rFonts w:hint="eastAsia" w:ascii="黑体" w:hAnsi="黑体" w:eastAsia="黑体" w:cs="黑体"/>
          <w:bCs/>
          <w:sz w:val="28"/>
          <w:szCs w:val="28"/>
        </w:rPr>
        <w:t>三、改进措施和有关建议</w:t>
      </w:r>
    </w:p>
    <w:p w14:paraId="3A7CD5AD">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1、进一步细化预算编制工作，认真做好预算的编制。进一步加强单位内部机构各股室的预算管理意识，严格按照预算编制的相关制度和要求进行预算编制。</w:t>
      </w:r>
    </w:p>
    <w:p w14:paraId="33EAD921">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14:paraId="75D079D2">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3、完善资产管理，抓好“三公”经费控制。严格编制政府采购年初预算和计划，规范各类资产的购置审批制度、资产采购制度、使用管理制度、资产处置和报废审批制度，加强单位内部的资产管理工作。严格控制“三公”经费的规模和比例，把关“三公”经费支出的审核、审批，杜绝挪用和挤占其他预算资金行为；进一步细化“三公”经费的管理，合理压缩“三公”经费支出。</w:t>
      </w:r>
    </w:p>
    <w:p w14:paraId="72372365">
      <w:pPr>
        <w:spacing w:line="600" w:lineRule="exact"/>
        <w:ind w:firstLine="634" w:firstLineChars="200"/>
        <w:rPr>
          <w:rFonts w:ascii="仿宋_GB2312" w:eastAsia="仿宋_GB2312"/>
          <w:color w:val="000000"/>
          <w:sz w:val="32"/>
          <w:szCs w:val="32"/>
        </w:rPr>
      </w:pPr>
      <w:r>
        <w:rPr>
          <w:rFonts w:hint="eastAsia" w:ascii="仿宋_GB2312" w:eastAsia="仿宋_GB2312"/>
          <w:color w:val="000000"/>
          <w:sz w:val="32"/>
          <w:szCs w:val="32"/>
        </w:rPr>
        <w:t>建议对相关人员加强培训，特别是针对《预算法》、《行政事业单位会计制度》等学习培训，规范部门预算收支核算，切实提高部门预算收支管理水平。</w:t>
      </w:r>
    </w:p>
    <w:p w14:paraId="0C57AAD4">
      <w:pPr>
        <w:spacing w:line="600" w:lineRule="exact"/>
        <w:ind w:firstLine="793" w:firstLineChars="250"/>
        <w:outlineLvl w:val="1"/>
        <w:rPr>
          <w:rStyle w:val="28"/>
          <w:rFonts w:ascii="黑体" w:hAnsi="黑体" w:eastAsia="黑体"/>
        </w:rPr>
      </w:pPr>
      <w:bookmarkStart w:id="47" w:name="_Toc15377221"/>
      <w:bookmarkStart w:id="48" w:name="_Toc15396612"/>
      <w:r>
        <w:rPr>
          <w:rFonts w:hint="eastAsia" w:ascii="黑体" w:hAnsi="黑体" w:eastAsia="黑体"/>
          <w:color w:val="000000"/>
          <w:sz w:val="32"/>
          <w:szCs w:val="32"/>
        </w:rPr>
        <w:t>十</w:t>
      </w:r>
      <w:r>
        <w:rPr>
          <w:rStyle w:val="28"/>
          <w:rFonts w:hint="eastAsia" w:ascii="黑体" w:hAnsi="黑体" w:eastAsia="黑体"/>
        </w:rPr>
        <w:t>一、</w:t>
      </w:r>
      <w:r>
        <w:rPr>
          <w:rStyle w:val="28"/>
          <w:rFonts w:hint="eastAsia" w:ascii="黑体" w:hAnsi="黑体" w:eastAsia="黑体"/>
          <w:b w:val="0"/>
        </w:rPr>
        <w:t>其他重要事项的情况说明</w:t>
      </w:r>
      <w:bookmarkEnd w:id="47"/>
      <w:bookmarkEnd w:id="48"/>
    </w:p>
    <w:p w14:paraId="425E37CB">
      <w:pPr>
        <w:spacing w:line="600" w:lineRule="exact"/>
        <w:ind w:firstLine="634" w:firstLineChars="200"/>
        <w:outlineLvl w:val="2"/>
        <w:rPr>
          <w:rFonts w:ascii="仿宋" w:hAnsi="仿宋" w:eastAsia="仿宋"/>
          <w:color w:val="000000"/>
          <w:sz w:val="32"/>
          <w:szCs w:val="32"/>
        </w:rPr>
      </w:pPr>
      <w:bookmarkStart w:id="49" w:name="_Toc15377222"/>
      <w:r>
        <w:rPr>
          <w:rFonts w:hint="eastAsia" w:ascii="仿宋" w:hAnsi="仿宋" w:eastAsia="仿宋"/>
          <w:b/>
          <w:color w:val="000000"/>
          <w:sz w:val="32"/>
          <w:szCs w:val="32"/>
        </w:rPr>
        <w:t>（一）机关运行经费支出情况</w:t>
      </w:r>
      <w:bookmarkEnd w:id="49"/>
    </w:p>
    <w:p w14:paraId="5A71F8D5">
      <w:pPr>
        <w:spacing w:line="600" w:lineRule="exact"/>
        <w:ind w:firstLine="634"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8年，县委群众工作局机关运行经费支出17.73万元，比</w:t>
      </w:r>
      <w:r>
        <w:rPr>
          <w:rFonts w:ascii="仿宋_GB2312" w:eastAsia="仿宋_GB2312"/>
          <w:color w:val="000000"/>
          <w:sz w:val="32"/>
          <w:szCs w:val="32"/>
        </w:rPr>
        <w:t>201</w:t>
      </w:r>
      <w:r>
        <w:rPr>
          <w:rFonts w:hint="eastAsia" w:ascii="仿宋_GB2312" w:eastAsia="仿宋_GB2312"/>
          <w:color w:val="000000"/>
          <w:sz w:val="32"/>
          <w:szCs w:val="32"/>
        </w:rPr>
        <w:t>7年减少0.61万元，下降3.33</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主要原因是</w:t>
      </w:r>
      <w:r>
        <w:rPr>
          <w:rFonts w:hint="eastAsia" w:ascii="仿宋_GB2312" w:hAnsi="宋体" w:eastAsia="仿宋_GB2312" w:cs="仿宋_GB2312"/>
          <w:kern w:val="0"/>
          <w:sz w:val="32"/>
          <w:szCs w:val="32"/>
          <w:shd w:val="clear" w:color="auto" w:fill="FBFBFB"/>
          <w:lang w:bidi="ar"/>
        </w:rPr>
        <w:t>严格执</w:t>
      </w:r>
      <w:r>
        <w:rPr>
          <w:rFonts w:hint="eastAsia" w:ascii="仿宋_GB2312" w:hAnsi="宋体" w:eastAsia="仿宋_GB2312" w:cs="仿宋_GB2312"/>
          <w:color w:val="333333"/>
          <w:kern w:val="0"/>
          <w:sz w:val="32"/>
          <w:szCs w:val="32"/>
          <w:shd w:val="clear" w:color="auto" w:fill="FBFBFB"/>
          <w:lang w:bidi="ar"/>
        </w:rPr>
        <w:t>行财经纪律，厉行节约。</w:t>
      </w:r>
    </w:p>
    <w:p w14:paraId="7A0332A3">
      <w:pPr>
        <w:autoSpaceDE w:val="0"/>
        <w:autoSpaceDN w:val="0"/>
        <w:adjustRightInd w:val="0"/>
        <w:spacing w:line="600" w:lineRule="exact"/>
        <w:ind w:firstLine="634" w:firstLineChars="200"/>
        <w:jc w:val="left"/>
        <w:outlineLvl w:val="2"/>
        <w:rPr>
          <w:rFonts w:ascii="仿宋" w:hAnsi="仿宋" w:eastAsia="仿宋"/>
          <w:b/>
          <w:color w:val="000000"/>
          <w:sz w:val="32"/>
          <w:szCs w:val="32"/>
        </w:rPr>
      </w:pPr>
      <w:bookmarkStart w:id="50" w:name="_Toc15377223"/>
      <w:r>
        <w:rPr>
          <w:rFonts w:hint="eastAsia" w:ascii="仿宋" w:hAnsi="仿宋" w:eastAsia="仿宋"/>
          <w:b/>
          <w:color w:val="000000"/>
          <w:sz w:val="32"/>
          <w:szCs w:val="32"/>
        </w:rPr>
        <w:t>（二）政府采购支出情况</w:t>
      </w:r>
      <w:bookmarkEnd w:id="50"/>
    </w:p>
    <w:p w14:paraId="43A4DBDD">
      <w:pPr>
        <w:spacing w:line="600" w:lineRule="exact"/>
        <w:ind w:firstLine="634"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8年，县委群众工作局政府采购支出总额0万元。</w:t>
      </w:r>
    </w:p>
    <w:p w14:paraId="3D170274">
      <w:pPr>
        <w:autoSpaceDE w:val="0"/>
        <w:autoSpaceDN w:val="0"/>
        <w:adjustRightInd w:val="0"/>
        <w:spacing w:line="600" w:lineRule="exact"/>
        <w:ind w:firstLine="634" w:firstLineChars="200"/>
        <w:jc w:val="left"/>
        <w:outlineLvl w:val="2"/>
        <w:rPr>
          <w:rFonts w:ascii="仿宋" w:hAnsi="仿宋" w:eastAsia="仿宋"/>
          <w:b/>
          <w:color w:val="000000"/>
          <w:sz w:val="32"/>
          <w:szCs w:val="32"/>
        </w:rPr>
      </w:pPr>
      <w:bookmarkStart w:id="51" w:name="_Toc15377224"/>
      <w:r>
        <w:rPr>
          <w:rFonts w:hint="eastAsia" w:ascii="仿宋" w:hAnsi="仿宋" w:eastAsia="仿宋"/>
          <w:b/>
          <w:color w:val="000000"/>
          <w:sz w:val="32"/>
          <w:szCs w:val="32"/>
        </w:rPr>
        <w:t>（三）国有资产占有使用情况</w:t>
      </w:r>
      <w:bookmarkEnd w:id="51"/>
    </w:p>
    <w:p w14:paraId="1BA30A9F">
      <w:pPr>
        <w:autoSpaceDE w:val="0"/>
        <w:autoSpaceDN w:val="0"/>
        <w:adjustRightInd w:val="0"/>
        <w:spacing w:line="600" w:lineRule="exact"/>
        <w:ind w:firstLine="634"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日，县委群众工作局共有车辆1辆，其中：部级领导干部用车0辆、一般公务用车1辆、一般执法执勤用车0辆、特种专业技术用车0辆、其他用车0辆，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14:paraId="568858CB">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6FE56B0F">
      <w:pPr>
        <w:numPr>
          <w:ilvl w:val="0"/>
          <w:numId w:val="4"/>
        </w:numPr>
        <w:spacing w:line="600" w:lineRule="exact"/>
        <w:ind w:firstLine="656" w:firstLineChars="150"/>
        <w:jc w:val="center"/>
        <w:outlineLvl w:val="0"/>
        <w:rPr>
          <w:rStyle w:val="27"/>
          <w:rFonts w:ascii="黑体" w:hAnsi="黑体" w:eastAsia="黑体"/>
          <w:b w:val="0"/>
        </w:rPr>
      </w:pPr>
      <w:bookmarkStart w:id="52" w:name="_Toc15396613"/>
      <w:bookmarkStart w:id="53" w:name="_Toc15377225"/>
      <w:r>
        <w:rPr>
          <w:rFonts w:hint="eastAsia" w:ascii="黑体" w:hAnsi="黑体" w:eastAsia="黑体"/>
          <w:b/>
          <w:color w:val="000000"/>
          <w:sz w:val="44"/>
          <w:szCs w:val="44"/>
        </w:rPr>
        <w:t>名</w:t>
      </w:r>
      <w:r>
        <w:rPr>
          <w:rStyle w:val="27"/>
          <w:rFonts w:hint="eastAsia" w:ascii="黑体" w:hAnsi="黑体" w:eastAsia="黑体"/>
          <w:b w:val="0"/>
        </w:rPr>
        <w:t>词解释</w:t>
      </w:r>
      <w:bookmarkEnd w:id="52"/>
      <w:bookmarkEnd w:id="53"/>
    </w:p>
    <w:p w14:paraId="2452CFA6">
      <w:pPr>
        <w:spacing w:line="600" w:lineRule="exact"/>
        <w:jc w:val="left"/>
        <w:rPr>
          <w:rFonts w:ascii="宋体"/>
          <w:b/>
          <w:color w:val="000000"/>
          <w:sz w:val="44"/>
          <w:szCs w:val="44"/>
        </w:rPr>
      </w:pPr>
    </w:p>
    <w:p w14:paraId="53CC6D60">
      <w:pPr>
        <w:pStyle w:val="25"/>
        <w:spacing w:line="560" w:lineRule="exact"/>
        <w:ind w:firstLine="634"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48200C3">
      <w:pPr>
        <w:pStyle w:val="25"/>
        <w:spacing w:line="560" w:lineRule="exact"/>
        <w:ind w:firstLine="634"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326864C7">
      <w:pPr>
        <w:pStyle w:val="25"/>
        <w:spacing w:line="560" w:lineRule="exact"/>
        <w:ind w:firstLine="634"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64B8E1EE">
      <w:pPr>
        <w:pStyle w:val="25"/>
        <w:spacing w:line="560" w:lineRule="exact"/>
        <w:ind w:firstLine="634"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42394D86">
      <w:pPr>
        <w:pStyle w:val="25"/>
        <w:spacing w:line="560" w:lineRule="exact"/>
        <w:ind w:firstLine="634"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11DD9D00">
      <w:pPr>
        <w:pStyle w:val="25"/>
        <w:spacing w:line="560" w:lineRule="exact"/>
        <w:ind w:firstLine="634"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55B03A1D">
      <w:pPr>
        <w:pStyle w:val="25"/>
        <w:spacing w:line="560" w:lineRule="exact"/>
        <w:ind w:firstLine="634" w:firstLineChars="200"/>
        <w:rPr>
          <w:rFonts w:ascii="仿宋_GB2312" w:eastAsia="仿宋_GB2312"/>
          <w:color w:val="auto"/>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w:t>
      </w:r>
      <w:r>
        <w:rPr>
          <w:rFonts w:hint="eastAsia" w:ascii="仿宋_GB2312" w:eastAsia="仿宋_GB2312"/>
          <w:color w:val="auto"/>
          <w:sz w:val="32"/>
          <w:szCs w:val="32"/>
        </w:rPr>
        <w:t>政补助结余中分配的事业基金和职工福利基金等。</w:t>
      </w:r>
    </w:p>
    <w:p w14:paraId="2D100257">
      <w:pPr>
        <w:pStyle w:val="25"/>
        <w:spacing w:line="560" w:lineRule="exact"/>
        <w:ind w:firstLine="634"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14:paraId="3DA6DD9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BFBFB"/>
        <w:wordWrap w:val="0"/>
        <w:spacing w:before="0" w:beforeAutospacing="0" w:after="0" w:afterAutospacing="0" w:line="600" w:lineRule="atLeast"/>
        <w:ind w:left="0" w:right="0" w:firstLine="640"/>
        <w:jc w:val="left"/>
        <w:rPr>
          <w:rFonts w:hint="eastAsia" w:ascii="仿宋_GB2312" w:eastAsia="仿宋_GB2312"/>
          <w:color w:val="auto"/>
          <w:sz w:val="32"/>
          <w:szCs w:val="32"/>
          <w:lang w:eastAsia="zh-CN"/>
        </w:rPr>
      </w:pPr>
      <w:r>
        <w:rPr>
          <w:rFonts w:ascii="仿宋_GB2312" w:eastAsia="仿宋_GB2312"/>
          <w:color w:val="auto"/>
          <w:sz w:val="32"/>
          <w:szCs w:val="32"/>
        </w:rPr>
        <w:t>9.</w:t>
      </w:r>
      <w:r>
        <w:rPr>
          <w:rFonts w:hint="eastAsia" w:ascii="仿宋_GB2312" w:eastAsia="仿宋_GB2312"/>
          <w:color w:val="auto"/>
          <w:sz w:val="32"/>
          <w:szCs w:val="32"/>
        </w:rPr>
        <w:t>一般公共服务</w:t>
      </w:r>
      <w:r>
        <w:rPr>
          <w:rFonts w:hint="eastAsia" w:ascii="仿宋_GB2312" w:eastAsia="仿宋_GB2312"/>
          <w:color w:val="auto"/>
          <w:sz w:val="32"/>
          <w:szCs w:val="32"/>
          <w:lang w:eastAsia="zh-CN"/>
        </w:rPr>
        <w:t>：</w:t>
      </w:r>
    </w:p>
    <w:p w14:paraId="67EF4F6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BFBFB"/>
        <w:wordWrap w:val="0"/>
        <w:spacing w:before="0" w:beforeAutospacing="0" w:after="0" w:afterAutospacing="0" w:line="600" w:lineRule="atLeast"/>
        <w:ind w:left="0" w:right="0" w:firstLine="640"/>
        <w:jc w:val="left"/>
        <w:rPr>
          <w:rFonts w:hint="eastAsia" w:ascii="仿宋_GB2312" w:eastAsia="仿宋_GB2312"/>
          <w:color w:val="auto"/>
          <w:sz w:val="32"/>
          <w:szCs w:val="32"/>
        </w:rPr>
      </w:pPr>
      <w:r>
        <w:rPr>
          <w:rFonts w:hint="eastAsia" w:ascii="仿宋_GB2312" w:eastAsia="仿宋_GB2312"/>
          <w:color w:val="auto"/>
          <w:sz w:val="32"/>
          <w:szCs w:val="32"/>
          <w:lang w:val="en-US" w:eastAsia="zh-CN"/>
        </w:rPr>
        <w:t>行政运行201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01</w:t>
      </w:r>
      <w:r>
        <w:rPr>
          <w:rFonts w:hint="eastAsia" w:ascii="仿宋_GB2312" w:eastAsia="仿宋_GB2312"/>
          <w:color w:val="auto"/>
          <w:sz w:val="32"/>
          <w:szCs w:val="32"/>
        </w:rPr>
        <w:t>（项）</w:t>
      </w:r>
    </w:p>
    <w:p w14:paraId="17DFE67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BFBFB"/>
        <w:wordWrap w:val="0"/>
        <w:spacing w:before="0" w:beforeAutospacing="0" w:after="0" w:afterAutospacing="0" w:line="600" w:lineRule="atLeast"/>
        <w:ind w:left="0" w:right="0" w:firstLine="640"/>
        <w:jc w:val="left"/>
        <w:rPr>
          <w:rFonts w:hint="eastAsia" w:ascii="仿宋_GB2312" w:eastAsia="仿宋_GB2312"/>
          <w:color w:val="auto"/>
          <w:sz w:val="32"/>
          <w:szCs w:val="32"/>
        </w:rPr>
      </w:pPr>
      <w:r>
        <w:rPr>
          <w:rFonts w:hint="eastAsia" w:ascii="仿宋_GB2312" w:eastAsia="仿宋_GB2312"/>
          <w:color w:val="auto"/>
          <w:sz w:val="32"/>
          <w:szCs w:val="32"/>
          <w:lang w:val="en-US" w:eastAsia="zh-CN"/>
        </w:rPr>
        <w:t>信访事务201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08</w:t>
      </w:r>
      <w:r>
        <w:rPr>
          <w:rFonts w:hint="eastAsia" w:ascii="仿宋_GB2312" w:eastAsia="仿宋_GB2312"/>
          <w:color w:val="auto"/>
          <w:sz w:val="32"/>
          <w:szCs w:val="32"/>
        </w:rPr>
        <w:t>（项）</w:t>
      </w:r>
    </w:p>
    <w:p w14:paraId="614B5C6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BFBFB"/>
        <w:wordWrap w:val="0"/>
        <w:spacing w:before="0" w:beforeAutospacing="0" w:after="0" w:afterAutospacing="0" w:line="600" w:lineRule="atLeast"/>
        <w:ind w:left="0" w:right="0" w:firstLine="640"/>
        <w:jc w:val="left"/>
        <w:rPr>
          <w:rFonts w:ascii="仿宋_GB2312" w:eastAsia="仿宋_GB2312"/>
          <w:color w:val="auto"/>
          <w:sz w:val="32"/>
          <w:szCs w:val="32"/>
        </w:rPr>
      </w:pPr>
      <w:r>
        <w:rPr>
          <w:rFonts w:hint="eastAsia" w:ascii="仿宋_GB2312" w:hAnsi="宋体" w:eastAsia="仿宋_GB2312" w:cs="仿宋_GB2312"/>
          <w:i w:val="0"/>
          <w:caps w:val="0"/>
          <w:color w:val="auto"/>
          <w:spacing w:val="0"/>
          <w:kern w:val="0"/>
          <w:sz w:val="32"/>
          <w:szCs w:val="32"/>
          <w:shd w:val="clear" w:color="auto" w:fill="FBFBFB"/>
          <w:lang w:val="en-US" w:eastAsia="zh-CN" w:bidi="ar"/>
        </w:rPr>
        <w:t>指人员工资、日常运转以及为完成财政特定行政工作任务和事业发展目标而安排年度项目支出，主要包括办公费、培训费、邮电费、差旅费、会议费、公务用车运行维护费等方面支出。</w:t>
      </w:r>
    </w:p>
    <w:p w14:paraId="53060CB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right="0" w:firstLine="634" w:firstLineChars="200"/>
        <w:jc w:val="left"/>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公共安全</w:t>
      </w:r>
      <w:r>
        <w:rPr>
          <w:rFonts w:hint="eastAsia" w:ascii="仿宋_GB2312" w:eastAsia="仿宋_GB2312"/>
          <w:color w:val="auto"/>
          <w:sz w:val="32"/>
          <w:szCs w:val="32"/>
          <w:lang w:val="en-US" w:eastAsia="zh-CN"/>
        </w:rPr>
        <w:t>204</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02</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99</w:t>
      </w:r>
      <w:r>
        <w:rPr>
          <w:rFonts w:hint="eastAsia" w:ascii="仿宋_GB2312" w:eastAsia="仿宋_GB2312"/>
          <w:color w:val="auto"/>
          <w:sz w:val="32"/>
          <w:szCs w:val="32"/>
        </w:rPr>
        <w:t>（项）：</w:t>
      </w:r>
      <w:r>
        <w:rPr>
          <w:rFonts w:hint="eastAsia" w:ascii="仿宋_GB2312" w:hAnsi="Times New Roman" w:eastAsia="仿宋_GB2312" w:cs="Times New Roman"/>
          <w:color w:val="auto"/>
          <w:kern w:val="2"/>
          <w:sz w:val="32"/>
          <w:szCs w:val="32"/>
          <w:lang w:val="en-US" w:eastAsia="zh-CN" w:bidi="ar-SA"/>
        </w:rPr>
        <w:t>指政府维护社会公共安全方面的支出，包括武装警察、公案、国家安全、检察、法院、司法行政、监狱、劳教、国家保密、缉私等人员工资待遇及机关行政事务经费。</w:t>
      </w:r>
    </w:p>
    <w:p w14:paraId="74885A89">
      <w:pPr>
        <w:ind w:firstLine="634"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1</w:t>
      </w:r>
      <w:r>
        <w:rPr>
          <w:rFonts w:ascii="仿宋_GB2312" w:eastAsia="仿宋_GB2312"/>
          <w:color w:val="auto"/>
          <w:sz w:val="32"/>
          <w:szCs w:val="32"/>
        </w:rPr>
        <w:t>.</w:t>
      </w:r>
      <w:r>
        <w:rPr>
          <w:rFonts w:hint="eastAsia" w:ascii="仿宋_GB2312" w:eastAsia="仿宋_GB2312"/>
          <w:color w:val="auto"/>
          <w:sz w:val="32"/>
          <w:szCs w:val="32"/>
        </w:rPr>
        <w:t>社会保障和就业</w:t>
      </w:r>
      <w:r>
        <w:rPr>
          <w:rFonts w:hint="eastAsia" w:ascii="仿宋_GB2312" w:eastAsia="仿宋_GB2312"/>
          <w:color w:val="auto"/>
          <w:sz w:val="32"/>
          <w:szCs w:val="32"/>
          <w:lang w:val="en-US" w:eastAsia="zh-CN"/>
        </w:rPr>
        <w:t>208</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05</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05</w:t>
      </w:r>
      <w:r>
        <w:rPr>
          <w:rFonts w:hint="eastAsia" w:ascii="仿宋_GB2312" w:eastAsia="仿宋_GB2312"/>
          <w:color w:val="auto"/>
          <w:sz w:val="32"/>
          <w:szCs w:val="32"/>
        </w:rPr>
        <w:t>（项）：指</w:t>
      </w:r>
      <w:r>
        <w:rPr>
          <w:rFonts w:hint="eastAsia" w:ascii="仿宋_GB2312" w:hAnsi="宋体" w:eastAsia="仿宋_GB2312" w:cs="仿宋_GB2312"/>
          <w:i w:val="0"/>
          <w:caps w:val="0"/>
          <w:color w:val="auto"/>
          <w:spacing w:val="0"/>
          <w:kern w:val="0"/>
          <w:sz w:val="32"/>
          <w:szCs w:val="32"/>
          <w:shd w:val="clear" w:color="auto" w:fill="FBFBFB"/>
          <w:lang w:val="en-US" w:eastAsia="zh-CN" w:bidi="ar"/>
        </w:rPr>
        <w:t>实施养老保险制度后，部门按规定由单位缴纳的基本养老保险费支出</w:t>
      </w:r>
      <w:r>
        <w:rPr>
          <w:rFonts w:hint="eastAsia" w:ascii="仿宋_GB2312" w:eastAsia="仿宋_GB2312"/>
          <w:color w:val="auto"/>
          <w:sz w:val="32"/>
          <w:szCs w:val="32"/>
        </w:rPr>
        <w:t>。</w:t>
      </w:r>
    </w:p>
    <w:p w14:paraId="6A29785D">
      <w:pPr>
        <w:ind w:firstLine="634" w:firstLineChars="200"/>
        <w:rPr>
          <w:rFonts w:hint="eastAsia"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lang w:val="en-US" w:eastAsia="zh-CN"/>
        </w:rPr>
        <w:t>2</w:t>
      </w:r>
      <w:r>
        <w:rPr>
          <w:rFonts w:ascii="仿宋_GB2312" w:eastAsia="仿宋_GB2312"/>
          <w:color w:val="auto"/>
          <w:sz w:val="32"/>
          <w:szCs w:val="32"/>
        </w:rPr>
        <w:t>.</w:t>
      </w:r>
      <w:r>
        <w:rPr>
          <w:rFonts w:hint="eastAsia" w:ascii="仿宋_GB2312" w:eastAsia="仿宋_GB2312"/>
          <w:color w:val="auto"/>
          <w:sz w:val="32"/>
          <w:szCs w:val="32"/>
        </w:rPr>
        <w:t>医疗卫生与计划生育</w:t>
      </w:r>
    </w:p>
    <w:p w14:paraId="304B07BC">
      <w:pPr>
        <w:ind w:firstLine="634"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行政单位医疗</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01</w:t>
      </w:r>
      <w:r>
        <w:rPr>
          <w:rFonts w:hint="eastAsia" w:ascii="仿宋_GB2312" w:eastAsia="仿宋_GB2312"/>
          <w:color w:val="auto"/>
          <w:sz w:val="32"/>
          <w:szCs w:val="32"/>
        </w:rPr>
        <w:t>（项）</w:t>
      </w:r>
    </w:p>
    <w:p w14:paraId="019896FB">
      <w:pPr>
        <w:ind w:firstLine="634"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公务员医疗补助</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03</w:t>
      </w:r>
      <w:r>
        <w:rPr>
          <w:rFonts w:hint="eastAsia" w:ascii="仿宋_GB2312" w:eastAsia="仿宋_GB2312"/>
          <w:color w:val="auto"/>
          <w:sz w:val="32"/>
          <w:szCs w:val="32"/>
        </w:rPr>
        <w:t>（项）</w:t>
      </w:r>
    </w:p>
    <w:p w14:paraId="0A95280C">
      <w:pPr>
        <w:ind w:firstLine="634"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其他行政事业单位医疗支出</w:t>
      </w:r>
      <w:r>
        <w:rPr>
          <w:rFonts w:hint="eastAsia" w:ascii="仿宋_GB2312" w:eastAsia="仿宋_GB2312"/>
          <w:color w:val="auto"/>
          <w:sz w:val="32"/>
          <w:szCs w:val="32"/>
          <w:lang w:val="en-US" w:eastAsia="zh-CN"/>
        </w:rPr>
        <w:t>201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11</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99</w:t>
      </w:r>
      <w:r>
        <w:rPr>
          <w:rFonts w:hint="eastAsia" w:ascii="仿宋_GB2312" w:eastAsia="仿宋_GB2312"/>
          <w:color w:val="auto"/>
          <w:sz w:val="32"/>
          <w:szCs w:val="32"/>
        </w:rPr>
        <w:t>（项）</w:t>
      </w:r>
    </w:p>
    <w:p w14:paraId="52E87085">
      <w:pPr>
        <w:ind w:firstLine="634" w:firstLineChars="200"/>
        <w:rPr>
          <w:rFonts w:ascii="仿宋_GB2312" w:eastAsia="仿宋_GB2312"/>
          <w:color w:val="auto"/>
          <w:sz w:val="32"/>
          <w:szCs w:val="32"/>
        </w:rPr>
      </w:pPr>
      <w:r>
        <w:rPr>
          <w:rFonts w:hint="eastAsia" w:ascii="仿宋_GB2312" w:hAnsi="宋体" w:eastAsia="仿宋_GB2312" w:cs="仿宋_GB2312"/>
          <w:i w:val="0"/>
          <w:caps w:val="0"/>
          <w:color w:val="auto"/>
          <w:spacing w:val="0"/>
          <w:kern w:val="0"/>
          <w:sz w:val="32"/>
          <w:szCs w:val="32"/>
          <w:shd w:val="clear" w:color="auto" w:fill="FBFBFB"/>
          <w:lang w:val="en-US" w:eastAsia="zh-CN" w:bidi="ar"/>
        </w:rPr>
        <w:t>指按照规定标准为职工缴纳的基本医疗保险及公务员医疗补助等支出</w:t>
      </w:r>
      <w:r>
        <w:rPr>
          <w:rFonts w:hint="eastAsia" w:ascii="仿宋_GB2312" w:eastAsia="仿宋_GB2312"/>
          <w:color w:val="auto"/>
          <w:sz w:val="32"/>
          <w:szCs w:val="32"/>
        </w:rPr>
        <w:t>。</w:t>
      </w:r>
    </w:p>
    <w:p w14:paraId="4314D5BF">
      <w:pPr>
        <w:ind w:firstLine="634" w:firstLineChars="200"/>
        <w:rPr>
          <w:rFonts w:ascii="仿宋_GB2312" w:eastAsia="仿宋_GB2312"/>
          <w:color w:val="auto"/>
          <w:sz w:val="32"/>
          <w:szCs w:val="32"/>
        </w:rPr>
      </w:pPr>
      <w:r>
        <w:rPr>
          <w:rFonts w:hint="eastAsia" w:ascii="仿宋_GB2312" w:eastAsia="仿宋_GB2312"/>
          <w:color w:val="auto"/>
          <w:sz w:val="32"/>
          <w:szCs w:val="32"/>
          <w:lang w:val="en-US" w:eastAsia="zh-CN"/>
        </w:rPr>
        <w:t>13</w:t>
      </w:r>
      <w:r>
        <w:rPr>
          <w:rFonts w:ascii="仿宋_GB2312" w:eastAsia="仿宋_GB2312"/>
          <w:color w:val="auto"/>
          <w:sz w:val="32"/>
          <w:szCs w:val="32"/>
        </w:rPr>
        <w:t>.</w:t>
      </w:r>
      <w:r>
        <w:rPr>
          <w:rFonts w:hint="eastAsia" w:ascii="仿宋_GB2312" w:eastAsia="仿宋_GB2312"/>
          <w:color w:val="auto"/>
          <w:sz w:val="32"/>
          <w:szCs w:val="32"/>
        </w:rPr>
        <w:t>住房保障</w:t>
      </w:r>
      <w:r>
        <w:rPr>
          <w:rFonts w:hint="eastAsia" w:ascii="仿宋_GB2312" w:eastAsia="仿宋_GB2312"/>
          <w:color w:val="auto"/>
          <w:sz w:val="32"/>
          <w:szCs w:val="32"/>
          <w:lang w:val="en-US" w:eastAsia="zh-CN"/>
        </w:rPr>
        <w:t>221</w:t>
      </w:r>
      <w:r>
        <w:rPr>
          <w:rFonts w:hint="eastAsia" w:ascii="仿宋_GB2312" w:eastAsia="仿宋_GB2312"/>
          <w:color w:val="auto"/>
          <w:sz w:val="32"/>
          <w:szCs w:val="32"/>
        </w:rPr>
        <w:t>（类）</w:t>
      </w:r>
      <w:r>
        <w:rPr>
          <w:rFonts w:hint="eastAsia" w:ascii="仿宋_GB2312" w:eastAsia="仿宋_GB2312"/>
          <w:color w:val="auto"/>
          <w:sz w:val="32"/>
          <w:szCs w:val="32"/>
          <w:lang w:val="en-US" w:eastAsia="zh-CN"/>
        </w:rPr>
        <w:t>02</w:t>
      </w:r>
      <w:r>
        <w:rPr>
          <w:rFonts w:hint="eastAsia" w:ascii="仿宋_GB2312" w:eastAsia="仿宋_GB2312"/>
          <w:color w:val="auto"/>
          <w:sz w:val="32"/>
          <w:szCs w:val="32"/>
        </w:rPr>
        <w:t>（款）</w:t>
      </w:r>
      <w:r>
        <w:rPr>
          <w:rFonts w:hint="eastAsia" w:ascii="仿宋_GB2312" w:eastAsia="仿宋_GB2312"/>
          <w:color w:val="auto"/>
          <w:sz w:val="32"/>
          <w:szCs w:val="32"/>
          <w:lang w:val="en-US" w:eastAsia="zh-CN"/>
        </w:rPr>
        <w:t>01</w:t>
      </w:r>
      <w:r>
        <w:rPr>
          <w:rFonts w:hint="eastAsia" w:ascii="仿宋_GB2312" w:eastAsia="仿宋_GB2312"/>
          <w:color w:val="auto"/>
          <w:sz w:val="32"/>
          <w:szCs w:val="32"/>
        </w:rPr>
        <w:t>（项）：</w:t>
      </w:r>
      <w:r>
        <w:rPr>
          <w:rFonts w:hint="eastAsia" w:ascii="仿宋_GB2312" w:hAnsi="宋体" w:eastAsia="仿宋_GB2312" w:cs="仿宋_GB2312"/>
          <w:i w:val="0"/>
          <w:caps w:val="0"/>
          <w:color w:val="auto"/>
          <w:spacing w:val="0"/>
          <w:kern w:val="0"/>
          <w:sz w:val="32"/>
          <w:szCs w:val="32"/>
          <w:shd w:val="clear" w:color="auto" w:fill="FBFBFB"/>
          <w:lang w:val="en-US" w:eastAsia="zh-CN" w:bidi="ar"/>
        </w:rPr>
        <w:t>指按照规定标准为职工缴纳住房公积金等支出</w:t>
      </w:r>
      <w:r>
        <w:rPr>
          <w:rFonts w:hint="eastAsia" w:ascii="仿宋_GB2312" w:eastAsia="仿宋_GB2312"/>
          <w:color w:val="auto"/>
          <w:sz w:val="32"/>
          <w:szCs w:val="32"/>
        </w:rPr>
        <w:t>。</w:t>
      </w:r>
    </w:p>
    <w:p w14:paraId="39451943">
      <w:pPr>
        <w:ind w:firstLine="634" w:firstLineChars="200"/>
        <w:rPr>
          <w:rFonts w:ascii="仿宋_GB2312" w:eastAsia="仿宋_GB2312"/>
          <w:color w:val="auto"/>
          <w:sz w:val="32"/>
          <w:szCs w:val="32"/>
        </w:rPr>
      </w:pPr>
      <w:r>
        <w:rPr>
          <w:rFonts w:hint="eastAsia" w:ascii="仿宋_GB2312" w:eastAsia="仿宋_GB2312"/>
          <w:color w:val="auto"/>
          <w:sz w:val="32"/>
          <w:szCs w:val="32"/>
          <w:lang w:val="en-US" w:eastAsia="zh-CN"/>
        </w:rPr>
        <w:t>14</w:t>
      </w:r>
      <w:r>
        <w:rPr>
          <w:rFonts w:ascii="仿宋_GB2312" w:eastAsia="仿宋_GB2312"/>
          <w:color w:val="auto"/>
          <w:sz w:val="32"/>
          <w:szCs w:val="32"/>
        </w:rPr>
        <w:t>.</w:t>
      </w:r>
      <w:r>
        <w:rPr>
          <w:rFonts w:hint="eastAsia" w:ascii="仿宋_GB2312" w:eastAsia="仿宋_GB2312"/>
          <w:color w:val="auto"/>
          <w:sz w:val="32"/>
          <w:szCs w:val="32"/>
        </w:rPr>
        <w:t>基本支出：指为保障机构正常运转、完成日常工作任务而发生的人员支出和公用支出。</w:t>
      </w:r>
    </w:p>
    <w:p w14:paraId="70608B8B">
      <w:pPr>
        <w:ind w:firstLine="634" w:firstLineChars="200"/>
        <w:rPr>
          <w:rFonts w:ascii="仿宋_GB2312" w:eastAsia="仿宋_GB2312"/>
          <w:color w:val="auto"/>
          <w:sz w:val="32"/>
          <w:szCs w:val="32"/>
        </w:rPr>
      </w:pPr>
      <w:r>
        <w:rPr>
          <w:rFonts w:hint="eastAsia" w:ascii="仿宋_GB2312" w:eastAsia="仿宋_GB2312"/>
          <w:color w:val="auto"/>
          <w:sz w:val="32"/>
          <w:szCs w:val="32"/>
          <w:lang w:val="en-US" w:eastAsia="zh-CN"/>
        </w:rPr>
        <w:t>15</w:t>
      </w:r>
      <w:r>
        <w:rPr>
          <w:rFonts w:ascii="仿宋_GB2312" w:eastAsia="仿宋_GB2312"/>
          <w:color w:val="auto"/>
          <w:sz w:val="32"/>
          <w:szCs w:val="32"/>
        </w:rPr>
        <w:t>.</w:t>
      </w:r>
      <w:r>
        <w:rPr>
          <w:rFonts w:hint="eastAsia" w:ascii="仿宋_GB2312" w:eastAsia="仿宋_GB2312"/>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14:paraId="52D95695">
      <w:pPr>
        <w:ind w:firstLine="634" w:firstLineChars="200"/>
        <w:rPr>
          <w:rFonts w:ascii="仿宋_GB2312" w:eastAsia="仿宋_GB2312"/>
          <w:color w:val="auto"/>
          <w:sz w:val="32"/>
          <w:szCs w:val="32"/>
        </w:rPr>
      </w:pPr>
      <w:r>
        <w:rPr>
          <w:rFonts w:hint="eastAsia" w:ascii="仿宋_GB2312" w:eastAsia="仿宋_GB2312"/>
          <w:color w:val="auto"/>
          <w:sz w:val="32"/>
          <w:szCs w:val="32"/>
          <w:lang w:val="en-US" w:eastAsia="zh-CN"/>
        </w:rPr>
        <w:t>16</w:t>
      </w:r>
      <w:r>
        <w:rPr>
          <w:rFonts w:ascii="仿宋_GB2312" w:eastAsia="仿宋_GB2312"/>
          <w:color w:val="auto"/>
          <w:sz w:val="32"/>
          <w:szCs w:val="32"/>
        </w:rPr>
        <w:t>.</w:t>
      </w:r>
      <w:r>
        <w:rPr>
          <w:rFonts w:hint="eastAsia" w:ascii="仿宋_GB2312" w:eastAsia="仿宋_GB2312"/>
          <w:color w:val="auto"/>
          <w:sz w:val="32"/>
          <w:szCs w:val="32"/>
        </w:rPr>
        <w:t>经营支出：指事业单位在专业业务活动及其辅助活动之外开展非独立核算经营活动发生的支出。</w:t>
      </w:r>
    </w:p>
    <w:p w14:paraId="20A8DB8D">
      <w:pPr>
        <w:pStyle w:val="25"/>
        <w:spacing w:line="560" w:lineRule="exact"/>
        <w:ind w:firstLine="634" w:firstLineChars="200"/>
        <w:rPr>
          <w:rFonts w:ascii="仿宋_GB2312" w:eastAsia="仿宋_GB2312"/>
          <w:sz w:val="32"/>
          <w:szCs w:val="32"/>
        </w:rPr>
      </w:pPr>
      <w:r>
        <w:rPr>
          <w:rFonts w:hint="eastAsia" w:ascii="仿宋_GB2312" w:eastAsia="仿宋_GB2312"/>
          <w:color w:val="auto"/>
          <w:sz w:val="32"/>
          <w:szCs w:val="32"/>
          <w:lang w:val="en-US" w:eastAsia="zh-CN"/>
        </w:rPr>
        <w:t>17</w:t>
      </w:r>
      <w:r>
        <w:rPr>
          <w:rFonts w:ascii="仿宋_GB2312" w:eastAsia="仿宋_GB2312"/>
          <w:color w:val="auto"/>
          <w:sz w:val="32"/>
          <w:szCs w:val="32"/>
        </w:rPr>
        <w:t>.</w:t>
      </w:r>
      <w:r>
        <w:rPr>
          <w:rFonts w:hint="eastAsia" w:ascii="仿宋_GB2312" w:eastAsia="仿宋_GB2312"/>
          <w:color w:val="auto"/>
          <w:sz w:val="32"/>
          <w:szCs w:val="32"/>
        </w:rPr>
        <w:t>“三公”经费：指部门用财政拨款安排的因公出国（境）费、公务用车购置及运行费和公务接</w:t>
      </w:r>
      <w:r>
        <w:rPr>
          <w:rFonts w:hint="eastAsia" w:ascii="仿宋_GB2312" w:eastAsia="仿宋_GB2312"/>
          <w:sz w:val="32"/>
          <w:szCs w:val="32"/>
        </w:rPr>
        <w:t>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7653855">
      <w:pPr>
        <w:pStyle w:val="25"/>
        <w:spacing w:line="560" w:lineRule="exact"/>
        <w:ind w:firstLine="634"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99849BC">
      <w:pPr>
        <w:spacing w:line="600" w:lineRule="exact"/>
        <w:jc w:val="center"/>
        <w:outlineLvl w:val="0"/>
        <w:rPr>
          <w:rFonts w:ascii="黑体" w:hAnsi="黑体" w:eastAsia="黑体"/>
          <w:color w:val="000000"/>
          <w:sz w:val="44"/>
          <w:szCs w:val="44"/>
        </w:rPr>
      </w:pPr>
      <w:bookmarkStart w:id="54" w:name="_Toc15396614"/>
      <w:bookmarkStart w:id="55" w:name="_Toc15377226"/>
    </w:p>
    <w:p w14:paraId="43FA3C0A">
      <w:pPr>
        <w:spacing w:line="600" w:lineRule="exact"/>
        <w:jc w:val="center"/>
        <w:outlineLvl w:val="0"/>
        <w:rPr>
          <w:rFonts w:ascii="黑体" w:hAnsi="黑体" w:eastAsia="黑体"/>
          <w:color w:val="000000"/>
          <w:sz w:val="44"/>
          <w:szCs w:val="44"/>
        </w:rPr>
      </w:pPr>
    </w:p>
    <w:p w14:paraId="725B3214">
      <w:pPr>
        <w:spacing w:line="600" w:lineRule="exact"/>
        <w:jc w:val="center"/>
        <w:outlineLvl w:val="0"/>
        <w:rPr>
          <w:rFonts w:ascii="黑体" w:hAnsi="黑体" w:eastAsia="黑体"/>
          <w:color w:val="000000"/>
          <w:sz w:val="44"/>
          <w:szCs w:val="44"/>
        </w:rPr>
      </w:pPr>
    </w:p>
    <w:p w14:paraId="6185F6C6">
      <w:pPr>
        <w:spacing w:line="600" w:lineRule="exact"/>
        <w:jc w:val="center"/>
        <w:outlineLvl w:val="0"/>
        <w:rPr>
          <w:rFonts w:ascii="黑体" w:hAnsi="黑体" w:eastAsia="黑体"/>
          <w:color w:val="000000"/>
          <w:sz w:val="44"/>
          <w:szCs w:val="44"/>
        </w:rPr>
      </w:pPr>
    </w:p>
    <w:p w14:paraId="03E2A924">
      <w:pPr>
        <w:spacing w:line="600" w:lineRule="exact"/>
        <w:jc w:val="center"/>
        <w:outlineLvl w:val="0"/>
        <w:rPr>
          <w:rFonts w:ascii="黑体" w:hAnsi="黑体" w:eastAsia="黑体"/>
          <w:color w:val="000000"/>
          <w:sz w:val="44"/>
          <w:szCs w:val="44"/>
        </w:rPr>
      </w:pPr>
    </w:p>
    <w:p w14:paraId="4FA60E48">
      <w:pPr>
        <w:spacing w:line="600" w:lineRule="exact"/>
        <w:jc w:val="center"/>
        <w:outlineLvl w:val="0"/>
        <w:rPr>
          <w:rFonts w:ascii="黑体" w:hAnsi="黑体" w:eastAsia="黑体"/>
          <w:color w:val="000000"/>
          <w:sz w:val="44"/>
          <w:szCs w:val="44"/>
        </w:rPr>
      </w:pPr>
    </w:p>
    <w:p w14:paraId="158D995A">
      <w:pPr>
        <w:spacing w:line="600" w:lineRule="exact"/>
        <w:jc w:val="center"/>
        <w:outlineLvl w:val="0"/>
        <w:rPr>
          <w:rFonts w:ascii="黑体" w:hAnsi="黑体" w:eastAsia="黑体"/>
          <w:color w:val="000000"/>
          <w:sz w:val="44"/>
          <w:szCs w:val="44"/>
        </w:rPr>
      </w:pPr>
    </w:p>
    <w:p w14:paraId="2F05731F">
      <w:pPr>
        <w:spacing w:line="600" w:lineRule="exact"/>
        <w:jc w:val="both"/>
        <w:outlineLvl w:val="0"/>
        <w:rPr>
          <w:rFonts w:ascii="黑体" w:hAnsi="黑体" w:eastAsia="黑体"/>
          <w:color w:val="000000"/>
          <w:sz w:val="44"/>
          <w:szCs w:val="44"/>
        </w:rPr>
      </w:pPr>
    </w:p>
    <w:p w14:paraId="47EAF1AD">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四部分 附件</w:t>
      </w:r>
      <w:bookmarkEnd w:id="54"/>
    </w:p>
    <w:p w14:paraId="154395C8">
      <w:pPr>
        <w:spacing w:line="600" w:lineRule="exact"/>
        <w:jc w:val="center"/>
        <w:outlineLvl w:val="0"/>
        <w:rPr>
          <w:rStyle w:val="27"/>
        </w:rPr>
      </w:pPr>
    </w:p>
    <w:p w14:paraId="2636E77B">
      <w:pPr>
        <w:pStyle w:val="3"/>
        <w:rPr>
          <w:rStyle w:val="27"/>
          <w:rFonts w:ascii="仿宋" w:hAnsi="仿宋" w:eastAsia="仿宋"/>
          <w:b w:val="0"/>
          <w:bCs w:val="0"/>
          <w:sz w:val="32"/>
          <w:szCs w:val="32"/>
        </w:rPr>
      </w:pPr>
      <w:bookmarkStart w:id="56" w:name="_Toc15396615"/>
      <w:r>
        <w:rPr>
          <w:rStyle w:val="27"/>
          <w:rFonts w:hint="eastAsia" w:ascii="仿宋" w:hAnsi="仿宋" w:eastAsia="仿宋"/>
          <w:b w:val="0"/>
          <w:bCs w:val="0"/>
          <w:sz w:val="32"/>
          <w:szCs w:val="32"/>
        </w:rPr>
        <w:t>附件1</w:t>
      </w:r>
      <w:bookmarkEnd w:id="56"/>
    </w:p>
    <w:p w14:paraId="614BA4BB">
      <w:pPr>
        <w:spacing w:line="800" w:lineRule="exact"/>
        <w:jc w:val="center"/>
        <w:rPr>
          <w:rFonts w:eastAsia="方正小标宋简体"/>
          <w:bCs/>
          <w:sz w:val="46"/>
          <w:szCs w:val="46"/>
        </w:rPr>
      </w:pPr>
      <w:bookmarkStart w:id="57" w:name="_Toc15396618"/>
      <w:r>
        <w:rPr>
          <w:rFonts w:hint="eastAsia" w:eastAsia="方正小标宋简体"/>
          <w:bCs/>
          <w:sz w:val="46"/>
          <w:szCs w:val="46"/>
        </w:rPr>
        <w:t>九寨沟县</w:t>
      </w:r>
      <w:r>
        <w:rPr>
          <w:rFonts w:hint="eastAsia" w:eastAsia="方正小标宋简体"/>
          <w:bCs/>
          <w:sz w:val="46"/>
          <w:szCs w:val="46"/>
          <w:u w:val="single"/>
        </w:rPr>
        <w:t>2018</w:t>
      </w:r>
      <w:r>
        <w:rPr>
          <w:rFonts w:hint="eastAsia" w:eastAsia="方正小标宋简体"/>
          <w:bCs/>
          <w:sz w:val="46"/>
          <w:szCs w:val="46"/>
        </w:rPr>
        <w:t>年度部门整体支出</w:t>
      </w:r>
    </w:p>
    <w:p w14:paraId="1DB27592">
      <w:pPr>
        <w:spacing w:line="800" w:lineRule="exact"/>
        <w:jc w:val="center"/>
        <w:rPr>
          <w:rFonts w:eastAsia="方正小标宋简体"/>
          <w:bCs/>
          <w:sz w:val="46"/>
          <w:szCs w:val="46"/>
        </w:rPr>
      </w:pPr>
      <w:r>
        <w:rPr>
          <w:rFonts w:hint="eastAsia" w:eastAsia="方正小标宋简体"/>
          <w:bCs/>
          <w:sz w:val="46"/>
          <w:szCs w:val="46"/>
        </w:rPr>
        <w:t>绩效评价自评报告</w:t>
      </w:r>
    </w:p>
    <w:p w14:paraId="36B7C57A">
      <w:pPr>
        <w:rPr>
          <w:rFonts w:eastAsia="仿宋_GB2312"/>
          <w:b/>
          <w:sz w:val="32"/>
        </w:rPr>
      </w:pPr>
    </w:p>
    <w:p w14:paraId="4367FED0">
      <w:pPr>
        <w:rPr>
          <w:rFonts w:eastAsia="仿宋_GB2312"/>
          <w:b/>
          <w:sz w:val="32"/>
        </w:rPr>
      </w:pPr>
    </w:p>
    <w:p w14:paraId="7135A60C">
      <w:pPr>
        <w:rPr>
          <w:rFonts w:eastAsia="仿宋_GB2312"/>
          <w:b/>
          <w:sz w:val="32"/>
        </w:rPr>
      </w:pPr>
    </w:p>
    <w:p w14:paraId="5CF8DA28">
      <w:pPr>
        <w:spacing w:before="301" w:beforeLines="50" w:line="348" w:lineRule="auto"/>
        <w:ind w:firstLine="476" w:firstLineChars="150"/>
        <w:rPr>
          <w:rFonts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中共九寨沟县委群众工作局            </w:t>
      </w:r>
    </w:p>
    <w:p w14:paraId="1A395012">
      <w:pPr>
        <w:spacing w:before="301" w:beforeLines="50" w:line="348" w:lineRule="auto"/>
        <w:ind w:firstLine="476" w:firstLineChars="150"/>
        <w:rPr>
          <w:rFonts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189101                     </w:t>
      </w:r>
    </w:p>
    <w:p w14:paraId="591C087B">
      <w:pPr>
        <w:spacing w:before="301"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14:paraId="12F030EF">
      <w:pPr>
        <w:spacing w:before="301" w:beforeLines="50" w:line="348" w:lineRule="auto"/>
        <w:ind w:firstLine="476" w:firstLineChars="150"/>
        <w:rPr>
          <w:rFonts w:eastAsia="仿宋_GB2312"/>
          <w:sz w:val="32"/>
          <w:szCs w:val="32"/>
        </w:rPr>
      </w:pPr>
      <w:r>
        <w:rPr>
          <w:rFonts w:hint="eastAsia" w:eastAsia="仿宋_GB2312"/>
          <w:sz w:val="32"/>
          <w:szCs w:val="32"/>
        </w:rPr>
        <w:t xml:space="preserve">评价机构：部门（单位）评价组   </w:t>
      </w:r>
    </w:p>
    <w:p w14:paraId="32D91AD1">
      <w:pPr>
        <w:spacing w:line="720" w:lineRule="exact"/>
        <w:rPr>
          <w:rFonts w:eastAsia="仿宋_GB2312"/>
          <w:sz w:val="32"/>
        </w:rPr>
      </w:pPr>
    </w:p>
    <w:p w14:paraId="4266D4A9">
      <w:pPr>
        <w:spacing w:line="348" w:lineRule="auto"/>
        <w:jc w:val="center"/>
        <w:rPr>
          <w:rFonts w:eastAsia="仿宋_GB2312"/>
          <w:sz w:val="32"/>
        </w:rPr>
      </w:pPr>
      <w:r>
        <w:rPr>
          <w:rFonts w:hint="eastAsia" w:eastAsia="仿宋_GB2312"/>
          <w:sz w:val="32"/>
        </w:rPr>
        <w:t>报告日期： 2019年 7月 9日</w:t>
      </w:r>
    </w:p>
    <w:p w14:paraId="14358E51">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九寨沟县财政</w:t>
      </w:r>
      <w:r>
        <w:rPr>
          <w:rFonts w:hint="eastAsia" w:eastAsia="仿宋_GB2312"/>
          <w:sz w:val="32"/>
          <w:szCs w:val="32"/>
        </w:rPr>
        <w:t>局（制）</w:t>
      </w:r>
    </w:p>
    <w:tbl>
      <w:tblPr>
        <w:tblStyle w:val="1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14:paraId="63923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1FA223D3">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14:paraId="6A53D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12BFCB2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14:paraId="1378E4F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张岚</w:t>
            </w:r>
          </w:p>
        </w:tc>
        <w:tc>
          <w:tcPr>
            <w:tcW w:w="1479" w:type="dxa"/>
            <w:vAlign w:val="center"/>
          </w:tcPr>
          <w:p w14:paraId="078503C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14:paraId="2387AE7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0837-7730807</w:t>
            </w:r>
          </w:p>
        </w:tc>
      </w:tr>
      <w:tr w14:paraId="3B19F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30AB2CB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14:paraId="4E577DE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c>
          <w:tcPr>
            <w:tcW w:w="1479" w:type="dxa"/>
            <w:vAlign w:val="center"/>
          </w:tcPr>
          <w:p w14:paraId="0FBE432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14:paraId="08BF122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w:t>
            </w:r>
          </w:p>
        </w:tc>
      </w:tr>
      <w:tr w14:paraId="6AB01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14:paraId="0693D34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14:paraId="1405A14A">
            <w:pPr>
              <w:widowControl/>
              <w:shd w:val="clear" w:color="auto" w:fill="FFFFFF"/>
              <w:spacing w:line="440" w:lineRule="exact"/>
              <w:ind w:firstLine="56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靠实信访工作责任、畅通信访诉求表达渠道、健全信访工作机制为抓手，着力规范接待群众来信来访、提高初信初访的办理质量，着力解决群众反映的突出问题，依法、及时化解了一批事关群众切身利益的信访问题，有力地维护了我县的社会和谐稳定、经济</w:t>
            </w:r>
            <w:r>
              <w:rPr>
                <w:rFonts w:hint="eastAsia" w:ascii="仿宋" w:hAnsi="仿宋" w:eastAsia="仿宋"/>
                <w:kern w:val="0"/>
                <w:sz w:val="28"/>
                <w:szCs w:val="28"/>
                <w:shd w:val="clear" w:color="auto" w:fill="FFFFFF"/>
                <w:lang w:eastAsia="zh-CN"/>
              </w:rPr>
              <w:t>健康发展</w:t>
            </w:r>
            <w:r>
              <w:rPr>
                <w:rFonts w:hint="eastAsia" w:ascii="仿宋" w:hAnsi="仿宋" w:eastAsia="仿宋"/>
                <w:kern w:val="0"/>
                <w:sz w:val="28"/>
                <w:szCs w:val="28"/>
                <w:shd w:val="clear" w:color="auto" w:fill="FFFFFF"/>
              </w:rPr>
              <w:t>.。</w:t>
            </w:r>
          </w:p>
        </w:tc>
      </w:tr>
      <w:tr w14:paraId="60CDB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14:paraId="508CB54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14:paraId="192C767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14:paraId="5C0BECB3">
            <w:pPr>
              <w:pStyle w:val="26"/>
              <w:ind w:firstLine="56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根据单位工作实际，在建立并实施内部监督和控制制度的过程中，以内控软件为基础，在工作过程中严格遵守各项制度，有效实施内部监督和控制，保证会计工作的真实性、完整性以及单位财产的安全，加强了对本单位财产物资的监督和管理，杜绝各种漏洞发生，达到了以下三点要求：</w:t>
            </w:r>
          </w:p>
          <w:p w14:paraId="0B6E5151">
            <w:pPr>
              <w:ind w:firstLine="560" w:firstLineChars="20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（1）明确单位会计和出纳的职责权限，使其相互分离。相互制约，以明确责任，防止舞弊，使各项业务事项得以有序开展。</w:t>
            </w:r>
          </w:p>
          <w:p w14:paraId="5980A21C">
            <w:pPr>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 xml:space="preserve">     （2）明确了财务收支审批程序和审批人的权限责任，规范了各项资金的使用，提高了资金使用效益。</w:t>
            </w:r>
          </w:p>
          <w:p w14:paraId="5C4AFF25">
            <w:pPr>
              <w:tabs>
                <w:tab w:val="left" w:pos="530"/>
              </w:tabs>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ab/>
            </w:r>
            <w:r>
              <w:rPr>
                <w:rFonts w:hint="eastAsia" w:ascii="仿宋" w:hAnsi="仿宋" w:eastAsia="仿宋"/>
                <w:kern w:val="0"/>
                <w:sz w:val="28"/>
                <w:szCs w:val="28"/>
                <w:shd w:val="clear" w:color="auto" w:fill="FFFFFF"/>
              </w:rPr>
              <w:t>（3）明确经费支出的范围和开支标准，采用有效措施控制经费开支，杜绝浪费现象的发生。</w:t>
            </w:r>
          </w:p>
          <w:p w14:paraId="10F4F20E">
            <w:pPr>
              <w:autoSpaceDN w:val="0"/>
              <w:spacing w:line="320" w:lineRule="exact"/>
              <w:jc w:val="left"/>
              <w:textAlignment w:val="center"/>
              <w:rPr>
                <w:rFonts w:ascii="仿宋" w:hAnsi="仿宋" w:eastAsia="仿宋"/>
                <w:kern w:val="0"/>
                <w:sz w:val="28"/>
                <w:szCs w:val="28"/>
                <w:shd w:val="clear" w:color="auto" w:fill="FFFFFF"/>
              </w:rPr>
            </w:pPr>
          </w:p>
        </w:tc>
      </w:tr>
      <w:tr w14:paraId="29676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9" w:hRule="atLeast"/>
          <w:jc w:val="center"/>
        </w:trPr>
        <w:tc>
          <w:tcPr>
            <w:tcW w:w="1654" w:type="dxa"/>
            <w:gridSpan w:val="2"/>
            <w:vAlign w:val="center"/>
          </w:tcPr>
          <w:p w14:paraId="1655FE90">
            <w:pPr>
              <w:autoSpaceDN w:val="0"/>
              <w:spacing w:line="320" w:lineRule="exact"/>
              <w:jc w:val="center"/>
              <w:textAlignment w:val="center"/>
              <w:rPr>
                <w:rFonts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14:paraId="71004F5A">
            <w:pPr>
              <w:widowControl/>
              <w:shd w:val="clear" w:color="auto" w:fill="FFFFFF"/>
              <w:spacing w:line="440" w:lineRule="exact"/>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 xml:space="preserve">   在财务工作过程中，我局严格按照《会计法》的要求，依法设置会计账簿，并保证其真实完整，根据单位实际发生业务事项进行会计核算、填制会计凭证、登记会计账簿、编制财务会计报告。严格执行国家有关财务法规，所发生的业务事项均在依法设置的会计账簿上统一登记、核算，依据国家统一的会计制度进行会计核算，确保数据真实有效。在安排支出时，分轻重缓急，保证常规和重点支出需要，根据各项工作任务，在财力可能的情况下，有保有压，确保重点，统筹安排，合理支出。</w:t>
            </w:r>
          </w:p>
          <w:p w14:paraId="6EBAB3E1">
            <w:pPr>
              <w:widowControl/>
              <w:shd w:val="clear" w:color="auto" w:fill="FFFFFF"/>
              <w:spacing w:line="440" w:lineRule="exact"/>
              <w:ind w:firstLine="560"/>
              <w:rPr>
                <w:rFonts w:ascii="仿宋" w:hAnsi="仿宋" w:eastAsia="仿宋"/>
                <w:kern w:val="0"/>
                <w:sz w:val="28"/>
                <w:szCs w:val="28"/>
                <w:shd w:val="clear" w:color="auto" w:fill="FFFFFF"/>
              </w:rPr>
            </w:pPr>
          </w:p>
        </w:tc>
      </w:tr>
      <w:tr w14:paraId="1F525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2D7F40C0">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14:paraId="651F0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73D578A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14:paraId="1E9487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14:paraId="5539CF4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14:paraId="748B246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14:paraId="76B12D0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60CCDF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vAlign w:val="center"/>
          </w:tcPr>
          <w:p w14:paraId="219B00F0">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vAlign w:val="center"/>
          </w:tcPr>
          <w:p w14:paraId="4FF1EE2C">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6660FF2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14:paraId="7F7A35B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14:paraId="2503AEA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14:paraId="1D0118D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14:paraId="11F0168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14:paraId="431C136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14:paraId="18CF5A6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14:paraId="6C4A2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14:paraId="3BB28B9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1C0680B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331.97</w:t>
            </w:r>
          </w:p>
        </w:tc>
        <w:tc>
          <w:tcPr>
            <w:tcW w:w="1355" w:type="dxa"/>
            <w:gridSpan w:val="2"/>
            <w:tcBorders>
              <w:left w:val="single" w:color="auto" w:sz="4" w:space="0"/>
            </w:tcBorders>
            <w:vAlign w:val="center"/>
          </w:tcPr>
          <w:p w14:paraId="38C8040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74.73</w:t>
            </w:r>
          </w:p>
        </w:tc>
        <w:tc>
          <w:tcPr>
            <w:tcW w:w="1080" w:type="dxa"/>
            <w:gridSpan w:val="2"/>
            <w:vAlign w:val="center"/>
          </w:tcPr>
          <w:p w14:paraId="4FA7AB9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257.24</w:t>
            </w:r>
          </w:p>
        </w:tc>
        <w:tc>
          <w:tcPr>
            <w:tcW w:w="1705" w:type="dxa"/>
            <w:gridSpan w:val="2"/>
            <w:vAlign w:val="center"/>
          </w:tcPr>
          <w:p w14:paraId="359FB85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800" w:type="dxa"/>
            <w:gridSpan w:val="4"/>
            <w:vAlign w:val="center"/>
          </w:tcPr>
          <w:p w14:paraId="3961D67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3"/>
            <w:vAlign w:val="center"/>
          </w:tcPr>
          <w:p w14:paraId="4781D41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14:paraId="186A3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14:paraId="15B17EFC">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6B0575F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331.97</w:t>
            </w:r>
          </w:p>
        </w:tc>
        <w:tc>
          <w:tcPr>
            <w:tcW w:w="1355" w:type="dxa"/>
            <w:gridSpan w:val="2"/>
            <w:tcBorders>
              <w:left w:val="single" w:color="auto" w:sz="4" w:space="0"/>
            </w:tcBorders>
            <w:vAlign w:val="center"/>
          </w:tcPr>
          <w:p w14:paraId="6B1CE76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74.73</w:t>
            </w:r>
          </w:p>
        </w:tc>
        <w:tc>
          <w:tcPr>
            <w:tcW w:w="1080" w:type="dxa"/>
            <w:gridSpan w:val="2"/>
            <w:vAlign w:val="center"/>
          </w:tcPr>
          <w:p w14:paraId="7E33F52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257.24</w:t>
            </w:r>
          </w:p>
        </w:tc>
        <w:tc>
          <w:tcPr>
            <w:tcW w:w="1705" w:type="dxa"/>
            <w:gridSpan w:val="2"/>
            <w:vAlign w:val="center"/>
          </w:tcPr>
          <w:p w14:paraId="0B3D5B5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800" w:type="dxa"/>
            <w:gridSpan w:val="4"/>
            <w:vAlign w:val="center"/>
          </w:tcPr>
          <w:p w14:paraId="4013C46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3"/>
            <w:vAlign w:val="center"/>
          </w:tcPr>
          <w:p w14:paraId="7AE9C34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14:paraId="55D2F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02" w:hRule="atLeast"/>
          <w:jc w:val="center"/>
        </w:trPr>
        <w:tc>
          <w:tcPr>
            <w:tcW w:w="1700" w:type="dxa"/>
            <w:gridSpan w:val="3"/>
            <w:vAlign w:val="center"/>
          </w:tcPr>
          <w:p w14:paraId="183C4F5B">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74722102">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0B034D10">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2A87825A">
            <w:pP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vAlign w:val="center"/>
          </w:tcPr>
          <w:p w14:paraId="58D3EC15">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14:paraId="207DC327">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7F0BCD54">
            <w:pPr>
              <w:autoSpaceDN w:val="0"/>
              <w:spacing w:line="320" w:lineRule="exact"/>
              <w:jc w:val="center"/>
              <w:textAlignment w:val="center"/>
              <w:rPr>
                <w:rFonts w:ascii="仿宋_GB2312" w:hAnsi="仿宋_GB2312" w:eastAsia="仿宋_GB2312" w:cs="仿宋_GB2312"/>
                <w:color w:val="000000"/>
                <w:sz w:val="24"/>
              </w:rPr>
            </w:pPr>
          </w:p>
        </w:tc>
      </w:tr>
      <w:tr w14:paraId="6D60D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14:paraId="710D5984">
            <w:pPr>
              <w:spacing w:line="320" w:lineRule="exac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60861F79">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690B4E9D">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4512BC75">
            <w:pPr>
              <w:autoSpaceDN w:val="0"/>
              <w:spacing w:line="320" w:lineRule="exact"/>
              <w:jc w:val="center"/>
              <w:textAlignment w:val="center"/>
              <w:rPr>
                <w:rFonts w:ascii="仿宋_GB2312" w:hAnsi="仿宋_GB2312" w:eastAsia="仿宋_GB2312" w:cs="仿宋_GB2312"/>
                <w:color w:val="000000"/>
                <w:sz w:val="24"/>
              </w:rPr>
            </w:pPr>
          </w:p>
        </w:tc>
        <w:tc>
          <w:tcPr>
            <w:tcW w:w="1705" w:type="dxa"/>
            <w:gridSpan w:val="2"/>
            <w:vAlign w:val="center"/>
          </w:tcPr>
          <w:p w14:paraId="009C1E78">
            <w:pPr>
              <w:autoSpaceDN w:val="0"/>
              <w:spacing w:line="320" w:lineRule="exact"/>
              <w:jc w:val="center"/>
              <w:textAlignment w:val="center"/>
              <w:rPr>
                <w:rFonts w:ascii="仿宋_GB2312" w:hAnsi="仿宋_GB2312" w:eastAsia="仿宋_GB2312" w:cs="仿宋_GB2312"/>
                <w:color w:val="000000"/>
                <w:sz w:val="24"/>
              </w:rPr>
            </w:pPr>
          </w:p>
        </w:tc>
        <w:tc>
          <w:tcPr>
            <w:tcW w:w="1800" w:type="dxa"/>
            <w:gridSpan w:val="4"/>
            <w:vAlign w:val="center"/>
          </w:tcPr>
          <w:p w14:paraId="2C8100D6">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vAlign w:val="center"/>
          </w:tcPr>
          <w:p w14:paraId="5AAF3FD2">
            <w:pPr>
              <w:autoSpaceDN w:val="0"/>
              <w:spacing w:line="320" w:lineRule="exact"/>
              <w:jc w:val="center"/>
              <w:textAlignment w:val="center"/>
              <w:rPr>
                <w:rFonts w:ascii="仿宋_GB2312" w:hAnsi="仿宋_GB2312" w:eastAsia="仿宋_GB2312" w:cs="仿宋_GB2312"/>
                <w:color w:val="000000"/>
                <w:sz w:val="24"/>
              </w:rPr>
            </w:pPr>
          </w:p>
        </w:tc>
      </w:tr>
      <w:tr w14:paraId="11D78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14:paraId="291D7BD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14:paraId="4C246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14:paraId="79B7FBC2">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6D44284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14:paraId="2DBB7CA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14:paraId="57B2256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14:paraId="6D41A2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3BBD162B">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25DF954F">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14:paraId="4AF0A1A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14:paraId="2A674A3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14:paraId="6607BCE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14:paraId="740880D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14:paraId="083D745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14:paraId="34A1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5614E6A9">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66AD9F17">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14:paraId="1375027E">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3D349FB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14:paraId="0EC3613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14:paraId="43BD313A">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14:paraId="3B6613B5">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vAlign w:val="center"/>
          </w:tcPr>
          <w:p w14:paraId="12A9CD45">
            <w:pPr>
              <w:autoSpaceDN w:val="0"/>
              <w:spacing w:line="320" w:lineRule="exact"/>
              <w:jc w:val="center"/>
              <w:textAlignment w:val="center"/>
              <w:rPr>
                <w:rFonts w:ascii="仿宋_GB2312" w:hAnsi="仿宋_GB2312" w:eastAsia="仿宋_GB2312" w:cs="仿宋_GB2312"/>
                <w:color w:val="000000"/>
                <w:sz w:val="24"/>
              </w:rPr>
            </w:pPr>
          </w:p>
        </w:tc>
      </w:tr>
      <w:tr w14:paraId="6F885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14:paraId="1D9A0BFA">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4AE8AD0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331.97</w:t>
            </w:r>
          </w:p>
        </w:tc>
        <w:tc>
          <w:tcPr>
            <w:tcW w:w="1355" w:type="dxa"/>
            <w:gridSpan w:val="2"/>
            <w:tcBorders>
              <w:left w:val="single" w:color="auto" w:sz="4" w:space="0"/>
            </w:tcBorders>
            <w:vAlign w:val="center"/>
          </w:tcPr>
          <w:p w14:paraId="1485240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94.57</w:t>
            </w:r>
          </w:p>
        </w:tc>
        <w:tc>
          <w:tcPr>
            <w:tcW w:w="1080" w:type="dxa"/>
            <w:gridSpan w:val="2"/>
            <w:vAlign w:val="center"/>
          </w:tcPr>
          <w:p w14:paraId="3AD533D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76.84</w:t>
            </w:r>
          </w:p>
        </w:tc>
        <w:tc>
          <w:tcPr>
            <w:tcW w:w="2160" w:type="dxa"/>
            <w:gridSpan w:val="4"/>
            <w:vAlign w:val="center"/>
          </w:tcPr>
          <w:p w14:paraId="4A3DB13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17.73</w:t>
            </w:r>
          </w:p>
        </w:tc>
        <w:tc>
          <w:tcPr>
            <w:tcW w:w="1080" w:type="dxa"/>
            <w:vAlign w:val="center"/>
          </w:tcPr>
          <w:p w14:paraId="20F43F4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235.9</w:t>
            </w:r>
          </w:p>
        </w:tc>
        <w:tc>
          <w:tcPr>
            <w:tcW w:w="720" w:type="dxa"/>
            <w:gridSpan w:val="3"/>
            <w:tcBorders>
              <w:right w:val="single" w:color="auto" w:sz="4" w:space="0"/>
            </w:tcBorders>
            <w:vAlign w:val="center"/>
          </w:tcPr>
          <w:p w14:paraId="7E90C14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w:t>
            </w:r>
          </w:p>
        </w:tc>
        <w:tc>
          <w:tcPr>
            <w:tcW w:w="625" w:type="dxa"/>
            <w:tcBorders>
              <w:left w:val="single" w:color="auto" w:sz="4" w:space="0"/>
            </w:tcBorders>
            <w:vAlign w:val="center"/>
          </w:tcPr>
          <w:p w14:paraId="1278D9DA">
            <w:pPr>
              <w:autoSpaceDN w:val="0"/>
              <w:spacing w:line="320" w:lineRule="exact"/>
              <w:jc w:val="center"/>
              <w:textAlignment w:val="center"/>
              <w:rPr>
                <w:rFonts w:ascii="仿宋_GB2312" w:hAnsi="仿宋_GB2312" w:eastAsia="仿宋_GB2312" w:cs="仿宋_GB2312"/>
                <w:color w:val="000000"/>
                <w:sz w:val="24"/>
              </w:rPr>
            </w:pPr>
          </w:p>
        </w:tc>
      </w:tr>
      <w:tr w14:paraId="150D8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4FFD4AFA">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2D31E5A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331.97</w:t>
            </w:r>
          </w:p>
        </w:tc>
        <w:tc>
          <w:tcPr>
            <w:tcW w:w="1355" w:type="dxa"/>
            <w:gridSpan w:val="2"/>
            <w:tcBorders>
              <w:left w:val="single" w:color="auto" w:sz="4" w:space="0"/>
            </w:tcBorders>
            <w:vAlign w:val="center"/>
          </w:tcPr>
          <w:p w14:paraId="6DD8FDC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94.57</w:t>
            </w:r>
          </w:p>
        </w:tc>
        <w:tc>
          <w:tcPr>
            <w:tcW w:w="1080" w:type="dxa"/>
            <w:gridSpan w:val="2"/>
            <w:vAlign w:val="center"/>
          </w:tcPr>
          <w:p w14:paraId="78E23CF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76.84</w:t>
            </w:r>
          </w:p>
        </w:tc>
        <w:tc>
          <w:tcPr>
            <w:tcW w:w="2160" w:type="dxa"/>
            <w:gridSpan w:val="4"/>
            <w:vAlign w:val="center"/>
          </w:tcPr>
          <w:p w14:paraId="57B3583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17.73</w:t>
            </w:r>
          </w:p>
        </w:tc>
        <w:tc>
          <w:tcPr>
            <w:tcW w:w="1080" w:type="dxa"/>
            <w:vAlign w:val="center"/>
          </w:tcPr>
          <w:p w14:paraId="5204D9B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235.9</w:t>
            </w:r>
          </w:p>
        </w:tc>
        <w:tc>
          <w:tcPr>
            <w:tcW w:w="720" w:type="dxa"/>
            <w:gridSpan w:val="3"/>
            <w:tcBorders>
              <w:right w:val="single" w:color="auto" w:sz="4" w:space="0"/>
            </w:tcBorders>
            <w:vAlign w:val="center"/>
          </w:tcPr>
          <w:p w14:paraId="0105898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1.5</w:t>
            </w:r>
          </w:p>
        </w:tc>
        <w:tc>
          <w:tcPr>
            <w:tcW w:w="625" w:type="dxa"/>
            <w:tcBorders>
              <w:left w:val="single" w:color="auto" w:sz="4" w:space="0"/>
            </w:tcBorders>
            <w:vAlign w:val="center"/>
          </w:tcPr>
          <w:p w14:paraId="5692B69A">
            <w:pPr>
              <w:autoSpaceDN w:val="0"/>
              <w:spacing w:line="320" w:lineRule="exact"/>
              <w:jc w:val="center"/>
              <w:textAlignment w:val="center"/>
              <w:rPr>
                <w:rFonts w:ascii="仿宋_GB2312" w:hAnsi="仿宋_GB2312" w:eastAsia="仿宋_GB2312" w:cs="仿宋_GB2312"/>
                <w:color w:val="000000"/>
                <w:sz w:val="24"/>
              </w:rPr>
            </w:pPr>
          </w:p>
        </w:tc>
      </w:tr>
      <w:tr w14:paraId="6CD59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50668865">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494EAE89">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2C2E1B81">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02358B4A">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64FE5B22">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14:paraId="527522C6">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14:paraId="6C544880">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25CF4F99">
            <w:pPr>
              <w:autoSpaceDN w:val="0"/>
              <w:spacing w:line="320" w:lineRule="exact"/>
              <w:jc w:val="center"/>
              <w:textAlignment w:val="center"/>
              <w:rPr>
                <w:rFonts w:ascii="仿宋_GB2312" w:hAnsi="仿宋_GB2312" w:eastAsia="仿宋_GB2312" w:cs="仿宋_GB2312"/>
                <w:color w:val="000000"/>
                <w:sz w:val="24"/>
              </w:rPr>
            </w:pPr>
          </w:p>
        </w:tc>
      </w:tr>
      <w:tr w14:paraId="5D85D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39A28178">
            <w:pPr>
              <w:spacing w:line="320" w:lineRule="exact"/>
              <w:jc w:val="left"/>
              <w:rPr>
                <w:rFonts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5809F2CA">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09DC2A97">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5DCA57EE">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7CEA7317">
            <w:pPr>
              <w:autoSpaceDN w:val="0"/>
              <w:spacing w:line="320" w:lineRule="exact"/>
              <w:jc w:val="center"/>
              <w:textAlignment w:val="center"/>
              <w:rPr>
                <w:rFonts w:ascii="仿宋_GB2312" w:hAnsi="仿宋_GB2312" w:eastAsia="仿宋_GB2312" w:cs="仿宋_GB2312"/>
                <w:color w:val="000000"/>
                <w:sz w:val="24"/>
              </w:rPr>
            </w:pPr>
          </w:p>
        </w:tc>
        <w:tc>
          <w:tcPr>
            <w:tcW w:w="1080" w:type="dxa"/>
            <w:vAlign w:val="center"/>
          </w:tcPr>
          <w:p w14:paraId="06D06305">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vAlign w:val="center"/>
          </w:tcPr>
          <w:p w14:paraId="3EC3C5EC">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vAlign w:val="center"/>
          </w:tcPr>
          <w:p w14:paraId="5E9B019D">
            <w:pPr>
              <w:autoSpaceDN w:val="0"/>
              <w:spacing w:line="320" w:lineRule="exact"/>
              <w:jc w:val="center"/>
              <w:textAlignment w:val="center"/>
              <w:rPr>
                <w:rFonts w:ascii="仿宋_GB2312" w:hAnsi="仿宋_GB2312" w:eastAsia="仿宋_GB2312" w:cs="仿宋_GB2312"/>
                <w:color w:val="000000"/>
                <w:sz w:val="24"/>
              </w:rPr>
            </w:pPr>
          </w:p>
        </w:tc>
      </w:tr>
      <w:tr w14:paraId="5EB86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9" w:hRule="atLeast"/>
          <w:jc w:val="center"/>
        </w:trPr>
        <w:tc>
          <w:tcPr>
            <w:tcW w:w="1700" w:type="dxa"/>
            <w:gridSpan w:val="3"/>
            <w:vMerge w:val="restart"/>
            <w:vAlign w:val="center"/>
          </w:tcPr>
          <w:p w14:paraId="1E5C925F">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75BF0B5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14:paraId="7912EFC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14:paraId="4F0C030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14:paraId="36A0F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16936B46">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20320FFC">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6AB10A6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14:paraId="5996654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14:paraId="5B13A50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14:paraId="57A27B7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14:paraId="6EC52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14:paraId="61795973">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3337612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8.54</w:t>
            </w:r>
          </w:p>
        </w:tc>
        <w:tc>
          <w:tcPr>
            <w:tcW w:w="1355" w:type="dxa"/>
            <w:gridSpan w:val="2"/>
            <w:tcBorders>
              <w:left w:val="single" w:color="auto" w:sz="4" w:space="0"/>
            </w:tcBorders>
            <w:vAlign w:val="center"/>
          </w:tcPr>
          <w:p w14:paraId="69D2922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14:paraId="774F5F6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8.54</w:t>
            </w:r>
          </w:p>
        </w:tc>
        <w:tc>
          <w:tcPr>
            <w:tcW w:w="2160" w:type="dxa"/>
            <w:gridSpan w:val="4"/>
            <w:vAlign w:val="center"/>
          </w:tcPr>
          <w:p w14:paraId="58CB661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14:paraId="0D9989C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14:paraId="74A07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4D09C6DC">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79AB025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8.54</w:t>
            </w:r>
          </w:p>
        </w:tc>
        <w:tc>
          <w:tcPr>
            <w:tcW w:w="1355" w:type="dxa"/>
            <w:gridSpan w:val="2"/>
            <w:tcBorders>
              <w:left w:val="single" w:color="auto" w:sz="4" w:space="0"/>
            </w:tcBorders>
            <w:vAlign w:val="center"/>
          </w:tcPr>
          <w:p w14:paraId="36F616C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14:paraId="18FDE58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8.54</w:t>
            </w:r>
          </w:p>
        </w:tc>
        <w:tc>
          <w:tcPr>
            <w:tcW w:w="2160" w:type="dxa"/>
            <w:gridSpan w:val="4"/>
            <w:vAlign w:val="center"/>
          </w:tcPr>
          <w:p w14:paraId="01E9D96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14:paraId="6342F51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14:paraId="25AAD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61E3FAF0">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3E48B17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355" w:type="dxa"/>
            <w:gridSpan w:val="2"/>
            <w:tcBorders>
              <w:left w:val="single" w:color="auto" w:sz="4" w:space="0"/>
            </w:tcBorders>
            <w:vAlign w:val="center"/>
          </w:tcPr>
          <w:p w14:paraId="324E68F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1080" w:type="dxa"/>
            <w:gridSpan w:val="2"/>
            <w:vAlign w:val="center"/>
          </w:tcPr>
          <w:p w14:paraId="500ACC7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160" w:type="dxa"/>
            <w:gridSpan w:val="4"/>
            <w:vAlign w:val="center"/>
          </w:tcPr>
          <w:p w14:paraId="4DF64F0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25" w:type="dxa"/>
            <w:gridSpan w:val="5"/>
            <w:vAlign w:val="center"/>
          </w:tcPr>
          <w:p w14:paraId="7A96265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14:paraId="390E1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4AB551E6">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26B5021C">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vAlign w:val="center"/>
          </w:tcPr>
          <w:p w14:paraId="17EF8DF4">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vAlign w:val="center"/>
          </w:tcPr>
          <w:p w14:paraId="46665DCB">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vAlign w:val="center"/>
          </w:tcPr>
          <w:p w14:paraId="6703D1D2">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vAlign w:val="center"/>
          </w:tcPr>
          <w:p w14:paraId="234A2635">
            <w:pPr>
              <w:autoSpaceDN w:val="0"/>
              <w:spacing w:line="320" w:lineRule="exact"/>
              <w:jc w:val="center"/>
              <w:textAlignment w:val="center"/>
              <w:rPr>
                <w:rFonts w:ascii="仿宋_GB2312" w:hAnsi="仿宋_GB2312" w:eastAsia="仿宋_GB2312" w:cs="仿宋_GB2312"/>
                <w:color w:val="000000"/>
                <w:sz w:val="24"/>
              </w:rPr>
            </w:pPr>
          </w:p>
        </w:tc>
      </w:tr>
      <w:tr w14:paraId="1369D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14:paraId="4BBEF09C">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14:paraId="30ADEB1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14:paraId="16EDAE7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14:paraId="79B200C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14:paraId="3A14AA5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14:paraId="5EAA1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14:paraId="692B643E">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vAlign w:val="center"/>
          </w:tcPr>
          <w:p w14:paraId="416F4BC7">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14:paraId="16AFAC1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14:paraId="5B66CE0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14:paraId="0AEBDAA6">
            <w:pPr>
              <w:autoSpaceDN w:val="0"/>
              <w:spacing w:line="320" w:lineRule="exact"/>
              <w:jc w:val="center"/>
              <w:textAlignment w:val="center"/>
              <w:rPr>
                <w:rFonts w:ascii="仿宋_GB2312" w:hAnsi="仿宋_GB2312" w:eastAsia="仿宋_GB2312" w:cs="仿宋_GB2312"/>
                <w:color w:val="000000"/>
                <w:sz w:val="24"/>
              </w:rPr>
            </w:pPr>
          </w:p>
        </w:tc>
      </w:tr>
      <w:tr w14:paraId="2B8AE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14:paraId="15CA36B2">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14:paraId="751A0C8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2435" w:type="dxa"/>
            <w:gridSpan w:val="4"/>
            <w:tcBorders>
              <w:left w:val="single" w:color="auto" w:sz="4" w:space="0"/>
            </w:tcBorders>
            <w:vAlign w:val="center"/>
          </w:tcPr>
          <w:p w14:paraId="40C0D57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3644" w:type="dxa"/>
            <w:gridSpan w:val="7"/>
            <w:vAlign w:val="center"/>
          </w:tcPr>
          <w:p w14:paraId="7A0407E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14:paraId="424A054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14:paraId="2BABC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2B1B21C2">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14:paraId="08E76AC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2435" w:type="dxa"/>
            <w:gridSpan w:val="4"/>
            <w:tcBorders>
              <w:left w:val="single" w:color="auto" w:sz="4" w:space="0"/>
            </w:tcBorders>
            <w:vAlign w:val="center"/>
          </w:tcPr>
          <w:p w14:paraId="5A49373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45.66</w:t>
            </w:r>
          </w:p>
        </w:tc>
        <w:tc>
          <w:tcPr>
            <w:tcW w:w="3644" w:type="dxa"/>
            <w:gridSpan w:val="7"/>
            <w:vAlign w:val="center"/>
          </w:tcPr>
          <w:p w14:paraId="5750F7D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14:paraId="4C984E3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14:paraId="1AE4B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133DC6E8">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vAlign w:val="center"/>
          </w:tcPr>
          <w:p w14:paraId="4A1DB72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2435" w:type="dxa"/>
            <w:gridSpan w:val="4"/>
            <w:tcBorders>
              <w:left w:val="single" w:color="auto" w:sz="4" w:space="0"/>
            </w:tcBorders>
            <w:vAlign w:val="center"/>
          </w:tcPr>
          <w:p w14:paraId="797A297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3644" w:type="dxa"/>
            <w:gridSpan w:val="7"/>
            <w:vAlign w:val="center"/>
          </w:tcPr>
          <w:p w14:paraId="1DD1322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941" w:type="dxa"/>
            <w:gridSpan w:val="2"/>
            <w:vAlign w:val="center"/>
          </w:tcPr>
          <w:p w14:paraId="1B96460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14:paraId="0E5D4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14:paraId="3407F012">
            <w:pPr>
              <w:spacing w:line="320" w:lineRule="exact"/>
              <w:jc w:val="left"/>
              <w:rPr>
                <w:rFonts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vAlign w:val="center"/>
          </w:tcPr>
          <w:p w14:paraId="3D4F29C0">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vAlign w:val="center"/>
          </w:tcPr>
          <w:p w14:paraId="2264C2D8">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vAlign w:val="center"/>
          </w:tcPr>
          <w:p w14:paraId="763952CB">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vAlign w:val="center"/>
          </w:tcPr>
          <w:p w14:paraId="47EE9C29">
            <w:pPr>
              <w:autoSpaceDN w:val="0"/>
              <w:spacing w:line="320" w:lineRule="exact"/>
              <w:jc w:val="center"/>
              <w:textAlignment w:val="center"/>
              <w:rPr>
                <w:rFonts w:ascii="仿宋_GB2312" w:hAnsi="仿宋_GB2312" w:eastAsia="仿宋_GB2312" w:cs="仿宋_GB2312"/>
                <w:color w:val="000000"/>
                <w:sz w:val="24"/>
              </w:rPr>
            </w:pPr>
          </w:p>
        </w:tc>
      </w:tr>
      <w:tr w14:paraId="0BDBC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14:paraId="218DDC4B">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14:paraId="0158E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14:paraId="541616F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14:paraId="66CAC76F">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14:paraId="5893E53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14:paraId="1D42A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vAlign w:val="center"/>
          </w:tcPr>
          <w:p w14:paraId="01F86F1E">
            <w:pPr>
              <w:spacing w:line="320" w:lineRule="exact"/>
              <w:rPr>
                <w:rFonts w:ascii="仿宋_GB2312" w:hAnsi="仿宋_GB2312" w:eastAsia="仿宋_GB2312" w:cs="仿宋_GB2312"/>
                <w:sz w:val="24"/>
              </w:rPr>
            </w:pPr>
          </w:p>
        </w:tc>
        <w:tc>
          <w:tcPr>
            <w:tcW w:w="3774" w:type="dxa"/>
            <w:gridSpan w:val="7"/>
            <w:vAlign w:val="center"/>
          </w:tcPr>
          <w:p w14:paraId="4F91864A">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目标1：围绕灾后恢复重建，及时提供前瞻性、针对性的信访服务。</w:t>
            </w:r>
          </w:p>
          <w:p w14:paraId="089D2982">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目标2：普法宣传护航精准扶贫</w:t>
            </w:r>
          </w:p>
          <w:p w14:paraId="6BE42E36">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目标3：以推进平安建设为主题，切实提供更强法律保障。</w:t>
            </w:r>
          </w:p>
          <w:p w14:paraId="1902D883">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目标4：以建设法治九寨为主导，切实营造良好法治环境.</w:t>
            </w:r>
          </w:p>
          <w:p w14:paraId="43D1671D">
            <w:pPr>
              <w:autoSpaceDN w:val="0"/>
              <w:spacing w:line="320" w:lineRule="exac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目标5：以服务经济发展为主线，切实推行更优信访服务</w:t>
            </w:r>
          </w:p>
          <w:p w14:paraId="7149DF70">
            <w:pPr>
              <w:autoSpaceDN w:val="0"/>
              <w:spacing w:line="320" w:lineRule="exact"/>
              <w:jc w:val="left"/>
              <w:textAlignment w:val="center"/>
              <w:rPr>
                <w:rFonts w:ascii="仿宋_GB2312" w:hAnsi="仿宋_GB2312" w:eastAsia="仿宋_GB2312" w:cs="仿宋_GB2312"/>
                <w:color w:val="000000"/>
                <w:sz w:val="24"/>
              </w:rPr>
            </w:pPr>
          </w:p>
        </w:tc>
        <w:tc>
          <w:tcPr>
            <w:tcW w:w="4585" w:type="dxa"/>
            <w:gridSpan w:val="9"/>
            <w:vAlign w:val="center"/>
          </w:tcPr>
          <w:p w14:paraId="142B9F59">
            <w:pPr>
              <w:autoSpaceDN w:val="0"/>
              <w:spacing w:line="320" w:lineRule="exact"/>
              <w:ind w:firstLine="480" w:firstLineChars="200"/>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开展信访知识宣传，开展入户走访活动；围绕精准扶贫开展信访宣传，引导群众学会运用法律解决纠纷，维护自身合法权益。以“法律七进”为载体，抓重点节日点信访宣传，在</w:t>
            </w:r>
            <w:bookmarkStart w:id="71" w:name="_GoBack"/>
            <w:bookmarkEnd w:id="71"/>
            <w:r>
              <w:rPr>
                <w:rFonts w:hint="eastAsia" w:ascii="仿宋_GB2312" w:hAnsi="仿宋_GB2312" w:eastAsia="仿宋_GB2312" w:cs="仿宋_GB2312"/>
                <w:color w:val="000000"/>
                <w:sz w:val="24"/>
              </w:rPr>
              <w:t>“3.8”“3.15”等重要时间节点，围绕“九绵高速征地拆迁”“违建强拆”“依法规范管理景区秩序”等中心工作，集中开展各类信访法治宣传活动。全年开展信访宣传活动4场次，发放宣传资料13000余份。</w:t>
            </w:r>
          </w:p>
          <w:p w14:paraId="5C667EDE">
            <w:pPr>
              <w:autoSpaceDN w:val="0"/>
              <w:spacing w:line="320" w:lineRule="exact"/>
              <w:jc w:val="center"/>
              <w:textAlignment w:val="center"/>
              <w:rPr>
                <w:rFonts w:ascii="仿宋_GB2312" w:hAnsi="仿宋_GB2312" w:eastAsia="仿宋_GB2312" w:cs="仿宋_GB2312"/>
                <w:color w:val="000000"/>
                <w:sz w:val="24"/>
              </w:rPr>
            </w:pPr>
          </w:p>
        </w:tc>
      </w:tr>
      <w:tr w14:paraId="57CBA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14:paraId="69BDED5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14:paraId="2A0AB91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14:paraId="2FB65C6E">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14:paraId="1AF9449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14:paraId="2D20118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14:paraId="4BDE3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39CE6B0A">
            <w:pPr>
              <w:spacing w:line="320" w:lineRule="exact"/>
              <w:rPr>
                <w:rFonts w:ascii="仿宋_GB2312" w:hAnsi="仿宋_GB2312" w:eastAsia="仿宋_GB2312" w:cs="仿宋_GB2312"/>
                <w:sz w:val="24"/>
              </w:rPr>
            </w:pPr>
          </w:p>
        </w:tc>
        <w:tc>
          <w:tcPr>
            <w:tcW w:w="1549" w:type="dxa"/>
            <w:gridSpan w:val="4"/>
            <w:vMerge w:val="restart"/>
            <w:vAlign w:val="center"/>
          </w:tcPr>
          <w:p w14:paraId="2D04B20C">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14:paraId="3944484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（部门工作实绩，包含上级部门和市委市政府布置的重点工作、实事任务等，根据部门实际进行调整细化）</w:t>
            </w:r>
          </w:p>
        </w:tc>
        <w:tc>
          <w:tcPr>
            <w:tcW w:w="1417" w:type="dxa"/>
            <w:gridSpan w:val="2"/>
            <w:vMerge w:val="restart"/>
            <w:vAlign w:val="center"/>
          </w:tcPr>
          <w:p w14:paraId="14C41319">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14:paraId="78CC1BF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Cs w:val="21"/>
              </w:rPr>
              <w:t>三公经费控制率</w:t>
            </w:r>
          </w:p>
        </w:tc>
        <w:tc>
          <w:tcPr>
            <w:tcW w:w="2684" w:type="dxa"/>
            <w:gridSpan w:val="6"/>
            <w:vAlign w:val="center"/>
          </w:tcPr>
          <w:p w14:paraId="69A5FA3A">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08A15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46C773C1">
            <w:pPr>
              <w:spacing w:line="320" w:lineRule="exact"/>
              <w:rPr>
                <w:rFonts w:ascii="仿宋_GB2312" w:hAnsi="仿宋_GB2312" w:eastAsia="仿宋_GB2312" w:cs="仿宋_GB2312"/>
                <w:sz w:val="24"/>
              </w:rPr>
            </w:pPr>
          </w:p>
        </w:tc>
        <w:tc>
          <w:tcPr>
            <w:tcW w:w="1549" w:type="dxa"/>
            <w:gridSpan w:val="4"/>
            <w:vMerge w:val="continue"/>
            <w:vAlign w:val="center"/>
          </w:tcPr>
          <w:p w14:paraId="7587D357">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072EF5A2">
            <w:pPr>
              <w:spacing w:line="320" w:lineRule="exact"/>
              <w:rPr>
                <w:rFonts w:ascii="仿宋_GB2312" w:hAnsi="仿宋_GB2312" w:eastAsia="仿宋_GB2312" w:cs="仿宋_GB2312"/>
                <w:sz w:val="24"/>
              </w:rPr>
            </w:pPr>
          </w:p>
        </w:tc>
        <w:tc>
          <w:tcPr>
            <w:tcW w:w="2709" w:type="dxa"/>
            <w:gridSpan w:val="4"/>
            <w:vAlign w:val="center"/>
          </w:tcPr>
          <w:p w14:paraId="101A714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指标2：政府采购执行率</w:t>
            </w:r>
          </w:p>
        </w:tc>
        <w:tc>
          <w:tcPr>
            <w:tcW w:w="2684" w:type="dxa"/>
            <w:gridSpan w:val="6"/>
            <w:vAlign w:val="center"/>
          </w:tcPr>
          <w:p w14:paraId="3272065C">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43AAD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9" w:hRule="atLeast"/>
          <w:jc w:val="center"/>
        </w:trPr>
        <w:tc>
          <w:tcPr>
            <w:tcW w:w="1441" w:type="dxa"/>
            <w:vMerge w:val="continue"/>
            <w:vAlign w:val="center"/>
          </w:tcPr>
          <w:p w14:paraId="69FE5998">
            <w:pPr>
              <w:spacing w:line="320" w:lineRule="exact"/>
              <w:rPr>
                <w:rFonts w:ascii="仿宋_GB2312" w:hAnsi="仿宋_GB2312" w:eastAsia="仿宋_GB2312" w:cs="仿宋_GB2312"/>
                <w:sz w:val="24"/>
              </w:rPr>
            </w:pPr>
          </w:p>
        </w:tc>
        <w:tc>
          <w:tcPr>
            <w:tcW w:w="1549" w:type="dxa"/>
            <w:gridSpan w:val="4"/>
            <w:vMerge w:val="continue"/>
            <w:vAlign w:val="center"/>
          </w:tcPr>
          <w:p w14:paraId="482951E5">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69AD4C37">
            <w:pPr>
              <w:spacing w:line="320" w:lineRule="exact"/>
              <w:rPr>
                <w:rFonts w:ascii="仿宋_GB2312" w:hAnsi="仿宋_GB2312" w:eastAsia="仿宋_GB2312" w:cs="仿宋_GB2312"/>
                <w:sz w:val="24"/>
              </w:rPr>
            </w:pPr>
          </w:p>
        </w:tc>
        <w:tc>
          <w:tcPr>
            <w:tcW w:w="2709" w:type="dxa"/>
            <w:gridSpan w:val="4"/>
            <w:vAlign w:val="center"/>
          </w:tcPr>
          <w:p w14:paraId="1407FCA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指标3：各项经济指标完成率</w:t>
            </w:r>
          </w:p>
        </w:tc>
        <w:tc>
          <w:tcPr>
            <w:tcW w:w="2684" w:type="dxa"/>
            <w:gridSpan w:val="6"/>
            <w:vAlign w:val="center"/>
          </w:tcPr>
          <w:p w14:paraId="4A62E432">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20B9B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216D94F8">
            <w:pPr>
              <w:spacing w:line="320" w:lineRule="exact"/>
              <w:rPr>
                <w:rFonts w:ascii="仿宋_GB2312" w:hAnsi="仿宋_GB2312" w:eastAsia="仿宋_GB2312" w:cs="仿宋_GB2312"/>
                <w:sz w:val="24"/>
              </w:rPr>
            </w:pPr>
          </w:p>
        </w:tc>
        <w:tc>
          <w:tcPr>
            <w:tcW w:w="1549" w:type="dxa"/>
            <w:gridSpan w:val="4"/>
            <w:vMerge w:val="continue"/>
            <w:vAlign w:val="center"/>
          </w:tcPr>
          <w:p w14:paraId="6AACD9AE">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18EDCC55">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vAlign w:val="center"/>
          </w:tcPr>
          <w:p w14:paraId="7BEBAD4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指标1：财政供养人员控制率</w:t>
            </w:r>
          </w:p>
        </w:tc>
        <w:tc>
          <w:tcPr>
            <w:tcW w:w="2684" w:type="dxa"/>
            <w:gridSpan w:val="6"/>
            <w:vAlign w:val="center"/>
          </w:tcPr>
          <w:p w14:paraId="3E0E6E2A">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424A8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14:paraId="024778A1">
            <w:pPr>
              <w:spacing w:line="320" w:lineRule="exact"/>
              <w:rPr>
                <w:rFonts w:ascii="仿宋_GB2312" w:hAnsi="仿宋_GB2312" w:eastAsia="仿宋_GB2312" w:cs="仿宋_GB2312"/>
                <w:sz w:val="24"/>
              </w:rPr>
            </w:pPr>
          </w:p>
        </w:tc>
        <w:tc>
          <w:tcPr>
            <w:tcW w:w="1549" w:type="dxa"/>
            <w:gridSpan w:val="4"/>
            <w:vMerge w:val="continue"/>
            <w:vAlign w:val="center"/>
          </w:tcPr>
          <w:p w14:paraId="6B7854D7">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26B5260D">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14:paraId="015966C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指标2：开展信访宣传</w:t>
            </w:r>
          </w:p>
        </w:tc>
        <w:tc>
          <w:tcPr>
            <w:tcW w:w="2684" w:type="dxa"/>
            <w:gridSpan w:val="6"/>
            <w:vAlign w:val="center"/>
          </w:tcPr>
          <w:p w14:paraId="56E8708C">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3F6B5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14:paraId="29A12047">
            <w:pPr>
              <w:spacing w:line="320" w:lineRule="exact"/>
              <w:rPr>
                <w:rFonts w:ascii="仿宋_GB2312" w:hAnsi="仿宋_GB2312" w:eastAsia="仿宋_GB2312" w:cs="仿宋_GB2312"/>
                <w:sz w:val="24"/>
              </w:rPr>
            </w:pPr>
          </w:p>
        </w:tc>
        <w:tc>
          <w:tcPr>
            <w:tcW w:w="1549" w:type="dxa"/>
            <w:gridSpan w:val="4"/>
            <w:vMerge w:val="continue"/>
            <w:vAlign w:val="center"/>
          </w:tcPr>
          <w:p w14:paraId="68C0EBB5">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3950D84E">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14:paraId="2A9A1F7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：开展精准</w:t>
            </w:r>
            <w:r>
              <w:rPr>
                <w:rFonts w:ascii="仿宋_GB2312" w:hAnsi="仿宋_GB2312" w:eastAsia="仿宋_GB2312" w:cs="仿宋_GB2312"/>
                <w:color w:val="000000"/>
                <w:sz w:val="24"/>
              </w:rPr>
              <w:t>帮扶</w:t>
            </w:r>
          </w:p>
        </w:tc>
        <w:tc>
          <w:tcPr>
            <w:tcW w:w="2684" w:type="dxa"/>
            <w:gridSpan w:val="6"/>
            <w:vAlign w:val="center"/>
          </w:tcPr>
          <w:p w14:paraId="50D72C50">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3E3E0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3" w:hRule="atLeast"/>
          <w:jc w:val="center"/>
        </w:trPr>
        <w:tc>
          <w:tcPr>
            <w:tcW w:w="1441" w:type="dxa"/>
            <w:vMerge w:val="continue"/>
            <w:vAlign w:val="center"/>
          </w:tcPr>
          <w:p w14:paraId="7CA38DC3">
            <w:pPr>
              <w:spacing w:line="320" w:lineRule="exact"/>
              <w:rPr>
                <w:rFonts w:ascii="仿宋_GB2312" w:hAnsi="仿宋_GB2312" w:eastAsia="仿宋_GB2312" w:cs="仿宋_GB2312"/>
                <w:sz w:val="24"/>
              </w:rPr>
            </w:pPr>
          </w:p>
        </w:tc>
        <w:tc>
          <w:tcPr>
            <w:tcW w:w="1549" w:type="dxa"/>
            <w:gridSpan w:val="4"/>
            <w:vMerge w:val="continue"/>
            <w:vAlign w:val="center"/>
          </w:tcPr>
          <w:p w14:paraId="6ED9D506">
            <w:pPr>
              <w:autoSpaceDN w:val="0"/>
              <w:spacing w:line="320" w:lineRule="exact"/>
              <w:rPr>
                <w:rFonts w:ascii="仿宋_GB2312" w:hAnsi="仿宋_GB2312" w:eastAsia="仿宋_GB2312" w:cs="仿宋_GB2312"/>
                <w:sz w:val="24"/>
              </w:rPr>
            </w:pPr>
          </w:p>
        </w:tc>
        <w:tc>
          <w:tcPr>
            <w:tcW w:w="1417" w:type="dxa"/>
            <w:gridSpan w:val="2"/>
            <w:vAlign w:val="center"/>
          </w:tcPr>
          <w:p w14:paraId="0D2FF431">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14:paraId="3076F4D8">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指标1：规定</w:t>
            </w:r>
            <w:r>
              <w:rPr>
                <w:rFonts w:ascii="仿宋_GB2312" w:hAnsi="仿宋_GB2312" w:eastAsia="仿宋_GB2312" w:cs="仿宋_GB2312"/>
                <w:color w:val="000000"/>
                <w:sz w:val="24"/>
              </w:rPr>
              <w:t>时间内完成</w:t>
            </w:r>
          </w:p>
        </w:tc>
        <w:tc>
          <w:tcPr>
            <w:tcW w:w="2684" w:type="dxa"/>
            <w:gridSpan w:val="6"/>
            <w:vMerge w:val="restart"/>
            <w:vAlign w:val="center"/>
          </w:tcPr>
          <w:p w14:paraId="78B5A129">
            <w:pPr>
              <w:autoSpaceDN w:val="0"/>
              <w:spacing w:line="320" w:lineRule="exact"/>
              <w:jc w:val="center"/>
              <w:textAlignment w:val="center"/>
            </w:pPr>
            <w:r>
              <w:rPr>
                <w:rFonts w:hint="eastAsia" w:ascii="仿宋_GB2312" w:hAnsi="仿宋_GB2312" w:eastAsia="仿宋_GB2312" w:cs="仿宋_GB2312"/>
                <w:b/>
                <w:color w:val="000000"/>
                <w:sz w:val="24"/>
              </w:rPr>
              <w:t>100</w:t>
            </w:r>
          </w:p>
        </w:tc>
      </w:tr>
      <w:tr w14:paraId="22604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0C9A5406">
            <w:pPr>
              <w:spacing w:line="320" w:lineRule="exact"/>
              <w:rPr>
                <w:rFonts w:ascii="仿宋_GB2312" w:hAnsi="仿宋_GB2312" w:eastAsia="仿宋_GB2312" w:cs="仿宋_GB2312"/>
                <w:sz w:val="24"/>
              </w:rPr>
            </w:pPr>
          </w:p>
        </w:tc>
        <w:tc>
          <w:tcPr>
            <w:tcW w:w="1549" w:type="dxa"/>
            <w:gridSpan w:val="4"/>
            <w:vMerge w:val="continue"/>
            <w:vAlign w:val="center"/>
          </w:tcPr>
          <w:p w14:paraId="07BAFBAC">
            <w:pPr>
              <w:autoSpaceDN w:val="0"/>
              <w:spacing w:line="320" w:lineRule="exact"/>
              <w:rPr>
                <w:rFonts w:ascii="仿宋_GB2312" w:hAnsi="仿宋_GB2312" w:eastAsia="仿宋_GB2312" w:cs="仿宋_GB2312"/>
                <w:sz w:val="24"/>
              </w:rPr>
            </w:pPr>
          </w:p>
        </w:tc>
        <w:tc>
          <w:tcPr>
            <w:tcW w:w="1417" w:type="dxa"/>
            <w:gridSpan w:val="2"/>
            <w:vMerge w:val="restart"/>
            <w:vAlign w:val="center"/>
          </w:tcPr>
          <w:p w14:paraId="7B472560">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vAlign w:val="center"/>
          </w:tcPr>
          <w:p w14:paraId="5AF168B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指标1：固定资产利用率</w:t>
            </w:r>
          </w:p>
        </w:tc>
        <w:tc>
          <w:tcPr>
            <w:tcW w:w="2684" w:type="dxa"/>
            <w:gridSpan w:val="6"/>
            <w:vAlign w:val="center"/>
          </w:tcPr>
          <w:p w14:paraId="247002B6">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51FBC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06FC8AE6">
            <w:pPr>
              <w:spacing w:line="320" w:lineRule="exact"/>
              <w:rPr>
                <w:rFonts w:ascii="仿宋_GB2312" w:hAnsi="仿宋_GB2312" w:eastAsia="仿宋_GB2312" w:cs="仿宋_GB2312"/>
                <w:sz w:val="24"/>
              </w:rPr>
            </w:pPr>
          </w:p>
        </w:tc>
        <w:tc>
          <w:tcPr>
            <w:tcW w:w="1549" w:type="dxa"/>
            <w:gridSpan w:val="4"/>
            <w:vMerge w:val="continue"/>
            <w:vAlign w:val="center"/>
          </w:tcPr>
          <w:p w14:paraId="46E8D474">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38DA9651">
            <w:pPr>
              <w:autoSpaceDN w:val="0"/>
              <w:spacing w:line="320" w:lineRule="exact"/>
              <w:jc w:val="center"/>
              <w:textAlignment w:val="center"/>
              <w:rPr>
                <w:rFonts w:ascii="仿宋_GB2312" w:hAnsi="仿宋_GB2312" w:eastAsia="仿宋_GB2312" w:cs="仿宋_GB2312"/>
                <w:color w:val="000000"/>
                <w:sz w:val="24"/>
              </w:rPr>
            </w:pPr>
          </w:p>
        </w:tc>
        <w:tc>
          <w:tcPr>
            <w:tcW w:w="2709" w:type="dxa"/>
            <w:gridSpan w:val="4"/>
            <w:vAlign w:val="center"/>
          </w:tcPr>
          <w:p w14:paraId="30A5C861">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指标2：人员经费支付率</w:t>
            </w:r>
          </w:p>
        </w:tc>
        <w:tc>
          <w:tcPr>
            <w:tcW w:w="2684" w:type="dxa"/>
            <w:gridSpan w:val="6"/>
            <w:vAlign w:val="center"/>
          </w:tcPr>
          <w:p w14:paraId="3381B283">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6F079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2642BE27">
            <w:pPr>
              <w:spacing w:line="320" w:lineRule="exact"/>
              <w:rPr>
                <w:rFonts w:ascii="仿宋_GB2312" w:hAnsi="仿宋_GB2312" w:eastAsia="仿宋_GB2312" w:cs="仿宋_GB2312"/>
                <w:sz w:val="24"/>
              </w:rPr>
            </w:pPr>
          </w:p>
        </w:tc>
        <w:tc>
          <w:tcPr>
            <w:tcW w:w="1549" w:type="dxa"/>
            <w:gridSpan w:val="4"/>
            <w:vMerge w:val="continue"/>
            <w:vAlign w:val="center"/>
          </w:tcPr>
          <w:p w14:paraId="5942861F">
            <w:pPr>
              <w:autoSpaceDN w:val="0"/>
              <w:spacing w:line="320" w:lineRule="exact"/>
              <w:rPr>
                <w:rFonts w:ascii="仿宋_GB2312" w:hAnsi="仿宋_GB2312" w:eastAsia="仿宋_GB2312" w:cs="仿宋_GB2312"/>
                <w:sz w:val="24"/>
              </w:rPr>
            </w:pPr>
          </w:p>
        </w:tc>
        <w:tc>
          <w:tcPr>
            <w:tcW w:w="1417" w:type="dxa"/>
            <w:gridSpan w:val="2"/>
            <w:vMerge w:val="continue"/>
            <w:vAlign w:val="center"/>
          </w:tcPr>
          <w:p w14:paraId="30BC9A35">
            <w:pPr>
              <w:autoSpaceDN w:val="0"/>
              <w:spacing w:line="320" w:lineRule="exact"/>
              <w:jc w:val="center"/>
              <w:textAlignment w:val="center"/>
              <w:rPr>
                <w:rFonts w:ascii="仿宋_GB2312" w:hAnsi="仿宋_GB2312" w:eastAsia="仿宋_GB2312" w:cs="仿宋_GB2312"/>
                <w:sz w:val="24"/>
              </w:rPr>
            </w:pPr>
          </w:p>
        </w:tc>
        <w:tc>
          <w:tcPr>
            <w:tcW w:w="2709" w:type="dxa"/>
            <w:gridSpan w:val="4"/>
            <w:vAlign w:val="center"/>
          </w:tcPr>
          <w:p w14:paraId="6E865049">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：整体支出绩效控制</w:t>
            </w:r>
          </w:p>
        </w:tc>
        <w:tc>
          <w:tcPr>
            <w:tcW w:w="2684" w:type="dxa"/>
            <w:gridSpan w:val="6"/>
            <w:vAlign w:val="center"/>
          </w:tcPr>
          <w:p w14:paraId="60785E6B">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4416C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7A9F2524">
            <w:pPr>
              <w:spacing w:line="320" w:lineRule="exact"/>
              <w:rPr>
                <w:rFonts w:ascii="仿宋_GB2312" w:hAnsi="仿宋_GB2312" w:eastAsia="仿宋_GB2312" w:cs="仿宋_GB2312"/>
                <w:sz w:val="24"/>
              </w:rPr>
            </w:pPr>
          </w:p>
        </w:tc>
        <w:tc>
          <w:tcPr>
            <w:tcW w:w="1549" w:type="dxa"/>
            <w:gridSpan w:val="4"/>
            <w:vMerge w:val="restart"/>
            <w:vAlign w:val="center"/>
          </w:tcPr>
          <w:p w14:paraId="5E952A7A">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14:paraId="61CB2BA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14:paraId="1655196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14:paraId="7F4A1B0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干部</w:t>
            </w:r>
            <w:r>
              <w:rPr>
                <w:rFonts w:ascii="仿宋_GB2312" w:hAnsi="仿宋_GB2312" w:eastAsia="仿宋_GB2312" w:cs="仿宋_GB2312"/>
                <w:color w:val="000000"/>
                <w:sz w:val="24"/>
              </w:rPr>
              <w:t>群众法治意识提升</w:t>
            </w:r>
          </w:p>
        </w:tc>
        <w:tc>
          <w:tcPr>
            <w:tcW w:w="2684" w:type="dxa"/>
            <w:gridSpan w:val="6"/>
            <w:vAlign w:val="center"/>
          </w:tcPr>
          <w:p w14:paraId="1D43EB15">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效果较好</w:t>
            </w:r>
          </w:p>
        </w:tc>
      </w:tr>
      <w:tr w14:paraId="22568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4BC75F5E">
            <w:pPr>
              <w:spacing w:line="320" w:lineRule="exact"/>
              <w:rPr>
                <w:rFonts w:ascii="仿宋_GB2312" w:hAnsi="仿宋_GB2312" w:eastAsia="仿宋_GB2312" w:cs="仿宋_GB2312"/>
                <w:sz w:val="24"/>
              </w:rPr>
            </w:pPr>
          </w:p>
        </w:tc>
        <w:tc>
          <w:tcPr>
            <w:tcW w:w="1549" w:type="dxa"/>
            <w:gridSpan w:val="4"/>
            <w:vMerge w:val="continue"/>
            <w:vAlign w:val="center"/>
          </w:tcPr>
          <w:p w14:paraId="410C1570">
            <w:pPr>
              <w:autoSpaceDN w:val="0"/>
              <w:spacing w:line="320" w:lineRule="exact"/>
              <w:rPr>
                <w:rFonts w:ascii="仿宋_GB2312" w:hAnsi="仿宋_GB2312" w:eastAsia="仿宋_GB2312" w:cs="仿宋_GB2312"/>
                <w:sz w:val="24"/>
              </w:rPr>
            </w:pPr>
          </w:p>
        </w:tc>
        <w:tc>
          <w:tcPr>
            <w:tcW w:w="1417" w:type="dxa"/>
            <w:gridSpan w:val="2"/>
            <w:vAlign w:val="center"/>
          </w:tcPr>
          <w:p w14:paraId="56884F6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14:paraId="7F66478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指标1：节能</w:t>
            </w:r>
            <w:r>
              <w:rPr>
                <w:rFonts w:ascii="仿宋_GB2312" w:hAnsi="仿宋_GB2312" w:eastAsia="仿宋_GB2312" w:cs="仿宋_GB2312"/>
                <w:color w:val="000000"/>
                <w:sz w:val="24"/>
              </w:rPr>
              <w:t>节俭效果</w:t>
            </w:r>
          </w:p>
        </w:tc>
        <w:tc>
          <w:tcPr>
            <w:tcW w:w="2684" w:type="dxa"/>
            <w:gridSpan w:val="6"/>
            <w:vAlign w:val="center"/>
          </w:tcPr>
          <w:p w14:paraId="3DFF1DBB">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效果较好</w:t>
            </w:r>
          </w:p>
        </w:tc>
      </w:tr>
      <w:tr w14:paraId="7EAE6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71BD2F5A">
            <w:pPr>
              <w:spacing w:line="320" w:lineRule="exact"/>
              <w:rPr>
                <w:rFonts w:ascii="仿宋_GB2312" w:hAnsi="仿宋_GB2312" w:eastAsia="仿宋_GB2312" w:cs="仿宋_GB2312"/>
                <w:sz w:val="24"/>
              </w:rPr>
            </w:pPr>
          </w:p>
        </w:tc>
        <w:tc>
          <w:tcPr>
            <w:tcW w:w="1549" w:type="dxa"/>
            <w:gridSpan w:val="4"/>
            <w:vMerge w:val="continue"/>
            <w:vAlign w:val="center"/>
          </w:tcPr>
          <w:p w14:paraId="71744390">
            <w:pPr>
              <w:autoSpaceDN w:val="0"/>
              <w:spacing w:line="320" w:lineRule="exact"/>
              <w:rPr>
                <w:rFonts w:ascii="仿宋_GB2312" w:hAnsi="仿宋_GB2312" w:eastAsia="仿宋_GB2312" w:cs="仿宋_GB2312"/>
                <w:sz w:val="24"/>
              </w:rPr>
            </w:pPr>
          </w:p>
        </w:tc>
        <w:tc>
          <w:tcPr>
            <w:tcW w:w="1417" w:type="dxa"/>
            <w:gridSpan w:val="2"/>
            <w:vAlign w:val="center"/>
          </w:tcPr>
          <w:p w14:paraId="57DE9154">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vAlign w:val="center"/>
          </w:tcPr>
          <w:p w14:paraId="6672292A">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指标1：社会</w:t>
            </w:r>
            <w:r>
              <w:rPr>
                <w:rFonts w:ascii="仿宋_GB2312" w:hAnsi="仿宋_GB2312" w:eastAsia="仿宋_GB2312" w:cs="仿宋_GB2312"/>
                <w:color w:val="000000"/>
                <w:sz w:val="24"/>
              </w:rPr>
              <w:t>生态</w:t>
            </w:r>
            <w:r>
              <w:rPr>
                <w:rFonts w:hint="eastAsia" w:ascii="仿宋_GB2312" w:hAnsi="仿宋_GB2312" w:eastAsia="仿宋_GB2312" w:cs="仿宋_GB2312"/>
                <w:color w:val="000000"/>
                <w:sz w:val="24"/>
              </w:rPr>
              <w:t>维护</w:t>
            </w:r>
            <w:r>
              <w:rPr>
                <w:rFonts w:ascii="仿宋_GB2312" w:hAnsi="仿宋_GB2312" w:eastAsia="仿宋_GB2312" w:cs="仿宋_GB2312"/>
                <w:color w:val="000000"/>
                <w:sz w:val="24"/>
              </w:rPr>
              <w:t>效果</w:t>
            </w:r>
          </w:p>
        </w:tc>
        <w:tc>
          <w:tcPr>
            <w:tcW w:w="2684" w:type="dxa"/>
            <w:gridSpan w:val="6"/>
            <w:vAlign w:val="center"/>
          </w:tcPr>
          <w:p w14:paraId="784D498A">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效果较好</w:t>
            </w:r>
          </w:p>
        </w:tc>
      </w:tr>
      <w:tr w14:paraId="6673A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14:paraId="53822505">
            <w:pPr>
              <w:spacing w:line="320" w:lineRule="exact"/>
              <w:rPr>
                <w:rFonts w:ascii="仿宋_GB2312" w:hAnsi="仿宋_GB2312" w:eastAsia="仿宋_GB2312" w:cs="仿宋_GB2312"/>
                <w:sz w:val="24"/>
              </w:rPr>
            </w:pPr>
          </w:p>
        </w:tc>
        <w:tc>
          <w:tcPr>
            <w:tcW w:w="1549" w:type="dxa"/>
            <w:gridSpan w:val="4"/>
            <w:vMerge w:val="continue"/>
            <w:vAlign w:val="center"/>
          </w:tcPr>
          <w:p w14:paraId="08CA2B41">
            <w:pPr>
              <w:autoSpaceDN w:val="0"/>
              <w:spacing w:line="320" w:lineRule="exact"/>
              <w:rPr>
                <w:rFonts w:ascii="仿宋_GB2312" w:hAnsi="仿宋_GB2312" w:eastAsia="仿宋_GB2312" w:cs="仿宋_GB2312"/>
                <w:sz w:val="24"/>
              </w:rPr>
            </w:pPr>
          </w:p>
        </w:tc>
        <w:tc>
          <w:tcPr>
            <w:tcW w:w="1417" w:type="dxa"/>
            <w:gridSpan w:val="2"/>
            <w:vAlign w:val="center"/>
          </w:tcPr>
          <w:p w14:paraId="1EA9FF4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14:paraId="1D49013D">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满意</w:t>
            </w:r>
            <w:r>
              <w:rPr>
                <w:rFonts w:ascii="仿宋_GB2312" w:hAnsi="仿宋_GB2312" w:eastAsia="仿宋_GB2312" w:cs="仿宋_GB2312"/>
                <w:color w:val="000000"/>
                <w:sz w:val="24"/>
              </w:rPr>
              <w:t>度</w:t>
            </w:r>
          </w:p>
        </w:tc>
        <w:tc>
          <w:tcPr>
            <w:tcW w:w="2684" w:type="dxa"/>
            <w:gridSpan w:val="6"/>
            <w:vAlign w:val="center"/>
          </w:tcPr>
          <w:p w14:paraId="0CAD8CCA">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100</w:t>
            </w:r>
          </w:p>
        </w:tc>
      </w:tr>
      <w:tr w14:paraId="160E6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77DD78C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8146" w:type="dxa"/>
            <w:gridSpan w:val="15"/>
            <w:vAlign w:val="center"/>
          </w:tcPr>
          <w:p w14:paraId="37A58A1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99</w:t>
            </w:r>
          </w:p>
        </w:tc>
      </w:tr>
      <w:tr w14:paraId="0C09C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6928ED1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8146" w:type="dxa"/>
            <w:gridSpan w:val="15"/>
            <w:vAlign w:val="center"/>
          </w:tcPr>
          <w:p w14:paraId="3E54CBC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优秀</w:t>
            </w:r>
          </w:p>
        </w:tc>
      </w:tr>
      <w:tr w14:paraId="6EE77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14:paraId="26E01A4E">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14:paraId="08775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14:paraId="18D17A2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14:paraId="372A4D6B">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14:paraId="5154638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14:paraId="0A7FBB7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14:paraId="05F0A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4E19433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张竞</w:t>
            </w:r>
          </w:p>
        </w:tc>
        <w:tc>
          <w:tcPr>
            <w:tcW w:w="3561" w:type="dxa"/>
            <w:gridSpan w:val="6"/>
            <w:vAlign w:val="center"/>
          </w:tcPr>
          <w:p w14:paraId="489D7C0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局长</w:t>
            </w:r>
          </w:p>
        </w:tc>
        <w:tc>
          <w:tcPr>
            <w:tcW w:w="1479" w:type="dxa"/>
            <w:vAlign w:val="center"/>
          </w:tcPr>
          <w:p w14:paraId="3E2510AD">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群众工作局</w:t>
            </w:r>
          </w:p>
        </w:tc>
        <w:tc>
          <w:tcPr>
            <w:tcW w:w="3106" w:type="dxa"/>
            <w:gridSpan w:val="8"/>
            <w:vAlign w:val="center"/>
          </w:tcPr>
          <w:p w14:paraId="3D2BFCCA">
            <w:pPr>
              <w:autoSpaceDN w:val="0"/>
              <w:spacing w:line="320" w:lineRule="exact"/>
              <w:jc w:val="center"/>
              <w:textAlignment w:val="center"/>
              <w:rPr>
                <w:rFonts w:ascii="仿宋_GB2312" w:hAnsi="仿宋_GB2312" w:eastAsia="仿宋_GB2312" w:cs="仿宋_GB2312"/>
                <w:color w:val="000000"/>
                <w:sz w:val="24"/>
              </w:rPr>
            </w:pPr>
          </w:p>
        </w:tc>
      </w:tr>
      <w:tr w14:paraId="63843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1B29BF87">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朱炜嵚</w:t>
            </w:r>
          </w:p>
        </w:tc>
        <w:tc>
          <w:tcPr>
            <w:tcW w:w="3561" w:type="dxa"/>
            <w:gridSpan w:val="6"/>
            <w:vAlign w:val="center"/>
          </w:tcPr>
          <w:p w14:paraId="5906DC0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中心主任</w:t>
            </w:r>
          </w:p>
        </w:tc>
        <w:tc>
          <w:tcPr>
            <w:tcW w:w="1479" w:type="dxa"/>
            <w:vAlign w:val="center"/>
          </w:tcPr>
          <w:p w14:paraId="4FBC7153">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群众工作中心</w:t>
            </w:r>
          </w:p>
        </w:tc>
        <w:tc>
          <w:tcPr>
            <w:tcW w:w="3106" w:type="dxa"/>
            <w:gridSpan w:val="8"/>
            <w:vAlign w:val="center"/>
          </w:tcPr>
          <w:p w14:paraId="6DA971C7">
            <w:pPr>
              <w:autoSpaceDN w:val="0"/>
              <w:spacing w:line="320" w:lineRule="exact"/>
              <w:jc w:val="center"/>
              <w:textAlignment w:val="center"/>
              <w:rPr>
                <w:rFonts w:ascii="仿宋_GB2312" w:hAnsi="仿宋_GB2312" w:eastAsia="仿宋_GB2312" w:cs="仿宋_GB2312"/>
                <w:color w:val="000000"/>
                <w:sz w:val="24"/>
              </w:rPr>
            </w:pPr>
          </w:p>
        </w:tc>
      </w:tr>
      <w:tr w14:paraId="79718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2CBDDF92">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张岚</w:t>
            </w:r>
          </w:p>
        </w:tc>
        <w:tc>
          <w:tcPr>
            <w:tcW w:w="3561" w:type="dxa"/>
            <w:gridSpan w:val="6"/>
            <w:vAlign w:val="center"/>
          </w:tcPr>
          <w:p w14:paraId="610248F8">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会计</w:t>
            </w:r>
          </w:p>
        </w:tc>
        <w:tc>
          <w:tcPr>
            <w:tcW w:w="1479" w:type="dxa"/>
            <w:vAlign w:val="center"/>
          </w:tcPr>
          <w:p w14:paraId="27161F86">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群众工作中心</w:t>
            </w:r>
          </w:p>
        </w:tc>
        <w:tc>
          <w:tcPr>
            <w:tcW w:w="3106" w:type="dxa"/>
            <w:gridSpan w:val="8"/>
            <w:vAlign w:val="center"/>
          </w:tcPr>
          <w:p w14:paraId="53961EF7">
            <w:pPr>
              <w:autoSpaceDN w:val="0"/>
              <w:spacing w:line="320" w:lineRule="exact"/>
              <w:jc w:val="center"/>
              <w:textAlignment w:val="center"/>
              <w:rPr>
                <w:rFonts w:ascii="仿宋_GB2312" w:hAnsi="仿宋_GB2312" w:eastAsia="仿宋_GB2312" w:cs="仿宋_GB2312"/>
                <w:color w:val="000000"/>
                <w:sz w:val="24"/>
              </w:rPr>
            </w:pPr>
          </w:p>
        </w:tc>
      </w:tr>
      <w:tr w14:paraId="1967A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14:paraId="41D796E1">
            <w:pPr>
              <w:autoSpaceDN w:val="0"/>
              <w:spacing w:line="320" w:lineRule="exact"/>
              <w:jc w:val="center"/>
              <w:textAlignment w:val="center"/>
              <w:rPr>
                <w:rFonts w:ascii="仿宋_GB2312" w:hAnsi="仿宋_GB2312" w:eastAsia="仿宋_GB2312" w:cs="仿宋_GB2312"/>
                <w:color w:val="000000"/>
                <w:sz w:val="24"/>
              </w:rPr>
            </w:pPr>
          </w:p>
        </w:tc>
        <w:tc>
          <w:tcPr>
            <w:tcW w:w="3561" w:type="dxa"/>
            <w:gridSpan w:val="6"/>
            <w:vAlign w:val="center"/>
          </w:tcPr>
          <w:p w14:paraId="79F9B66A">
            <w:pPr>
              <w:autoSpaceDN w:val="0"/>
              <w:spacing w:line="320" w:lineRule="exact"/>
              <w:jc w:val="center"/>
              <w:textAlignment w:val="center"/>
              <w:rPr>
                <w:rFonts w:ascii="仿宋_GB2312" w:hAnsi="仿宋_GB2312" w:eastAsia="仿宋_GB2312" w:cs="仿宋_GB2312"/>
                <w:color w:val="000000"/>
                <w:sz w:val="24"/>
              </w:rPr>
            </w:pPr>
          </w:p>
        </w:tc>
        <w:tc>
          <w:tcPr>
            <w:tcW w:w="1479" w:type="dxa"/>
            <w:vAlign w:val="center"/>
          </w:tcPr>
          <w:p w14:paraId="0B4ADB12">
            <w:pPr>
              <w:autoSpaceDN w:val="0"/>
              <w:spacing w:line="320" w:lineRule="exact"/>
              <w:jc w:val="center"/>
              <w:textAlignment w:val="center"/>
              <w:rPr>
                <w:rFonts w:ascii="仿宋_GB2312" w:hAnsi="仿宋_GB2312" w:eastAsia="仿宋_GB2312" w:cs="仿宋_GB2312"/>
                <w:color w:val="000000"/>
                <w:sz w:val="24"/>
              </w:rPr>
            </w:pPr>
          </w:p>
        </w:tc>
        <w:tc>
          <w:tcPr>
            <w:tcW w:w="3106" w:type="dxa"/>
            <w:gridSpan w:val="8"/>
            <w:vAlign w:val="center"/>
          </w:tcPr>
          <w:p w14:paraId="718A4C0B">
            <w:pPr>
              <w:autoSpaceDN w:val="0"/>
              <w:spacing w:line="320" w:lineRule="exact"/>
              <w:jc w:val="center"/>
              <w:textAlignment w:val="center"/>
              <w:rPr>
                <w:rFonts w:ascii="仿宋_GB2312" w:hAnsi="仿宋_GB2312" w:eastAsia="仿宋_GB2312" w:cs="仿宋_GB2312"/>
                <w:color w:val="000000"/>
                <w:sz w:val="24"/>
              </w:rPr>
            </w:pPr>
          </w:p>
        </w:tc>
      </w:tr>
      <w:tr w14:paraId="3CB63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14:paraId="52138C04">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14:paraId="2D78FA9B">
            <w:pPr>
              <w:autoSpaceDN w:val="0"/>
              <w:spacing w:line="320" w:lineRule="exact"/>
              <w:jc w:val="left"/>
              <w:textAlignment w:val="center"/>
              <w:rPr>
                <w:rFonts w:ascii="仿宋_GB2312" w:hAnsi="仿宋_GB2312" w:eastAsia="仿宋_GB2312" w:cs="仿宋_GB2312"/>
                <w:color w:val="000000"/>
                <w:sz w:val="24"/>
              </w:rPr>
            </w:pPr>
          </w:p>
          <w:p w14:paraId="0B285196">
            <w:pPr>
              <w:autoSpaceDN w:val="0"/>
              <w:spacing w:line="320" w:lineRule="exact"/>
              <w:jc w:val="left"/>
              <w:textAlignment w:val="center"/>
              <w:rPr>
                <w:rFonts w:ascii="仿宋_GB2312" w:hAnsi="仿宋_GB2312" w:eastAsia="仿宋_GB2312" w:cs="仿宋_GB2312"/>
                <w:color w:val="000000"/>
                <w:sz w:val="24"/>
              </w:rPr>
            </w:pPr>
          </w:p>
          <w:p w14:paraId="7FF90185">
            <w:pPr>
              <w:autoSpaceDN w:val="0"/>
              <w:spacing w:line="320" w:lineRule="exact"/>
              <w:jc w:val="left"/>
              <w:textAlignment w:val="center"/>
              <w:rPr>
                <w:rFonts w:ascii="仿宋_GB2312" w:hAnsi="仿宋_GB2312" w:eastAsia="仿宋_GB2312" w:cs="仿宋_GB2312"/>
                <w:color w:val="000000"/>
                <w:sz w:val="24"/>
              </w:rPr>
            </w:pPr>
          </w:p>
          <w:p w14:paraId="70A966C9">
            <w:pPr>
              <w:autoSpaceDN w:val="0"/>
              <w:spacing w:line="320" w:lineRule="exact"/>
              <w:jc w:val="left"/>
              <w:textAlignment w:val="center"/>
              <w:rPr>
                <w:rFonts w:ascii="仿宋_GB2312" w:hAnsi="仿宋_GB2312" w:eastAsia="仿宋_GB2312" w:cs="仿宋_GB2312"/>
                <w:color w:val="000000"/>
                <w:sz w:val="24"/>
              </w:rPr>
            </w:pPr>
          </w:p>
          <w:p w14:paraId="1EF3B1B5">
            <w:pPr>
              <w:autoSpaceDN w:val="0"/>
              <w:spacing w:line="320" w:lineRule="exact"/>
              <w:jc w:val="left"/>
              <w:textAlignment w:val="center"/>
              <w:rPr>
                <w:rFonts w:ascii="仿宋_GB2312" w:hAnsi="仿宋_GB2312" w:eastAsia="仿宋_GB2312" w:cs="仿宋_GB2312"/>
                <w:color w:val="000000"/>
                <w:sz w:val="24"/>
              </w:rPr>
            </w:pPr>
          </w:p>
          <w:p w14:paraId="4CB084C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5A8D8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14:paraId="19B603FF">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14:paraId="3936E48A">
            <w:pPr>
              <w:autoSpaceDN w:val="0"/>
              <w:spacing w:line="320" w:lineRule="exact"/>
              <w:jc w:val="left"/>
              <w:textAlignment w:val="center"/>
              <w:rPr>
                <w:rFonts w:ascii="仿宋_GB2312" w:hAnsi="仿宋_GB2312" w:eastAsia="仿宋_GB2312" w:cs="仿宋_GB2312"/>
                <w:color w:val="000000"/>
                <w:sz w:val="24"/>
              </w:rPr>
            </w:pPr>
          </w:p>
          <w:p w14:paraId="0A055F5B">
            <w:pPr>
              <w:autoSpaceDN w:val="0"/>
              <w:spacing w:line="320" w:lineRule="exact"/>
              <w:jc w:val="left"/>
              <w:textAlignment w:val="center"/>
              <w:rPr>
                <w:rFonts w:ascii="仿宋_GB2312" w:hAnsi="仿宋_GB2312" w:eastAsia="仿宋_GB2312" w:cs="仿宋_GB2312"/>
                <w:color w:val="000000"/>
                <w:sz w:val="24"/>
              </w:rPr>
            </w:pPr>
          </w:p>
          <w:p w14:paraId="5A67AA4F">
            <w:pPr>
              <w:autoSpaceDN w:val="0"/>
              <w:spacing w:line="320" w:lineRule="exact"/>
              <w:jc w:val="left"/>
              <w:textAlignment w:val="center"/>
              <w:rPr>
                <w:rFonts w:ascii="仿宋_GB2312" w:hAnsi="仿宋_GB2312" w:eastAsia="仿宋_GB2312" w:cs="仿宋_GB2312"/>
                <w:color w:val="000000"/>
                <w:sz w:val="24"/>
              </w:rPr>
            </w:pPr>
          </w:p>
          <w:p w14:paraId="52D291C8">
            <w:pPr>
              <w:autoSpaceDN w:val="0"/>
              <w:spacing w:line="320" w:lineRule="exact"/>
              <w:jc w:val="left"/>
              <w:textAlignment w:val="center"/>
              <w:rPr>
                <w:rFonts w:ascii="仿宋_GB2312" w:hAnsi="仿宋_GB2312" w:eastAsia="仿宋_GB2312" w:cs="仿宋_GB2312"/>
                <w:color w:val="000000"/>
                <w:sz w:val="24"/>
              </w:rPr>
            </w:pPr>
          </w:p>
          <w:p w14:paraId="38996FA0">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14:paraId="7C5EE207">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14:paraId="3B7A0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14:paraId="74F0A374">
            <w:pPr>
              <w:spacing w:line="320" w:lineRule="exact"/>
              <w:rPr>
                <w:rFonts w:eastAsia="仿宋_GB2312"/>
                <w:sz w:val="24"/>
              </w:rPr>
            </w:pPr>
            <w:r>
              <w:rPr>
                <w:rFonts w:hint="eastAsia" w:eastAsia="仿宋_GB2312"/>
                <w:sz w:val="24"/>
              </w:rPr>
              <w:t>财政部门归口业务股室意见：</w:t>
            </w:r>
          </w:p>
          <w:p w14:paraId="1E2BA3AA">
            <w:pPr>
              <w:spacing w:line="320" w:lineRule="exact"/>
              <w:rPr>
                <w:rFonts w:eastAsia="仿宋_GB2312"/>
                <w:sz w:val="24"/>
              </w:rPr>
            </w:pPr>
          </w:p>
          <w:p w14:paraId="6B5B8FD8">
            <w:pPr>
              <w:spacing w:line="320" w:lineRule="exact"/>
              <w:rPr>
                <w:rFonts w:eastAsia="仿宋_GB2312"/>
                <w:sz w:val="24"/>
              </w:rPr>
            </w:pPr>
          </w:p>
          <w:p w14:paraId="08E98D72">
            <w:pPr>
              <w:spacing w:line="320" w:lineRule="exact"/>
              <w:rPr>
                <w:rFonts w:eastAsia="仿宋_GB2312"/>
                <w:sz w:val="24"/>
              </w:rPr>
            </w:pPr>
          </w:p>
          <w:p w14:paraId="7CB2FAA3">
            <w:pPr>
              <w:spacing w:line="320" w:lineRule="exact"/>
              <w:rPr>
                <w:rFonts w:eastAsia="仿宋_GB2312"/>
                <w:sz w:val="24"/>
              </w:rPr>
            </w:pPr>
          </w:p>
          <w:p w14:paraId="1CE8D704">
            <w:pPr>
              <w:spacing w:line="320" w:lineRule="exact"/>
              <w:rPr>
                <w:rFonts w:eastAsia="仿宋_GB2312"/>
                <w:sz w:val="24"/>
              </w:rPr>
            </w:pPr>
            <w:r>
              <w:rPr>
                <w:rFonts w:hint="eastAsia" w:eastAsia="仿宋_GB2312"/>
                <w:sz w:val="24"/>
              </w:rPr>
              <w:t xml:space="preserve">                                  财政部门归口业务股室负责人（签章）：</w:t>
            </w:r>
          </w:p>
          <w:p w14:paraId="59DF9B93">
            <w:pPr>
              <w:autoSpaceDN w:val="0"/>
              <w:spacing w:line="320" w:lineRule="exact"/>
              <w:jc w:val="left"/>
              <w:textAlignment w:val="center"/>
              <w:rPr>
                <w:rFonts w:ascii="仿宋_GB2312" w:hAnsi="仿宋_GB2312" w:eastAsia="仿宋_GB2312" w:cs="仿宋_GB2312"/>
                <w:color w:val="000000"/>
                <w:sz w:val="24"/>
              </w:rPr>
            </w:pPr>
            <w:r>
              <w:rPr>
                <w:rFonts w:hint="eastAsia" w:eastAsia="仿宋_GB2312"/>
                <w:sz w:val="24"/>
              </w:rPr>
              <w:t xml:space="preserve">                                                                 年    月   日</w:t>
            </w:r>
          </w:p>
        </w:tc>
      </w:tr>
    </w:tbl>
    <w:p w14:paraId="2A3D3EB6">
      <w:pPr>
        <w:rPr>
          <w:rFonts w:eastAsia="仿宋_GB2312" w:cs="仿宋_GB2312"/>
          <w:bCs/>
          <w:sz w:val="28"/>
          <w:szCs w:val="28"/>
        </w:rPr>
      </w:pPr>
      <w:r>
        <w:rPr>
          <w:rFonts w:hint="eastAsia" w:eastAsia="仿宋_GB2312" w:cs="仿宋_GB2312"/>
          <w:bCs/>
          <w:sz w:val="28"/>
          <w:szCs w:val="28"/>
        </w:rPr>
        <w:t>填报人（签名）：张岚                     联系电话：13990433856</w:t>
      </w:r>
    </w:p>
    <w:tbl>
      <w:tblPr>
        <w:tblStyle w:val="1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14:paraId="14A1E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tcPr>
          <w:p w14:paraId="7922E88F">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14:paraId="0F60A9AC">
            <w:pPr>
              <w:spacing w:line="440" w:lineRule="exact"/>
              <w:ind w:firstLine="640" w:firstLineChars="200"/>
              <w:rPr>
                <w:rFonts w:eastAsia="仿宋_GB2312"/>
                <w:sz w:val="32"/>
                <w:szCs w:val="32"/>
              </w:rPr>
            </w:pPr>
          </w:p>
          <w:p w14:paraId="2BC09D27">
            <w:pP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14:paraId="777A3268">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14:paraId="4F145B8B">
            <w:pPr>
              <w:ind w:firstLine="700" w:firstLineChars="250"/>
              <w:rPr>
                <w:rFonts w:ascii="仿宋_GB2312" w:hAnsi="仿宋_GB2312" w:eastAsia="仿宋_GB2312" w:cs="仿宋_GB2312"/>
                <w:bCs/>
                <w:sz w:val="28"/>
                <w:szCs w:val="28"/>
              </w:rPr>
            </w:pPr>
            <w:r>
              <w:rPr>
                <w:rFonts w:ascii="仿宋_GB2312" w:hAnsi="仿宋_GB2312" w:eastAsia="仿宋_GB2312" w:cs="仿宋_GB2312"/>
                <w:bCs/>
                <w:sz w:val="28"/>
                <w:szCs w:val="28"/>
              </w:rPr>
              <w:t>九寨沟县</w:t>
            </w:r>
            <w:r>
              <w:rPr>
                <w:rFonts w:hint="eastAsia" w:ascii="仿宋_GB2312" w:hAnsi="仿宋_GB2312" w:eastAsia="仿宋_GB2312" w:cs="仿宋_GB2312"/>
                <w:bCs/>
                <w:sz w:val="28"/>
                <w:szCs w:val="28"/>
              </w:rPr>
              <w:t>群众工作</w:t>
            </w:r>
            <w:r>
              <w:rPr>
                <w:rFonts w:ascii="仿宋_GB2312" w:hAnsi="仿宋_GB2312" w:eastAsia="仿宋_GB2312" w:cs="仿宋_GB2312"/>
                <w:bCs/>
                <w:sz w:val="28"/>
                <w:szCs w:val="28"/>
              </w:rPr>
              <w:t>局位于九寨沟县政务中心4号楼1楼，</w:t>
            </w:r>
            <w:r>
              <w:rPr>
                <w:rFonts w:hint="eastAsia" w:ascii="仿宋_GB2312" w:hAnsi="仿宋_GB2312" w:eastAsia="仿宋_GB2312" w:cs="仿宋_GB2312"/>
                <w:bCs/>
                <w:sz w:val="28"/>
                <w:szCs w:val="28"/>
              </w:rPr>
              <w:t>群众工作局执行行政单位会计制度，单位有公务员，事业人员和行政工勤人员，2018年末单位编制数8人（其中公务员编制4人，事业管理3人，行政工勤1人），截止2018年12月31日共有在职职工8人。</w:t>
            </w:r>
          </w:p>
          <w:p w14:paraId="6DC197BA">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14:paraId="62DC3B59">
            <w:pPr>
              <w:spacing w:line="440" w:lineRule="exact"/>
              <w:ind w:firstLine="560" w:firstLineChars="200"/>
              <w:rPr>
                <w:rFonts w:ascii="黑体" w:hAnsi="黑体" w:eastAsia="黑体" w:cs="黑体"/>
                <w:bCs/>
                <w:sz w:val="28"/>
                <w:szCs w:val="28"/>
              </w:rPr>
            </w:pPr>
            <w:r>
              <w:rPr>
                <w:rFonts w:ascii="仿宋_GB2312" w:hAnsi="仿宋_GB2312" w:eastAsia="仿宋_GB2312" w:cs="仿宋_GB2312"/>
                <w:bCs/>
                <w:sz w:val="28"/>
                <w:szCs w:val="28"/>
              </w:rPr>
              <w:t>2018</w:t>
            </w:r>
            <w:r>
              <w:rPr>
                <w:rFonts w:hint="eastAsia" w:ascii="仿宋_GB2312" w:hAnsi="仿宋_GB2312" w:eastAsia="仿宋_GB2312" w:cs="仿宋_GB2312"/>
                <w:bCs/>
                <w:sz w:val="28"/>
                <w:szCs w:val="28"/>
              </w:rPr>
              <w:t>年度</w:t>
            </w:r>
            <w:r>
              <w:rPr>
                <w:rFonts w:ascii="仿宋_GB2312" w:hAnsi="仿宋_GB2312" w:eastAsia="仿宋_GB2312" w:cs="仿宋_GB2312"/>
                <w:bCs/>
                <w:sz w:val="28"/>
                <w:szCs w:val="28"/>
              </w:rPr>
              <w:t>总支</w:t>
            </w:r>
            <w:r>
              <w:rPr>
                <w:rFonts w:hint="eastAsia" w:ascii="仿宋_GB2312" w:hAnsi="仿宋_GB2312" w:eastAsia="仿宋_GB2312" w:cs="仿宋_GB2312"/>
                <w:bCs/>
                <w:sz w:val="28"/>
                <w:szCs w:val="28"/>
              </w:rPr>
              <w:t>出</w:t>
            </w:r>
            <w:r>
              <w:rPr>
                <w:rFonts w:ascii="仿宋_GB2312" w:hAnsi="仿宋_GB2312" w:eastAsia="仿宋_GB2312" w:cs="仿宋_GB2312"/>
                <w:bCs/>
                <w:sz w:val="28"/>
                <w:szCs w:val="28"/>
              </w:rPr>
              <w:t>金额</w:t>
            </w:r>
            <w:r>
              <w:rPr>
                <w:rFonts w:hint="eastAsia" w:ascii="仿宋_GB2312" w:hAnsi="仿宋_GB2312" w:eastAsia="仿宋_GB2312" w:cs="仿宋_GB2312"/>
                <w:bCs/>
                <w:sz w:val="28"/>
                <w:szCs w:val="28"/>
              </w:rPr>
              <w:t>330.47万</w:t>
            </w:r>
            <w:r>
              <w:rPr>
                <w:rFonts w:ascii="仿宋_GB2312" w:hAnsi="仿宋_GB2312" w:eastAsia="仿宋_GB2312" w:cs="仿宋_GB2312"/>
                <w:bCs/>
                <w:sz w:val="28"/>
                <w:szCs w:val="28"/>
              </w:rPr>
              <w:t>元。</w:t>
            </w:r>
            <w:r>
              <w:rPr>
                <w:rFonts w:hint="eastAsia" w:ascii="仿宋_GB2312" w:hAnsi="仿宋_GB2312" w:eastAsia="仿宋_GB2312" w:cs="仿宋_GB2312"/>
                <w:bCs/>
                <w:sz w:val="28"/>
                <w:szCs w:val="28"/>
              </w:rPr>
              <w:t>其中</w:t>
            </w:r>
            <w:r>
              <w:rPr>
                <w:rFonts w:ascii="仿宋_GB2312" w:hAnsi="仿宋_GB2312" w:eastAsia="仿宋_GB2312" w:cs="仿宋_GB2312"/>
                <w:bCs/>
                <w:sz w:val="28"/>
                <w:szCs w:val="28"/>
              </w:rPr>
              <w:t>行政运行经费</w:t>
            </w:r>
            <w:r>
              <w:rPr>
                <w:rFonts w:hint="eastAsia" w:ascii="仿宋_GB2312" w:hAnsi="仿宋_GB2312" w:eastAsia="仿宋_GB2312" w:cs="仿宋_GB2312"/>
                <w:bCs/>
                <w:sz w:val="28"/>
                <w:szCs w:val="28"/>
              </w:rPr>
              <w:t>330.47</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一般公共服务支出283.1万元，公共安全支出30万元，</w:t>
            </w:r>
            <w:r>
              <w:rPr>
                <w:rFonts w:ascii="仿宋_GB2312" w:hAnsi="仿宋_GB2312" w:eastAsia="仿宋_GB2312" w:cs="仿宋_GB2312"/>
                <w:bCs/>
                <w:sz w:val="28"/>
                <w:szCs w:val="28"/>
              </w:rPr>
              <w:t>社会保障和就业支出</w:t>
            </w:r>
            <w:r>
              <w:rPr>
                <w:rFonts w:hint="eastAsia" w:ascii="仿宋_GB2312" w:hAnsi="仿宋_GB2312" w:eastAsia="仿宋_GB2312" w:cs="仿宋_GB2312"/>
                <w:bCs/>
                <w:sz w:val="28"/>
                <w:szCs w:val="28"/>
              </w:rPr>
              <w:t>6.54</w:t>
            </w:r>
            <w:r>
              <w:rPr>
                <w:rFonts w:ascii="仿宋_GB2312" w:hAnsi="仿宋_GB2312" w:eastAsia="仿宋_GB2312" w:cs="仿宋_GB2312"/>
                <w:bCs/>
                <w:sz w:val="28"/>
                <w:szCs w:val="28"/>
              </w:rPr>
              <w:t>万元，医疗卫生与计划生育支出</w:t>
            </w:r>
            <w:r>
              <w:rPr>
                <w:rFonts w:hint="eastAsia" w:ascii="仿宋_GB2312" w:hAnsi="仿宋_GB2312" w:eastAsia="仿宋_GB2312" w:cs="仿宋_GB2312"/>
                <w:bCs/>
                <w:sz w:val="28"/>
                <w:szCs w:val="28"/>
              </w:rPr>
              <w:t>5.22</w:t>
            </w:r>
            <w:r>
              <w:rPr>
                <w:rFonts w:ascii="仿宋_GB2312" w:hAnsi="仿宋_GB2312" w:eastAsia="仿宋_GB2312" w:cs="仿宋_GB2312"/>
                <w:bCs/>
                <w:sz w:val="28"/>
                <w:szCs w:val="28"/>
              </w:rPr>
              <w:t>万元，住房保障支出</w:t>
            </w:r>
            <w:r>
              <w:rPr>
                <w:rFonts w:hint="eastAsia" w:ascii="仿宋_GB2312" w:hAnsi="仿宋_GB2312" w:eastAsia="仿宋_GB2312" w:cs="仿宋_GB2312"/>
                <w:bCs/>
                <w:sz w:val="28"/>
                <w:szCs w:val="28"/>
              </w:rPr>
              <w:t>5.61</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w:t>
            </w:r>
            <w:r>
              <w:rPr>
                <w:rFonts w:ascii="仿宋_GB2312" w:hAnsi="仿宋_GB2312" w:eastAsia="仿宋_GB2312" w:cs="仿宋_GB2312"/>
                <w:bCs/>
                <w:sz w:val="28"/>
                <w:szCs w:val="28"/>
              </w:rPr>
              <w:br w:type="textWrapping"/>
            </w:r>
            <w:r>
              <w:rPr>
                <w:rFonts w:hint="eastAsia" w:ascii="黑体" w:hAnsi="黑体" w:eastAsia="黑体" w:cs="黑体"/>
                <w:bCs/>
                <w:sz w:val="28"/>
                <w:szCs w:val="28"/>
              </w:rPr>
              <w:t xml:space="preserve">    二、部门（单位）整体支出管理及使用情况</w:t>
            </w:r>
          </w:p>
          <w:p w14:paraId="21260C0F">
            <w:pPr>
              <w:widowControl/>
              <w:spacing w:line="440" w:lineRule="exact"/>
              <w:ind w:left="420" w:leftChars="200" w:firstLine="280" w:firstLineChars="10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1、2018年</w:t>
            </w:r>
            <w:r>
              <w:rPr>
                <w:rFonts w:ascii="仿宋_GB2312" w:hAnsi="仿宋_GB2312" w:eastAsia="仿宋_GB2312" w:cs="仿宋_GB2312"/>
                <w:bCs/>
                <w:sz w:val="28"/>
                <w:szCs w:val="28"/>
              </w:rPr>
              <w:t>支出</w:t>
            </w:r>
            <w:r>
              <w:rPr>
                <w:rFonts w:hint="eastAsia" w:ascii="仿宋_GB2312" w:hAnsi="仿宋_GB2312" w:eastAsia="仿宋_GB2312" w:cs="仿宋_GB2312"/>
                <w:bCs/>
                <w:sz w:val="28"/>
                <w:szCs w:val="28"/>
              </w:rPr>
              <w:t>明细</w:t>
            </w:r>
            <w:r>
              <w:rPr>
                <w:rFonts w:ascii="仿宋_GB2312" w:hAnsi="仿宋_GB2312" w:eastAsia="仿宋_GB2312" w:cs="仿宋_GB2312"/>
                <w:bCs/>
                <w:sz w:val="28"/>
                <w:szCs w:val="28"/>
              </w:rPr>
              <w:br w:type="textWrapping"/>
            </w:r>
            <w:r>
              <w:rPr>
                <w:rFonts w:ascii="仿宋_GB2312" w:hAnsi="仿宋_GB2312" w:eastAsia="仿宋_GB2312" w:cs="仿宋_GB2312"/>
                <w:bCs/>
                <w:sz w:val="28"/>
                <w:szCs w:val="28"/>
              </w:rPr>
              <w:t xml:space="preserve">    2018年</w:t>
            </w:r>
            <w:r>
              <w:rPr>
                <w:rFonts w:hint="eastAsia" w:ascii="仿宋_GB2312" w:hAnsi="仿宋_GB2312" w:eastAsia="仿宋_GB2312" w:cs="仿宋_GB2312"/>
                <w:bCs/>
                <w:sz w:val="28"/>
                <w:szCs w:val="28"/>
              </w:rPr>
              <w:t>工资福利支出75.23</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商品和服务支出141.83</w:t>
            </w:r>
            <w:r>
              <w:rPr>
                <w:rFonts w:ascii="仿宋_GB2312" w:hAnsi="仿宋_GB2312" w:eastAsia="仿宋_GB2312" w:cs="仿宋_GB2312"/>
                <w:bCs/>
                <w:sz w:val="28"/>
                <w:szCs w:val="28"/>
              </w:rPr>
              <w:t>万元，</w:t>
            </w:r>
            <w:r>
              <w:rPr>
                <w:rFonts w:hint="eastAsia" w:ascii="仿宋_GB2312" w:hAnsi="仿宋_GB2312" w:eastAsia="仿宋_GB2312" w:cs="仿宋_GB2312"/>
                <w:bCs/>
                <w:sz w:val="28"/>
                <w:szCs w:val="28"/>
              </w:rPr>
              <w:t>对个人和家庭的补助113.41万</w:t>
            </w:r>
            <w:r>
              <w:rPr>
                <w:rFonts w:ascii="仿宋_GB2312" w:hAnsi="仿宋_GB2312" w:eastAsia="仿宋_GB2312" w:cs="仿宋_GB2312"/>
                <w:bCs/>
                <w:sz w:val="28"/>
                <w:szCs w:val="28"/>
              </w:rPr>
              <w:t>元。</w:t>
            </w:r>
            <w:r>
              <w:rPr>
                <w:rFonts w:hint="eastAsia" w:ascii="仿宋_GB2312" w:hAnsi="仿宋_GB2312" w:eastAsia="仿宋_GB2312" w:cs="仿宋_GB2312"/>
                <w:bCs/>
                <w:sz w:val="28"/>
                <w:szCs w:val="28"/>
              </w:rPr>
              <w:t xml:space="preserve">  基本支出：2018年</w:t>
            </w:r>
            <w:r>
              <w:rPr>
                <w:rFonts w:ascii="仿宋_GB2312" w:hAnsi="仿宋_GB2312" w:eastAsia="仿宋_GB2312" w:cs="仿宋_GB2312"/>
                <w:bCs/>
                <w:sz w:val="28"/>
                <w:szCs w:val="28"/>
              </w:rPr>
              <w:t>单位基本支出</w:t>
            </w:r>
            <w:r>
              <w:rPr>
                <w:rFonts w:hint="eastAsia" w:ascii="仿宋_GB2312" w:hAnsi="仿宋_GB2312" w:eastAsia="仿宋_GB2312" w:cs="仿宋_GB2312"/>
                <w:bCs/>
                <w:sz w:val="28"/>
                <w:szCs w:val="28"/>
              </w:rPr>
              <w:t>147.24万元</w:t>
            </w:r>
            <w:r>
              <w:rPr>
                <w:rFonts w:ascii="仿宋_GB2312" w:hAnsi="仿宋_GB2312" w:eastAsia="仿宋_GB2312" w:cs="仿宋_GB2312"/>
                <w:bCs/>
                <w:sz w:val="28"/>
                <w:szCs w:val="28"/>
              </w:rPr>
              <w:t>，其中人员</w:t>
            </w:r>
            <w:r>
              <w:rPr>
                <w:rFonts w:hint="eastAsia" w:ascii="仿宋_GB2312" w:hAnsi="仿宋_GB2312" w:eastAsia="仿宋_GB2312" w:cs="仿宋_GB2312"/>
                <w:bCs/>
                <w:sz w:val="28"/>
                <w:szCs w:val="28"/>
              </w:rPr>
              <w:t>经</w:t>
            </w:r>
            <w:r>
              <w:rPr>
                <w:rFonts w:ascii="仿宋_GB2312" w:hAnsi="仿宋_GB2312" w:eastAsia="仿宋_GB2312" w:cs="仿宋_GB2312"/>
                <w:bCs/>
                <w:sz w:val="28"/>
                <w:szCs w:val="28"/>
              </w:rPr>
              <w:t>费支出</w:t>
            </w:r>
            <w:r>
              <w:rPr>
                <w:rFonts w:hint="eastAsia" w:ascii="仿宋_GB2312" w:hAnsi="仿宋_GB2312" w:eastAsia="仿宋_GB2312" w:cs="仿宋_GB2312"/>
                <w:bCs/>
                <w:sz w:val="28"/>
                <w:szCs w:val="28"/>
              </w:rPr>
              <w:t>76.84，日</w:t>
            </w:r>
            <w:r>
              <w:rPr>
                <w:rFonts w:ascii="仿宋_GB2312" w:hAnsi="仿宋_GB2312" w:eastAsia="仿宋_GB2312" w:cs="仿宋_GB2312"/>
                <w:bCs/>
                <w:sz w:val="28"/>
                <w:szCs w:val="28"/>
              </w:rPr>
              <w:t>常公</w:t>
            </w:r>
            <w:r>
              <w:rPr>
                <w:rFonts w:hint="eastAsia" w:ascii="仿宋_GB2312" w:hAnsi="仿宋_GB2312" w:eastAsia="仿宋_GB2312" w:cs="仿宋_GB2312"/>
                <w:bCs/>
                <w:sz w:val="28"/>
                <w:szCs w:val="28"/>
              </w:rPr>
              <w:t>用</w:t>
            </w:r>
            <w:r>
              <w:rPr>
                <w:rFonts w:ascii="仿宋_GB2312" w:hAnsi="仿宋_GB2312" w:eastAsia="仿宋_GB2312" w:cs="仿宋_GB2312"/>
                <w:bCs/>
                <w:sz w:val="28"/>
                <w:szCs w:val="28"/>
              </w:rPr>
              <w:t>经费支出</w:t>
            </w:r>
            <w:r>
              <w:rPr>
                <w:rFonts w:hint="eastAsia" w:ascii="仿宋_GB2312" w:hAnsi="仿宋_GB2312" w:eastAsia="仿宋_GB2312" w:cs="仿宋_GB2312"/>
                <w:bCs/>
                <w:sz w:val="28"/>
                <w:szCs w:val="28"/>
              </w:rPr>
              <w:t>17.73万元，项目支出235.9万元</w:t>
            </w:r>
            <w:r>
              <w:rPr>
                <w:rFonts w:ascii="仿宋_GB2312" w:hAnsi="仿宋_GB2312" w:eastAsia="仿宋_GB2312" w:cs="仿宋_GB2312"/>
                <w:bCs/>
                <w:sz w:val="28"/>
                <w:szCs w:val="28"/>
              </w:rPr>
              <w:t>。</w:t>
            </w:r>
            <w:r>
              <w:rPr>
                <w:rFonts w:hint="eastAsia" w:ascii="仿宋_GB2312" w:hAnsi="仿宋_GB2312" w:eastAsia="仿宋_GB2312" w:cs="仿宋_GB2312"/>
                <w:bCs/>
                <w:sz w:val="28"/>
                <w:szCs w:val="28"/>
              </w:rPr>
              <w:br w:type="textWrapping"/>
            </w:r>
            <w:r>
              <w:rPr>
                <w:rFonts w:hint="eastAsia" w:ascii="仿宋_GB2312" w:hAnsi="仿宋_GB2312" w:eastAsia="仿宋_GB2312" w:cs="仿宋_GB2312"/>
                <w:bCs/>
                <w:sz w:val="28"/>
                <w:szCs w:val="28"/>
              </w:rPr>
              <w:t xml:space="preserve"> 2</w:t>
            </w:r>
            <w:r>
              <w:rPr>
                <w:rFonts w:ascii="仿宋_GB2312" w:hAnsi="仿宋_GB2312" w:eastAsia="仿宋_GB2312" w:cs="仿宋_GB2312"/>
                <w:bCs/>
                <w:sz w:val="28"/>
                <w:szCs w:val="28"/>
              </w:rPr>
              <w:t>、专项资金管理情况分析</w:t>
            </w:r>
          </w:p>
          <w:p w14:paraId="03DD4241">
            <w:pPr>
              <w:widowControl/>
              <w:spacing w:line="440" w:lineRule="exact"/>
              <w:ind w:firstLine="420" w:firstLineChars="150"/>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w:t>
            </w:r>
            <w:r>
              <w:rPr>
                <w:rFonts w:ascii="仿宋_GB2312" w:hAnsi="仿宋_GB2312" w:eastAsia="仿宋_GB2312" w:cs="仿宋_GB2312"/>
                <w:bCs/>
                <w:sz w:val="28"/>
                <w:szCs w:val="28"/>
              </w:rPr>
              <w:t>经费按照项目实施进度安排，</w:t>
            </w:r>
            <w:r>
              <w:rPr>
                <w:rFonts w:hint="eastAsia" w:ascii="仿宋_GB2312" w:hAnsi="仿宋_GB2312" w:eastAsia="仿宋_GB2312" w:cs="仿宋_GB2312"/>
                <w:bCs/>
                <w:sz w:val="28"/>
                <w:szCs w:val="28"/>
              </w:rPr>
              <w:t>按照资金使用性质和用途，</w:t>
            </w:r>
            <w:r>
              <w:rPr>
                <w:rFonts w:ascii="仿宋_GB2312" w:hAnsi="仿宋_GB2312" w:eastAsia="仿宋_GB2312" w:cs="仿宋_GB2312"/>
                <w:bCs/>
                <w:sz w:val="28"/>
                <w:szCs w:val="28"/>
              </w:rPr>
              <w:t>按时足额到位。未出现截留、挤占、挪用等</w:t>
            </w:r>
            <w:r>
              <w:rPr>
                <w:rFonts w:hint="eastAsia" w:ascii="仿宋_GB2312" w:hAnsi="仿宋_GB2312" w:eastAsia="仿宋_GB2312" w:cs="仿宋_GB2312"/>
                <w:bCs/>
                <w:sz w:val="28"/>
                <w:szCs w:val="28"/>
              </w:rPr>
              <w:t>，严格遵守财经制度，实行专款专用。经费到达后，我局严格按项目计划和规定用途专款专用;建立健全会计核算制度，专项核算专项资金的使用情况。保证</w:t>
            </w:r>
            <w:r>
              <w:rPr>
                <w:rFonts w:ascii="仿宋_GB2312" w:hAnsi="仿宋_GB2312" w:eastAsia="仿宋_GB2312" w:cs="仿宋_GB2312"/>
                <w:bCs/>
                <w:sz w:val="28"/>
                <w:szCs w:val="28"/>
              </w:rPr>
              <w:t>了专项资金的使用安全。</w:t>
            </w:r>
          </w:p>
          <w:p w14:paraId="2291F385">
            <w:pP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14:paraId="5999CA7F">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14:paraId="6BBD2C9E">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2018年度我局对专项工作高度重视，与全</w:t>
            </w:r>
            <w:r>
              <w:rPr>
                <w:rFonts w:ascii="仿宋_GB2312" w:hAnsi="仿宋_GB2312" w:eastAsia="仿宋_GB2312" w:cs="仿宋_GB2312"/>
                <w:bCs/>
                <w:sz w:val="28"/>
                <w:szCs w:val="28"/>
              </w:rPr>
              <w:t>局中心工作</w:t>
            </w:r>
            <w:r>
              <w:rPr>
                <w:rFonts w:hint="eastAsia" w:ascii="仿宋_GB2312" w:hAnsi="仿宋_GB2312" w:eastAsia="仿宋_GB2312" w:cs="仿宋_GB2312"/>
                <w:bCs/>
                <w:sz w:val="28"/>
                <w:szCs w:val="28"/>
              </w:rPr>
              <w:t>同安排，同实施，做到</w:t>
            </w:r>
            <w:r>
              <w:rPr>
                <w:rFonts w:ascii="仿宋_GB2312" w:hAnsi="仿宋_GB2312" w:eastAsia="仿宋_GB2312" w:cs="仿宋_GB2312"/>
                <w:bCs/>
                <w:sz w:val="28"/>
                <w:szCs w:val="28"/>
              </w:rPr>
              <w:t>每</w:t>
            </w:r>
            <w:r>
              <w:rPr>
                <w:rFonts w:hint="eastAsia" w:ascii="仿宋_GB2312" w:hAnsi="仿宋_GB2312" w:eastAsia="仿宋_GB2312" w:cs="仿宋_GB2312"/>
                <w:bCs/>
                <w:sz w:val="28"/>
                <w:szCs w:val="28"/>
              </w:rPr>
              <w:t>项</w:t>
            </w:r>
            <w:r>
              <w:rPr>
                <w:rFonts w:ascii="仿宋_GB2312" w:hAnsi="仿宋_GB2312" w:eastAsia="仿宋_GB2312" w:cs="仿宋_GB2312"/>
                <w:bCs/>
                <w:sz w:val="28"/>
                <w:szCs w:val="28"/>
              </w:rPr>
              <w:t>工作有专人负责实施</w:t>
            </w:r>
            <w:r>
              <w:rPr>
                <w:rFonts w:hint="eastAsia" w:ascii="仿宋_GB2312" w:hAnsi="仿宋_GB2312" w:eastAsia="仿宋_GB2312" w:cs="仿宋_GB2312"/>
                <w:bCs/>
                <w:sz w:val="28"/>
                <w:szCs w:val="28"/>
              </w:rPr>
              <w:t>和</w:t>
            </w:r>
            <w:r>
              <w:rPr>
                <w:rFonts w:ascii="仿宋_GB2312" w:hAnsi="仿宋_GB2312" w:eastAsia="仿宋_GB2312" w:cs="仿宋_GB2312"/>
                <w:bCs/>
                <w:sz w:val="28"/>
                <w:szCs w:val="28"/>
              </w:rPr>
              <w:t>督促完成。</w:t>
            </w:r>
          </w:p>
          <w:p w14:paraId="2350A0AC">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14:paraId="17E27D58">
            <w:pPr>
              <w:spacing w:line="44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专项管理按照相关责任制度落实</w:t>
            </w:r>
            <w:r>
              <w:rPr>
                <w:rFonts w:ascii="仿宋_GB2312" w:hAnsi="仿宋_GB2312" w:eastAsia="仿宋_GB2312" w:cs="仿宋_GB2312"/>
                <w:bCs/>
                <w:sz w:val="28"/>
                <w:szCs w:val="28"/>
              </w:rPr>
              <w:t>到人</w:t>
            </w:r>
            <w:r>
              <w:rPr>
                <w:rFonts w:hint="eastAsia" w:ascii="仿宋_GB2312" w:hAnsi="仿宋_GB2312" w:eastAsia="仿宋_GB2312" w:cs="仿宋_GB2312"/>
                <w:bCs/>
                <w:sz w:val="28"/>
                <w:szCs w:val="28"/>
              </w:rPr>
              <w:t>，资金方面严格按照财经</w:t>
            </w:r>
            <w:r>
              <w:rPr>
                <w:rFonts w:ascii="仿宋_GB2312" w:hAnsi="仿宋_GB2312" w:eastAsia="仿宋_GB2312" w:cs="仿宋_GB2312"/>
                <w:bCs/>
                <w:sz w:val="28"/>
                <w:szCs w:val="28"/>
              </w:rPr>
              <w:t>制度和</w:t>
            </w:r>
            <w:r>
              <w:rPr>
                <w:rFonts w:hint="eastAsia" w:ascii="仿宋_GB2312" w:hAnsi="仿宋_GB2312" w:eastAsia="仿宋_GB2312" w:cs="仿宋_GB2312"/>
                <w:bCs/>
                <w:sz w:val="28"/>
                <w:szCs w:val="28"/>
              </w:rPr>
              <w:t>程序办理。保证了</w:t>
            </w:r>
            <w:r>
              <w:rPr>
                <w:rFonts w:ascii="仿宋_GB2312" w:hAnsi="仿宋_GB2312" w:eastAsia="仿宋_GB2312" w:cs="仿宋_GB2312"/>
                <w:bCs/>
                <w:sz w:val="28"/>
                <w:szCs w:val="28"/>
              </w:rPr>
              <w:t>专项工作</w:t>
            </w:r>
            <w:r>
              <w:rPr>
                <w:rFonts w:hint="eastAsia" w:ascii="仿宋_GB2312" w:hAnsi="仿宋_GB2312" w:eastAsia="仿宋_GB2312" w:cs="仿宋_GB2312"/>
                <w:bCs/>
                <w:sz w:val="28"/>
                <w:szCs w:val="28"/>
              </w:rPr>
              <w:t>顺利</w:t>
            </w:r>
            <w:r>
              <w:rPr>
                <w:rFonts w:ascii="仿宋_GB2312" w:hAnsi="仿宋_GB2312" w:eastAsia="仿宋_GB2312" w:cs="仿宋_GB2312"/>
                <w:bCs/>
                <w:sz w:val="28"/>
                <w:szCs w:val="28"/>
              </w:rPr>
              <w:t>实施和完成。</w:t>
            </w:r>
          </w:p>
          <w:p w14:paraId="49A16725">
            <w:pP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14:paraId="54EAA876">
            <w:pPr>
              <w:widowControl/>
              <w:shd w:val="clear" w:color="auto" w:fill="FFFFFF"/>
              <w:spacing w:line="440" w:lineRule="exact"/>
              <w:ind w:firstLine="560"/>
              <w:rPr>
                <w:kern w:val="0"/>
                <w:szCs w:val="21"/>
              </w:rPr>
            </w:pPr>
            <w:r>
              <w:rPr>
                <w:rFonts w:hint="eastAsia" w:ascii="仿宋" w:hAnsi="仿宋" w:eastAsia="仿宋"/>
                <w:kern w:val="0"/>
                <w:sz w:val="28"/>
                <w:szCs w:val="28"/>
                <w:shd w:val="clear" w:color="auto" w:fill="FFFFFF"/>
              </w:rPr>
              <w:t>从整体情况来看，我局严格按照年初预算进行部门整体支出。在支出过程中，能严格遵守各项规章制度，</w:t>
            </w:r>
            <w:r>
              <w:rPr>
                <w:rFonts w:hint="eastAsia" w:ascii="仿宋" w:hAnsi="仿宋" w:eastAsia="仿宋"/>
                <w:kern w:val="0"/>
                <w:sz w:val="28"/>
                <w:szCs w:val="28"/>
                <w:shd w:val="clear" w:color="auto" w:fill="FFFFFF"/>
                <w:lang w:eastAsia="zh-CN"/>
              </w:rPr>
              <w:t>“三公”经费</w:t>
            </w:r>
            <w:r>
              <w:rPr>
                <w:rFonts w:hint="eastAsia" w:ascii="仿宋" w:hAnsi="仿宋" w:eastAsia="仿宋"/>
                <w:kern w:val="0"/>
                <w:sz w:val="28"/>
                <w:szCs w:val="28"/>
                <w:shd w:val="clear" w:color="auto" w:fill="FFFFFF"/>
              </w:rPr>
              <w:t>从严管理，认真执行财</w:t>
            </w:r>
            <w:r>
              <w:rPr>
                <w:rFonts w:ascii="仿宋" w:hAnsi="仿宋" w:eastAsia="仿宋"/>
                <w:kern w:val="0"/>
                <w:sz w:val="28"/>
                <w:szCs w:val="28"/>
                <w:shd w:val="clear" w:color="auto" w:fill="FFFFFF"/>
              </w:rPr>
              <w:t>经</w:t>
            </w:r>
            <w:r>
              <w:rPr>
                <w:rFonts w:hint="eastAsia" w:ascii="仿宋" w:hAnsi="仿宋" w:eastAsia="仿宋"/>
                <w:kern w:val="0"/>
                <w:sz w:val="28"/>
                <w:szCs w:val="28"/>
                <w:shd w:val="clear" w:color="auto" w:fill="FFFFFF"/>
              </w:rPr>
              <w:t>制度。所有项目都详细制定了方案，严格按方案组织实施，并加强了监督。尤其是在专项经费支出上，按项目实施计划的进度情况进行资金拨付，无截留、无挪用等现象。我</w:t>
            </w:r>
            <w:r>
              <w:rPr>
                <w:rFonts w:ascii="仿宋" w:hAnsi="仿宋" w:eastAsia="仿宋"/>
                <w:kern w:val="0"/>
                <w:sz w:val="28"/>
                <w:szCs w:val="28"/>
                <w:shd w:val="clear" w:color="auto" w:fill="FFFFFF"/>
              </w:rPr>
              <w:t>局一直</w:t>
            </w:r>
            <w:r>
              <w:rPr>
                <w:rFonts w:hint="eastAsia" w:ascii="仿宋" w:hAnsi="仿宋" w:eastAsia="仿宋"/>
                <w:kern w:val="0"/>
                <w:sz w:val="28"/>
                <w:szCs w:val="28"/>
                <w:shd w:val="clear" w:color="auto" w:fill="FFFFFF"/>
              </w:rPr>
              <w:t>加强内部控制。重视单位内部管理制度建设及监督，加强财务管理，强化财务监督，增强法纪观念，遵守规章制度。为保证财务管理工作规范有序进行。对各项资金的管理、经费收支审批等均作了明确规定，正确组织资金的筹集、调度和使用，债权债务及时结算、结清。各项经费支出实行严格审批把关。严格执行上级关于“一把手不直接分管财务”的规定。</w:t>
            </w:r>
          </w:p>
          <w:p w14:paraId="40020086">
            <w:pPr>
              <w:widowControl/>
              <w:shd w:val="clear" w:color="auto" w:fill="FFFFFF"/>
              <w:spacing w:line="440" w:lineRule="exact"/>
              <w:ind w:firstLine="560"/>
              <w:rPr>
                <w:rFonts w:ascii="黑体" w:hAnsi="黑体" w:eastAsia="黑体" w:cs="黑体"/>
                <w:bCs/>
                <w:sz w:val="28"/>
                <w:szCs w:val="28"/>
              </w:rPr>
            </w:pPr>
            <w:r>
              <w:rPr>
                <w:rFonts w:hint="eastAsia" w:ascii="仿宋" w:hAnsi="仿宋" w:eastAsia="仿宋"/>
                <w:kern w:val="0"/>
                <w:sz w:val="28"/>
                <w:szCs w:val="28"/>
                <w:shd w:val="clear" w:color="auto" w:fill="FFFFFF"/>
              </w:rPr>
              <w:t>强化制度执行。切实做好厉行节约工作，全面落实各项管理制度要求，努力降低行政成本。严格公务接待费、差旅费、会议费和培训费审核审批程序，加强对公务用车的管理。做到一事一审批、一事一结账，会议费和培训费严格按制度规定的标准执行。各项费用严格履行财经</w:t>
            </w:r>
            <w:r>
              <w:rPr>
                <w:rFonts w:ascii="仿宋" w:hAnsi="仿宋" w:eastAsia="仿宋"/>
                <w:kern w:val="0"/>
                <w:sz w:val="28"/>
                <w:szCs w:val="28"/>
                <w:shd w:val="clear" w:color="auto" w:fill="FFFFFF"/>
              </w:rPr>
              <w:t>制度和</w:t>
            </w:r>
            <w:r>
              <w:rPr>
                <w:rFonts w:hint="eastAsia" w:ascii="仿宋" w:hAnsi="仿宋" w:eastAsia="仿宋"/>
                <w:kern w:val="0"/>
                <w:sz w:val="28"/>
                <w:szCs w:val="28"/>
                <w:shd w:val="clear" w:color="auto" w:fill="FFFFFF"/>
              </w:rPr>
              <w:t>程序，“三公”经费较好地控制在预算范围之内。</w:t>
            </w:r>
          </w:p>
          <w:p w14:paraId="4EBC4115">
            <w:pP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14:paraId="48B7BDFA">
            <w:pPr>
              <w:widowControl/>
              <w:shd w:val="clear" w:color="auto" w:fill="FFFFFF"/>
              <w:spacing w:line="440" w:lineRule="exact"/>
              <w:ind w:firstLine="48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1、</w:t>
            </w:r>
            <w:r>
              <w:rPr>
                <w:rFonts w:ascii="仿宋" w:hAnsi="仿宋" w:eastAsia="仿宋"/>
                <w:kern w:val="0"/>
                <w:sz w:val="28"/>
                <w:szCs w:val="28"/>
                <w:shd w:val="clear" w:color="auto" w:fill="FFFFFF"/>
              </w:rPr>
              <w:t>资金使用计划</w:t>
            </w:r>
            <w:r>
              <w:rPr>
                <w:rFonts w:hint="eastAsia" w:ascii="仿宋" w:hAnsi="仿宋" w:eastAsia="仿宋"/>
                <w:kern w:val="0"/>
                <w:sz w:val="28"/>
                <w:szCs w:val="28"/>
                <w:shd w:val="clear" w:color="auto" w:fill="FFFFFF"/>
              </w:rPr>
              <w:t>需进</w:t>
            </w:r>
            <w:r>
              <w:rPr>
                <w:rFonts w:ascii="仿宋" w:hAnsi="仿宋" w:eastAsia="仿宋"/>
                <w:kern w:val="0"/>
                <w:sz w:val="28"/>
                <w:szCs w:val="28"/>
                <w:shd w:val="clear" w:color="auto" w:fill="FFFFFF"/>
              </w:rPr>
              <w:t>一步细化。</w:t>
            </w:r>
          </w:p>
          <w:p w14:paraId="1D4A1700">
            <w:pPr>
              <w:widowControl/>
              <w:shd w:val="clear" w:color="auto" w:fill="FFFFFF"/>
              <w:spacing w:line="440" w:lineRule="exact"/>
              <w:ind w:firstLine="480"/>
              <w:rPr>
                <w:rFonts w:ascii="仿宋" w:hAnsi="仿宋" w:eastAsia="仿宋"/>
                <w:kern w:val="0"/>
                <w:sz w:val="28"/>
                <w:szCs w:val="28"/>
                <w:shd w:val="clear" w:color="auto" w:fill="FFFFFF"/>
              </w:rPr>
            </w:pPr>
            <w:r>
              <w:rPr>
                <w:rFonts w:ascii="仿宋" w:hAnsi="仿宋" w:eastAsia="仿宋"/>
                <w:kern w:val="0"/>
                <w:sz w:val="28"/>
                <w:szCs w:val="28"/>
                <w:shd w:val="clear" w:color="auto" w:fill="FFFFFF"/>
              </w:rPr>
              <w:t>2、财政预算资金到位</w:t>
            </w:r>
            <w:r>
              <w:rPr>
                <w:rFonts w:hint="eastAsia" w:ascii="仿宋" w:hAnsi="仿宋" w:eastAsia="仿宋"/>
                <w:kern w:val="0"/>
                <w:sz w:val="28"/>
                <w:szCs w:val="28"/>
                <w:shd w:val="clear" w:color="auto" w:fill="FFFFFF"/>
              </w:rPr>
              <w:t>有点</w:t>
            </w:r>
            <w:r>
              <w:rPr>
                <w:rFonts w:ascii="仿宋" w:hAnsi="仿宋" w:eastAsia="仿宋"/>
                <w:kern w:val="0"/>
                <w:sz w:val="28"/>
                <w:szCs w:val="28"/>
                <w:shd w:val="clear" w:color="auto" w:fill="FFFFFF"/>
              </w:rPr>
              <w:t>迟缓，各项目经费支付不能及时到位</w:t>
            </w:r>
            <w:r>
              <w:rPr>
                <w:rFonts w:hint="eastAsia" w:ascii="仿宋" w:hAnsi="仿宋" w:eastAsia="仿宋"/>
                <w:kern w:val="0"/>
                <w:sz w:val="28"/>
                <w:szCs w:val="28"/>
                <w:shd w:val="clear" w:color="auto" w:fill="FFFFFF"/>
              </w:rPr>
              <w:t>。</w:t>
            </w:r>
          </w:p>
          <w:p w14:paraId="680E5554">
            <w:pPr>
              <w:widowControl/>
              <w:shd w:val="clear" w:color="auto" w:fill="FFFFFF"/>
              <w:spacing w:line="440" w:lineRule="exact"/>
              <w:ind w:firstLine="480"/>
              <w:rPr>
                <w:rFonts w:ascii="仿宋" w:hAnsi="仿宋" w:eastAsia="仿宋"/>
                <w:kern w:val="0"/>
                <w:sz w:val="28"/>
                <w:szCs w:val="28"/>
                <w:shd w:val="clear" w:color="auto" w:fill="FFFFFF"/>
              </w:rPr>
            </w:pPr>
            <w:r>
              <w:rPr>
                <w:rFonts w:hint="eastAsia" w:ascii="仿宋" w:hAnsi="仿宋" w:eastAsia="仿宋"/>
                <w:kern w:val="0"/>
                <w:sz w:val="28"/>
                <w:szCs w:val="28"/>
                <w:shd w:val="clear" w:color="auto" w:fill="FFFFFF"/>
              </w:rPr>
              <w:t>3、</w:t>
            </w:r>
            <w:r>
              <w:rPr>
                <w:rFonts w:ascii="仿宋" w:hAnsi="仿宋" w:eastAsia="仿宋"/>
                <w:kern w:val="0"/>
                <w:sz w:val="28"/>
                <w:szCs w:val="28"/>
                <w:shd w:val="clear" w:color="auto" w:fill="FFFFFF"/>
              </w:rPr>
              <w:t>财务人员专业技能</w:t>
            </w:r>
            <w:r>
              <w:rPr>
                <w:rFonts w:hint="eastAsia" w:ascii="仿宋" w:hAnsi="仿宋" w:eastAsia="仿宋"/>
                <w:kern w:val="0"/>
                <w:sz w:val="28"/>
                <w:szCs w:val="28"/>
                <w:shd w:val="clear" w:color="auto" w:fill="FFFFFF"/>
              </w:rPr>
              <w:t>还</w:t>
            </w:r>
            <w:r>
              <w:rPr>
                <w:rFonts w:ascii="仿宋" w:hAnsi="仿宋" w:eastAsia="仿宋"/>
                <w:kern w:val="0"/>
                <w:sz w:val="28"/>
                <w:szCs w:val="28"/>
                <w:shd w:val="clear" w:color="auto" w:fill="FFFFFF"/>
              </w:rPr>
              <w:t>需进一步提升。</w:t>
            </w:r>
          </w:p>
          <w:p w14:paraId="3DEE2F2B">
            <w:pPr>
              <w:spacing w:line="44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14:paraId="31CC3E49">
            <w:pPr>
              <w:widowControl/>
              <w:shd w:val="clear" w:color="auto" w:fill="FFFFFF"/>
              <w:spacing w:line="440" w:lineRule="exact"/>
              <w:ind w:firstLine="560"/>
              <w:rPr>
                <w:kern w:val="0"/>
                <w:szCs w:val="21"/>
              </w:rPr>
            </w:pPr>
            <w:r>
              <w:rPr>
                <w:rFonts w:hint="eastAsia" w:ascii="仿宋" w:hAnsi="仿宋" w:eastAsia="仿宋"/>
                <w:kern w:val="0"/>
                <w:sz w:val="28"/>
                <w:szCs w:val="28"/>
                <w:shd w:val="clear" w:color="auto" w:fill="FFFFFF"/>
              </w:rPr>
              <w:t>1、进</w:t>
            </w:r>
            <w:r>
              <w:rPr>
                <w:rFonts w:ascii="仿宋" w:hAnsi="仿宋" w:eastAsia="仿宋"/>
                <w:kern w:val="0"/>
                <w:sz w:val="28"/>
                <w:szCs w:val="28"/>
                <w:shd w:val="clear" w:color="auto" w:fill="FFFFFF"/>
              </w:rPr>
              <w:t>一步</w:t>
            </w:r>
            <w:r>
              <w:rPr>
                <w:rFonts w:hint="eastAsia" w:ascii="仿宋" w:hAnsi="仿宋" w:eastAsia="仿宋"/>
                <w:kern w:val="0"/>
                <w:sz w:val="28"/>
                <w:szCs w:val="28"/>
                <w:shd w:val="clear" w:color="auto" w:fill="FFFFFF"/>
              </w:rPr>
              <w:t>细化预算编制工作，认真做好预算的编制。进一步加强单位内部机构各股室的预算管理意识，严格按照预算编制的相关制度和要求进行预算编制。</w:t>
            </w:r>
          </w:p>
          <w:p w14:paraId="783FC899">
            <w:pPr>
              <w:widowControl/>
              <w:shd w:val="clear" w:color="auto" w:fill="FFFFFF"/>
              <w:spacing w:line="440" w:lineRule="exact"/>
              <w:ind w:firstLine="560"/>
              <w:rPr>
                <w:kern w:val="0"/>
                <w:szCs w:val="21"/>
              </w:rPr>
            </w:pPr>
            <w:r>
              <w:rPr>
                <w:rFonts w:hint="eastAsia" w:ascii="仿宋" w:hAnsi="仿宋" w:eastAsia="仿宋"/>
                <w:kern w:val="0"/>
                <w:sz w:val="28"/>
                <w:szCs w:val="28"/>
                <w:shd w:val="clear" w:color="auto" w:fill="FFFFFF"/>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14:paraId="540DDE84">
            <w:pPr>
              <w:widowControl/>
              <w:shd w:val="clear" w:color="auto" w:fill="FFFFFF"/>
              <w:spacing w:line="440" w:lineRule="exact"/>
              <w:ind w:firstLine="560"/>
              <w:rPr>
                <w:kern w:val="0"/>
                <w:szCs w:val="21"/>
              </w:rPr>
            </w:pPr>
            <w:r>
              <w:rPr>
                <w:rFonts w:hint="eastAsia" w:ascii="仿宋" w:hAnsi="仿宋" w:eastAsia="仿宋"/>
                <w:kern w:val="0"/>
                <w:sz w:val="28"/>
                <w:szCs w:val="28"/>
                <w:shd w:val="clear" w:color="auto" w:fill="FFFFFF"/>
              </w:rPr>
              <w:t>3、完善资产管理，抓好“三公”经费控制。严格编制政府采购年初预算和计划，规范各类资产的购置审批制度、资产采购制度、使用管理制度、资产处置和报废审批制度，加强单位内部的资产管理工作。严格控制“三公”经费的规模和比例，把关“三公”经费支出的审核、审批，杜绝挪用和挤占其他预算资金行为；进一步细化“三公”经费的管理，合理压缩“三公”经费支出。</w:t>
            </w:r>
          </w:p>
          <w:p w14:paraId="10BB7E3B">
            <w:pPr>
              <w:spacing w:line="440" w:lineRule="exact"/>
              <w:ind w:firstLine="560" w:firstLineChars="200"/>
              <w:rPr>
                <w:rFonts w:ascii="黑体" w:hAnsi="黑体" w:eastAsia="黑体" w:cs="黑体"/>
                <w:bCs/>
                <w:sz w:val="28"/>
                <w:szCs w:val="28"/>
              </w:rPr>
            </w:pPr>
            <w:r>
              <w:rPr>
                <w:rFonts w:hint="eastAsia" w:ascii="仿宋" w:hAnsi="仿宋" w:eastAsia="仿宋"/>
                <w:sz w:val="28"/>
                <w:szCs w:val="28"/>
                <w:shd w:val="clear" w:color="auto" w:fill="FFFFFF"/>
              </w:rPr>
              <w:t>建议对相关人员加强培训，特别是针对《预算法》、《行政事业单位会计制度》等学习培训，规范部门预算收支核算，切实提高部门预算收支管理水平。</w:t>
            </w:r>
          </w:p>
          <w:p w14:paraId="1AC883C3">
            <w:pPr>
              <w:rPr>
                <w:rFonts w:eastAsia="楷体_GB2312"/>
                <w:bCs/>
                <w:sz w:val="28"/>
                <w:szCs w:val="28"/>
              </w:rPr>
            </w:pPr>
          </w:p>
        </w:tc>
      </w:tr>
    </w:tbl>
    <w:p w14:paraId="7D9E697D">
      <w:pPr>
        <w:spacing w:line="348" w:lineRule="auto"/>
        <w:rPr>
          <w:rFonts w:ascii="黑体" w:hAnsi="黑体" w:eastAsia="黑体"/>
          <w:sz w:val="32"/>
          <w:szCs w:val="32"/>
        </w:rPr>
      </w:pPr>
    </w:p>
    <w:p w14:paraId="2E477E8B">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5"/>
      <w:bookmarkEnd w:id="57"/>
    </w:p>
    <w:p w14:paraId="5A96B98A">
      <w:pPr>
        <w:spacing w:line="600" w:lineRule="exact"/>
        <w:jc w:val="center"/>
        <w:outlineLvl w:val="0"/>
        <w:rPr>
          <w:rFonts w:ascii="仿宋" w:hAnsi="仿宋" w:eastAsia="仿宋"/>
          <w:b/>
          <w:color w:val="000000"/>
          <w:sz w:val="44"/>
          <w:szCs w:val="44"/>
        </w:rPr>
      </w:pPr>
    </w:p>
    <w:p w14:paraId="1C544521">
      <w:pPr>
        <w:pStyle w:val="3"/>
        <w:rPr>
          <w:rFonts w:ascii="仿宋" w:hAnsi="仿宋" w:eastAsia="仿宋"/>
          <w:color w:val="000000"/>
        </w:rPr>
      </w:pPr>
      <w:bookmarkStart w:id="58"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58"/>
    </w:p>
    <w:p w14:paraId="312A02F7">
      <w:pPr>
        <w:pStyle w:val="3"/>
        <w:rPr>
          <w:rFonts w:ascii="仿宋" w:hAnsi="仿宋" w:eastAsia="仿宋"/>
          <w:color w:val="000000"/>
        </w:rPr>
      </w:pPr>
      <w:bookmarkStart w:id="59" w:name="_Toc15396620"/>
      <w:r>
        <w:rPr>
          <w:rFonts w:hint="eastAsia" w:ascii="仿宋" w:hAnsi="仿宋" w:eastAsia="仿宋"/>
          <w:b w:val="0"/>
          <w:color w:val="000000"/>
        </w:rPr>
        <w:t>二、收</w:t>
      </w:r>
      <w:r>
        <w:rPr>
          <w:rStyle w:val="28"/>
          <w:rFonts w:hint="eastAsia" w:ascii="仿宋" w:hAnsi="仿宋" w:eastAsia="仿宋"/>
          <w:b w:val="0"/>
          <w:bCs w:val="0"/>
        </w:rPr>
        <w:t>入总表</w:t>
      </w:r>
      <w:bookmarkEnd w:id="59"/>
    </w:p>
    <w:p w14:paraId="76F12F42">
      <w:pPr>
        <w:pStyle w:val="3"/>
        <w:rPr>
          <w:rFonts w:ascii="仿宋" w:hAnsi="仿宋" w:eastAsia="仿宋"/>
          <w:color w:val="000000"/>
        </w:rPr>
      </w:pPr>
      <w:bookmarkStart w:id="60"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60"/>
    </w:p>
    <w:p w14:paraId="1427EDF3">
      <w:pPr>
        <w:pStyle w:val="3"/>
        <w:rPr>
          <w:rFonts w:ascii="仿宋" w:hAnsi="仿宋" w:eastAsia="仿宋"/>
          <w:b w:val="0"/>
          <w:color w:val="000000"/>
        </w:rPr>
      </w:pPr>
      <w:bookmarkStart w:id="61"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1"/>
    </w:p>
    <w:p w14:paraId="6104150E">
      <w:pPr>
        <w:pStyle w:val="3"/>
        <w:rPr>
          <w:rFonts w:ascii="仿宋" w:hAnsi="仿宋" w:eastAsia="仿宋"/>
          <w:color w:val="000000"/>
        </w:rPr>
      </w:pPr>
      <w:bookmarkStart w:id="62"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62"/>
    </w:p>
    <w:p w14:paraId="0F4CF462">
      <w:pPr>
        <w:pStyle w:val="3"/>
        <w:rPr>
          <w:rFonts w:ascii="仿宋" w:hAnsi="仿宋" w:eastAsia="仿宋"/>
          <w:color w:val="000000"/>
        </w:rPr>
      </w:pPr>
      <w:bookmarkStart w:id="63" w:name="_Toc15396624"/>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3"/>
    </w:p>
    <w:p w14:paraId="74AA7088">
      <w:pPr>
        <w:pStyle w:val="3"/>
        <w:rPr>
          <w:rFonts w:ascii="仿宋" w:hAnsi="仿宋" w:eastAsia="仿宋"/>
          <w:color w:val="000000"/>
        </w:rPr>
      </w:pPr>
      <w:bookmarkStart w:id="64"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4"/>
    </w:p>
    <w:p w14:paraId="02A8C148">
      <w:pPr>
        <w:pStyle w:val="3"/>
        <w:rPr>
          <w:rFonts w:ascii="仿宋" w:hAnsi="仿宋" w:eastAsia="仿宋"/>
          <w:color w:val="000000"/>
        </w:rPr>
      </w:pPr>
      <w:bookmarkStart w:id="65"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5"/>
    </w:p>
    <w:p w14:paraId="27174FFE">
      <w:pPr>
        <w:pStyle w:val="3"/>
        <w:rPr>
          <w:rFonts w:ascii="仿宋" w:hAnsi="仿宋" w:eastAsia="仿宋"/>
          <w:color w:val="000000"/>
        </w:rPr>
      </w:pPr>
      <w:bookmarkStart w:id="66"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6"/>
    </w:p>
    <w:p w14:paraId="78D3FD80">
      <w:pPr>
        <w:pStyle w:val="3"/>
        <w:rPr>
          <w:rFonts w:ascii="仿宋" w:hAnsi="仿宋" w:eastAsia="仿宋"/>
          <w:color w:val="000000"/>
        </w:rPr>
      </w:pPr>
      <w:bookmarkStart w:id="67"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67"/>
    </w:p>
    <w:p w14:paraId="357FF15B">
      <w:pPr>
        <w:pStyle w:val="3"/>
        <w:rPr>
          <w:rFonts w:ascii="仿宋" w:hAnsi="仿宋" w:eastAsia="仿宋"/>
          <w:color w:val="000000"/>
        </w:rPr>
      </w:pPr>
      <w:bookmarkStart w:id="68"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68"/>
    </w:p>
    <w:p w14:paraId="5DB65245">
      <w:pPr>
        <w:pStyle w:val="3"/>
        <w:rPr>
          <w:rFonts w:ascii="仿宋" w:hAnsi="仿宋" w:eastAsia="仿宋"/>
          <w:color w:val="000000"/>
        </w:rPr>
      </w:pPr>
      <w:bookmarkStart w:id="69"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69"/>
    </w:p>
    <w:p w14:paraId="4C7C58FE">
      <w:pPr>
        <w:pStyle w:val="3"/>
        <w:rPr>
          <w:rFonts w:ascii="仿宋" w:hAnsi="仿宋" w:eastAsia="仿宋"/>
          <w:color w:val="000000" w:themeColor="text1"/>
        </w:rPr>
      </w:pPr>
      <w:bookmarkStart w:id="70"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0"/>
    </w:p>
    <w:sectPr>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DE085">
    <w:pPr>
      <w:pStyle w:val="8"/>
      <w:framePr w:wrap="around" w:vAnchor="text" w:hAnchor="margin" w:xAlign="outside" w:y="1"/>
      <w:rPr>
        <w:rStyle w:val="17"/>
        <w:sz w:val="24"/>
        <w:szCs w:val="24"/>
      </w:rPr>
    </w:pPr>
    <w:r>
      <w:rPr>
        <w:rStyle w:val="17"/>
        <w:rFonts w:hint="eastAsia"/>
        <w:sz w:val="24"/>
        <w:szCs w:val="24"/>
      </w:rPr>
      <w:t xml:space="preserve">— </w:t>
    </w:r>
    <w:r>
      <w:rPr>
        <w:sz w:val="24"/>
        <w:szCs w:val="24"/>
      </w:rPr>
      <w:fldChar w:fldCharType="begin"/>
    </w:r>
    <w:r>
      <w:rPr>
        <w:rStyle w:val="17"/>
        <w:sz w:val="24"/>
        <w:szCs w:val="24"/>
      </w:rPr>
      <w:instrText xml:space="preserve">PAGE  </w:instrText>
    </w:r>
    <w:r>
      <w:rPr>
        <w:sz w:val="24"/>
        <w:szCs w:val="24"/>
      </w:rPr>
      <w:fldChar w:fldCharType="separate"/>
    </w:r>
    <w:r>
      <w:rPr>
        <w:rStyle w:val="17"/>
        <w:sz w:val="24"/>
        <w:szCs w:val="24"/>
      </w:rPr>
      <w:t>14</w:t>
    </w:r>
    <w:r>
      <w:rPr>
        <w:sz w:val="24"/>
        <w:szCs w:val="24"/>
      </w:rPr>
      <w:fldChar w:fldCharType="end"/>
    </w:r>
    <w:r>
      <w:rPr>
        <w:rStyle w:val="17"/>
        <w:rFonts w:hint="eastAsia"/>
        <w:sz w:val="24"/>
        <w:szCs w:val="24"/>
      </w:rPr>
      <w:t xml:space="preserve"> —</w:t>
    </w:r>
  </w:p>
  <w:p w14:paraId="3A77F125">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E62C6">
    <w:pPr>
      <w:framePr w:wrap="around" w:vAnchor="text" w:hAnchor="margin" w:xAlign="outside" w:y="1"/>
    </w:pPr>
    <w:r>
      <w:fldChar w:fldCharType="begin"/>
    </w:r>
    <w:r>
      <w:instrText xml:space="preserve">PAGE  </w:instrText>
    </w:r>
    <w:r>
      <w:fldChar w:fldCharType="separate"/>
    </w:r>
    <w:r>
      <w:t>- 15 -</w:t>
    </w:r>
    <w:r>
      <w:fldChar w:fldCharType="end"/>
    </w:r>
  </w:p>
  <w:p w14:paraId="68E036E7">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5DBC926">
        <w:pPr>
          <w:pStyle w:val="8"/>
          <w:jc w:val="center"/>
        </w:pPr>
        <w:r>
          <w:fldChar w:fldCharType="begin"/>
        </w:r>
        <w:r>
          <w:instrText xml:space="preserve">PAGE   \* MERGEFORMAT</w:instrText>
        </w:r>
        <w:r>
          <w:fldChar w:fldCharType="separate"/>
        </w:r>
        <w:r>
          <w:rPr>
            <w:lang w:val="zh-CN"/>
          </w:rPr>
          <w:t>9</w:t>
        </w:r>
        <w:r>
          <w:rPr>
            <w:lang w:val="zh-CN"/>
          </w:rPr>
          <w:fldChar w:fldCharType="end"/>
        </w:r>
      </w:p>
    </w:sdtContent>
  </w:sdt>
  <w:p w14:paraId="2822D3CF">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367A0">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6416"/>
    <w:rsid w:val="000222C6"/>
    <w:rsid w:val="0002549F"/>
    <w:rsid w:val="0005212E"/>
    <w:rsid w:val="0006487A"/>
    <w:rsid w:val="00065F8F"/>
    <w:rsid w:val="000768F2"/>
    <w:rsid w:val="000800A0"/>
    <w:rsid w:val="0009184B"/>
    <w:rsid w:val="0009593C"/>
    <w:rsid w:val="000B047F"/>
    <w:rsid w:val="000B5923"/>
    <w:rsid w:val="000B5A48"/>
    <w:rsid w:val="000B6FF3"/>
    <w:rsid w:val="000C3467"/>
    <w:rsid w:val="000C3CA6"/>
    <w:rsid w:val="000D1267"/>
    <w:rsid w:val="000D1D50"/>
    <w:rsid w:val="000D5782"/>
    <w:rsid w:val="000E6613"/>
    <w:rsid w:val="000E7119"/>
    <w:rsid w:val="000E7DBC"/>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A7B07"/>
    <w:rsid w:val="004B199D"/>
    <w:rsid w:val="004B4690"/>
    <w:rsid w:val="004E0A2D"/>
    <w:rsid w:val="004E206B"/>
    <w:rsid w:val="004E6DF7"/>
    <w:rsid w:val="004F0FBD"/>
    <w:rsid w:val="00505A47"/>
    <w:rsid w:val="00512FDA"/>
    <w:rsid w:val="00520DA0"/>
    <w:rsid w:val="005561CA"/>
    <w:rsid w:val="005664BB"/>
    <w:rsid w:val="0057481D"/>
    <w:rsid w:val="0058486E"/>
    <w:rsid w:val="00593ED8"/>
    <w:rsid w:val="005D1C8B"/>
    <w:rsid w:val="005D5CED"/>
    <w:rsid w:val="005F1A4C"/>
    <w:rsid w:val="00605688"/>
    <w:rsid w:val="006070AF"/>
    <w:rsid w:val="00607E6C"/>
    <w:rsid w:val="006101B1"/>
    <w:rsid w:val="00613130"/>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27E46"/>
    <w:rsid w:val="009315F9"/>
    <w:rsid w:val="00946945"/>
    <w:rsid w:val="00951248"/>
    <w:rsid w:val="0095152F"/>
    <w:rsid w:val="00954C49"/>
    <w:rsid w:val="0097099F"/>
    <w:rsid w:val="00971997"/>
    <w:rsid w:val="00971FFC"/>
    <w:rsid w:val="00974666"/>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2CB8"/>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AF1A41"/>
    <w:rsid w:val="00B03C9D"/>
    <w:rsid w:val="00B060AE"/>
    <w:rsid w:val="00B10517"/>
    <w:rsid w:val="00B14E76"/>
    <w:rsid w:val="00B161B8"/>
    <w:rsid w:val="00B2048C"/>
    <w:rsid w:val="00B310B9"/>
    <w:rsid w:val="00B35F3F"/>
    <w:rsid w:val="00B36CBB"/>
    <w:rsid w:val="00B425E0"/>
    <w:rsid w:val="00B440AA"/>
    <w:rsid w:val="00B44B70"/>
    <w:rsid w:val="00B47694"/>
    <w:rsid w:val="00B53C56"/>
    <w:rsid w:val="00B77EA6"/>
    <w:rsid w:val="00B81598"/>
    <w:rsid w:val="00B841F1"/>
    <w:rsid w:val="00B944D6"/>
    <w:rsid w:val="00BB4DF0"/>
    <w:rsid w:val="00BC289F"/>
    <w:rsid w:val="00BC5361"/>
    <w:rsid w:val="00BC5460"/>
    <w:rsid w:val="00BC547E"/>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02F8"/>
    <w:rsid w:val="00D51276"/>
    <w:rsid w:val="00D7035F"/>
    <w:rsid w:val="00DA65AC"/>
    <w:rsid w:val="00DB1913"/>
    <w:rsid w:val="00DB6742"/>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74EA8"/>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C0B0A"/>
    <w:rsid w:val="00FC6731"/>
    <w:rsid w:val="00FD3CC1"/>
    <w:rsid w:val="00FF1E02"/>
    <w:rsid w:val="00FF30B4"/>
    <w:rsid w:val="05BA23BF"/>
    <w:rsid w:val="087807C6"/>
    <w:rsid w:val="0A793577"/>
    <w:rsid w:val="0C755950"/>
    <w:rsid w:val="10C055FF"/>
    <w:rsid w:val="11717CCC"/>
    <w:rsid w:val="126979CD"/>
    <w:rsid w:val="16BB723D"/>
    <w:rsid w:val="1C837895"/>
    <w:rsid w:val="1E605315"/>
    <w:rsid w:val="1F3E5EEA"/>
    <w:rsid w:val="1F6D0F13"/>
    <w:rsid w:val="20A31F50"/>
    <w:rsid w:val="21E130D5"/>
    <w:rsid w:val="240371BF"/>
    <w:rsid w:val="246609D2"/>
    <w:rsid w:val="248A0BD8"/>
    <w:rsid w:val="26B3576E"/>
    <w:rsid w:val="28DD45CE"/>
    <w:rsid w:val="29FD04D3"/>
    <w:rsid w:val="2E6D77E1"/>
    <w:rsid w:val="319F7F4E"/>
    <w:rsid w:val="380D318C"/>
    <w:rsid w:val="39FA2C5D"/>
    <w:rsid w:val="3CB045D2"/>
    <w:rsid w:val="40092A8C"/>
    <w:rsid w:val="4B0669AE"/>
    <w:rsid w:val="4D93433E"/>
    <w:rsid w:val="5253646D"/>
    <w:rsid w:val="526C21FD"/>
    <w:rsid w:val="52A80637"/>
    <w:rsid w:val="537173DD"/>
    <w:rsid w:val="5443216E"/>
    <w:rsid w:val="5B0D27E8"/>
    <w:rsid w:val="5B263A70"/>
    <w:rsid w:val="5CDA1507"/>
    <w:rsid w:val="5DED2FF3"/>
    <w:rsid w:val="5EBD1662"/>
    <w:rsid w:val="5FBD40C8"/>
    <w:rsid w:val="61A01D6D"/>
    <w:rsid w:val="66951EA4"/>
    <w:rsid w:val="6A5D6FD7"/>
    <w:rsid w:val="6A633DC8"/>
    <w:rsid w:val="6C5637BC"/>
    <w:rsid w:val="6C621721"/>
    <w:rsid w:val="783B0502"/>
    <w:rsid w:val="7B2006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0"/>
    <w:semiHidden/>
    <w:unhideWhenUsed/>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unhideWhenUsed/>
    <w:qFormat/>
    <w:uiPriority w:val="99"/>
    <w:pPr>
      <w:spacing w:before="100" w:beforeAutospacing="1" w:after="100" w:afterAutospacing="1"/>
      <w:jc w:val="left"/>
    </w:pPr>
    <w:rPr>
      <w:kern w:val="0"/>
      <w:sz w:val="24"/>
    </w:rPr>
  </w:style>
  <w:style w:type="character" w:styleId="16">
    <w:name w:val="Strong"/>
    <w:basedOn w:val="15"/>
    <w:qFormat/>
    <w:uiPriority w:val="99"/>
    <w:rPr>
      <w:b/>
    </w:rPr>
  </w:style>
  <w:style w:type="character" w:styleId="17">
    <w:name w:val="page number"/>
    <w:qFormat/>
    <w:uiPriority w:val="0"/>
  </w:style>
  <w:style w:type="character" w:styleId="18">
    <w:name w:val="Hyperlink"/>
    <w:basedOn w:val="15"/>
    <w:unhideWhenUsed/>
    <w:qFormat/>
    <w:uiPriority w:val="99"/>
    <w:rPr>
      <w:color w:val="0000FF" w:themeColor="hyperlink"/>
      <w:u w:val="single"/>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Char"/>
    <w:link w:val="9"/>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Char"/>
    <w:link w:val="8"/>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Char"/>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Char"/>
    <w:basedOn w:val="15"/>
    <w:link w:val="2"/>
    <w:qFormat/>
    <w:uiPriority w:val="9"/>
    <w:rPr>
      <w:rFonts w:ascii="Times New Roman" w:hAnsi="Times New Roman"/>
      <w:b/>
      <w:bCs/>
      <w:kern w:val="44"/>
      <w:sz w:val="44"/>
      <w:szCs w:val="44"/>
    </w:rPr>
  </w:style>
  <w:style w:type="character" w:customStyle="1" w:styleId="28">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Char"/>
    <w:basedOn w:val="15"/>
    <w:link w:val="7"/>
    <w:semiHidden/>
    <w:qFormat/>
    <w:uiPriority w:val="99"/>
    <w:rPr>
      <w:rFonts w:ascii="Times New Roman" w:hAnsi="Times New Roman"/>
      <w:kern w:val="2"/>
      <w:sz w:val="18"/>
      <w:szCs w:val="18"/>
    </w:rPr>
  </w:style>
  <w:style w:type="character" w:customStyle="1" w:styleId="31">
    <w:name w:val="标题 3 Char"/>
    <w:basedOn w:val="15"/>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C1BA4-3870-4CA4-A519-B90F877A6FD2}">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26</Pages>
  <Words>9523</Words>
  <Characters>10214</Characters>
  <Lines>92</Lines>
  <Paragraphs>26</Paragraphs>
  <TotalTime>8</TotalTime>
  <ScaleCrop>false</ScaleCrop>
  <LinksUpToDate>false</LinksUpToDate>
  <CharactersWithSpaces>10655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长江水</cp:lastModifiedBy>
  <cp:lastPrinted>2019-08-01T00:48:00Z</cp:lastPrinted>
  <dcterms:modified xsi:type="dcterms:W3CDTF">2025-05-12T02:52:26Z</dcterms:modified>
  <dc:title>四川省***</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eyJoZGlkIjoiN2FkYzJhY2JjOGViZWM2Mjk3YzI5YTU4YjFhMTQxYWUiLCJ1c2VySWQiOiIyODMxNjg0ODQifQ==</vt:lpwstr>
  </property>
  <property fmtid="{D5CDD505-2E9C-101B-9397-08002B2CF9AE}" pid="4" name="ICV">
    <vt:lpwstr>C26AD04EF9BE4B8E91F02D52EEE06778_13</vt:lpwstr>
  </property>
</Properties>
</file>