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884" w:rsidRDefault="00162442">
      <w:pPr>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九寨沟县信访接待中心</w:t>
      </w:r>
    </w:p>
    <w:p w:rsidR="00513884" w:rsidRDefault="00162442">
      <w:pPr>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2021</w:t>
      </w:r>
      <w:r>
        <w:rPr>
          <w:rFonts w:asciiTheme="majorEastAsia" w:eastAsiaTheme="majorEastAsia" w:hAnsiTheme="majorEastAsia" w:cstheme="majorEastAsia" w:hint="eastAsia"/>
          <w:b/>
          <w:bCs/>
          <w:sz w:val="44"/>
          <w:szCs w:val="44"/>
        </w:rPr>
        <w:t>年部门预算编制说明</w:t>
      </w:r>
    </w:p>
    <w:p w:rsidR="00513884" w:rsidRDefault="00513884">
      <w:pPr>
        <w:rPr>
          <w:rFonts w:ascii="仿宋_GB2312" w:eastAsia="仿宋_GB2312" w:hAnsi="仿宋_GB2312" w:cs="仿宋_GB2312"/>
          <w:sz w:val="32"/>
          <w:szCs w:val="32"/>
        </w:rPr>
      </w:pPr>
    </w:p>
    <w:p w:rsidR="00513884" w:rsidRDefault="00162442">
      <w:pPr>
        <w:numPr>
          <w:ilvl w:val="0"/>
          <w:numId w:val="1"/>
        </w:numPr>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基本职能及主要工作</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年九寨沟县信访接待中心始终坚持以习近平新时代中国特色社会主义思想为指导，深入贯彻落实中央、省委和州委关于做好信访工作的决策部署，紧扣实施“全域发展、绿色崛起”总体战略，高质量推进</w:t>
      </w:r>
      <w:proofErr w:type="gramStart"/>
      <w:r>
        <w:rPr>
          <w:rFonts w:ascii="仿宋_GB2312" w:eastAsia="仿宋_GB2312" w:hAnsi="仿宋_GB2312" w:cs="仿宋_GB2312" w:hint="eastAsia"/>
          <w:sz w:val="32"/>
          <w:szCs w:val="32"/>
        </w:rPr>
        <w:t>信访维稳工作</w:t>
      </w:r>
      <w:proofErr w:type="gramEnd"/>
      <w:r>
        <w:rPr>
          <w:rFonts w:ascii="仿宋_GB2312" w:eastAsia="仿宋_GB2312" w:hAnsi="仿宋_GB2312" w:cs="仿宋_GB2312" w:hint="eastAsia"/>
          <w:sz w:val="32"/>
          <w:szCs w:val="32"/>
        </w:rPr>
        <w:t>，努力探索出一条与县情、民情相适应的九寨信访模式，全县呈现出“信访秩序全面好转，信访办结率、停访息诉率、群众满意率三个提高，越级信访、重复信访、异常信访三个下降”的良好态势，总体部署主要工作职能是</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贯彻党和国家关于信访工作的方针、政策和规定及《国务院信访工作条例》，分析、研究、调查、汇报信访资料，为领导提供决策依据。</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负责处理县内外群众、境外人士、法人及其他组织通过信访渠道给县委、县政府及领导同志的来信来电，接待来访；承办州信访局及有关部门转送、交办的群众来信来电来访。</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负责向县委、县政府反映来信来电来访中提出的重要建议、意见和问题；综合</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判信访信息，开展调查研究，提出制定修改完善有关政策的建议。</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w:t>
      </w:r>
      <w:r>
        <w:rPr>
          <w:rFonts w:ascii="仿宋_GB2312" w:eastAsia="仿宋_GB2312" w:hAnsi="仿宋_GB2312" w:cs="仿宋_GB2312" w:hint="eastAsia"/>
          <w:sz w:val="32"/>
          <w:szCs w:val="32"/>
        </w:rPr>
        <w:t>、承担督促检查有关指示</w:t>
      </w:r>
      <w:proofErr w:type="gramStart"/>
      <w:r>
        <w:rPr>
          <w:rFonts w:ascii="仿宋_GB2312" w:eastAsia="仿宋_GB2312" w:hAnsi="仿宋_GB2312" w:cs="仿宋_GB2312" w:hint="eastAsia"/>
          <w:sz w:val="32"/>
          <w:szCs w:val="32"/>
        </w:rPr>
        <w:t>件落实</w:t>
      </w:r>
      <w:proofErr w:type="gramEnd"/>
      <w:r>
        <w:rPr>
          <w:rFonts w:ascii="仿宋_GB2312" w:eastAsia="仿宋_GB2312" w:hAnsi="仿宋_GB2312" w:cs="仿宋_GB2312" w:hint="eastAsia"/>
          <w:sz w:val="32"/>
          <w:szCs w:val="32"/>
        </w:rPr>
        <w:t>情况的责任，拟定信访督查制度并组织实施，承办省、州、县领导同志</w:t>
      </w:r>
      <w:r>
        <w:rPr>
          <w:rFonts w:ascii="仿宋_GB2312" w:eastAsia="仿宋_GB2312" w:hAnsi="仿宋_GB2312" w:cs="仿宋_GB2312" w:hint="eastAsia"/>
          <w:sz w:val="32"/>
          <w:szCs w:val="32"/>
        </w:rPr>
        <w:t>交办信访事项的落实；向各乡镇和部门转办、交办信访事项；督促检查重要信访事项的处理和落实。</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、承担办理县联席办、信访局及有关部门转送、交办的群众信访事项。协调处理到州赴省进京集体访和</w:t>
      </w:r>
      <w:proofErr w:type="gramStart"/>
      <w:r>
        <w:rPr>
          <w:rFonts w:ascii="仿宋_GB2312" w:eastAsia="仿宋_GB2312" w:hAnsi="仿宋_GB2312" w:cs="仿宋_GB2312" w:hint="eastAsia"/>
          <w:sz w:val="32"/>
          <w:szCs w:val="32"/>
        </w:rPr>
        <w:t>进京非正常访</w:t>
      </w:r>
      <w:proofErr w:type="gramEnd"/>
      <w:r>
        <w:rPr>
          <w:rFonts w:ascii="仿宋_GB2312" w:eastAsia="仿宋_GB2312" w:hAnsi="仿宋_GB2312" w:cs="仿宋_GB2312" w:hint="eastAsia"/>
          <w:sz w:val="32"/>
          <w:szCs w:val="32"/>
        </w:rPr>
        <w:t>的问题；综合协调处理跨地区、跨部门的重要信访问题。</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、协调指导全县信访工作。研究、起草全县有关信访工作的规范性文件；提出改进和加强信访工作的意见和建议；指导县内各部门的信访工作和乡镇的信访工作。</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制定信访问题排查化解制度并组织实施；建立完善信访动态分析机制，指导全县信访信息系统建设和应用。</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承担县</w:t>
      </w:r>
      <w:proofErr w:type="gramEnd"/>
      <w:r>
        <w:rPr>
          <w:rFonts w:ascii="仿宋_GB2312" w:eastAsia="仿宋_GB2312" w:hAnsi="仿宋_GB2312" w:cs="仿宋_GB2312" w:hint="eastAsia"/>
          <w:sz w:val="32"/>
          <w:szCs w:val="32"/>
        </w:rPr>
        <w:t>信访工作联</w:t>
      </w:r>
      <w:r>
        <w:rPr>
          <w:rFonts w:ascii="仿宋_GB2312" w:eastAsia="仿宋_GB2312" w:hAnsi="仿宋_GB2312" w:cs="仿宋_GB2312" w:hint="eastAsia"/>
          <w:sz w:val="32"/>
          <w:szCs w:val="32"/>
        </w:rPr>
        <w:t>席会议的日常工作；督促落实会议决定事项。</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负责全县信访工作的宣传和信息发布。</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承办县委、县政府交办的其他事项。</w:t>
      </w:r>
    </w:p>
    <w:p w:rsidR="00513884" w:rsidRDefault="00162442">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二、部门预算单位构成</w:t>
      </w:r>
    </w:p>
    <w:p w:rsidR="00513884" w:rsidRDefault="00162442">
      <w:pPr>
        <w:ind w:firstLineChars="200" w:firstLine="640"/>
        <w:rPr>
          <w:rFonts w:ascii="仿宋_GB2312" w:eastAsia="仿宋_GB2312" w:hAnsi="仿宋_GB2312" w:cs="仿宋_GB2312"/>
          <w:sz w:val="32"/>
          <w:szCs w:val="32"/>
        </w:rPr>
      </w:pPr>
      <w:bookmarkStart w:id="0" w:name="OLE_LINK1"/>
      <w:r>
        <w:rPr>
          <w:rFonts w:ascii="仿宋_GB2312" w:eastAsia="仿宋_GB2312" w:hAnsi="仿宋_GB2312" w:cs="仿宋_GB2312" w:hint="eastAsia"/>
          <w:sz w:val="32"/>
          <w:szCs w:val="32"/>
        </w:rPr>
        <w:t>九寨沟县信访接待中心是九寨沟县政府办公室下属事业单位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属于独立核算</w:t>
      </w:r>
      <w:r>
        <w:rPr>
          <w:rFonts w:ascii="仿宋_GB2312" w:eastAsia="仿宋_GB2312" w:hAnsi="仿宋_GB2312" w:cs="仿宋_GB2312" w:hint="eastAsia"/>
          <w:sz w:val="32"/>
          <w:szCs w:val="32"/>
        </w:rPr>
        <w:t>事业</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人员编制</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名，</w:t>
      </w:r>
      <w:r>
        <w:rPr>
          <w:rFonts w:ascii="仿宋_GB2312" w:eastAsia="仿宋_GB2312" w:hAnsi="仿宋_GB2312" w:cs="仿宋_GB2312" w:hint="eastAsia"/>
          <w:sz w:val="32"/>
          <w:szCs w:val="32"/>
        </w:rPr>
        <w:t>事业编制</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名</w:t>
      </w:r>
      <w:r>
        <w:rPr>
          <w:rFonts w:ascii="仿宋_GB2312" w:eastAsia="仿宋_GB2312" w:hAnsi="仿宋_GB2312" w:cs="仿宋_GB2312" w:hint="eastAsia"/>
          <w:sz w:val="32"/>
          <w:szCs w:val="32"/>
        </w:rPr>
        <w:t>。内</w:t>
      </w:r>
      <w:r>
        <w:rPr>
          <w:rFonts w:ascii="仿宋_GB2312" w:eastAsia="仿宋_GB2312" w:hAnsi="仿宋_GB2312" w:cs="仿宋_GB2312" w:hint="eastAsia"/>
          <w:sz w:val="32"/>
          <w:szCs w:val="32"/>
        </w:rPr>
        <w:t>设办公室、</w:t>
      </w:r>
      <w:r>
        <w:rPr>
          <w:rFonts w:ascii="仿宋_GB2312" w:eastAsia="仿宋_GB2312" w:hAnsi="仿宋_GB2312" w:cs="仿宋_GB2312" w:hint="eastAsia"/>
          <w:sz w:val="32"/>
          <w:szCs w:val="32"/>
        </w:rPr>
        <w:t>督查督办股。</w:t>
      </w:r>
    </w:p>
    <w:bookmarkEnd w:id="0"/>
    <w:p w:rsidR="00513884" w:rsidRDefault="00162442">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三、收支预算情况说明</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按照综合预算的原则，</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所有收入和支出</w:t>
      </w:r>
      <w:r>
        <w:rPr>
          <w:rFonts w:ascii="仿宋_GB2312" w:eastAsia="仿宋_GB2312" w:hAnsi="仿宋_GB2312" w:cs="仿宋_GB2312" w:hint="eastAsia"/>
          <w:sz w:val="32"/>
          <w:szCs w:val="32"/>
        </w:rPr>
        <w:lastRenderedPageBreak/>
        <w:t>均纳入部门预算管理。收入包括：一般公共预算拨款收入、上年结转；支出包括：一般公共服务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医疗卫生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年收支总预算</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（一）收入预算情况</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年收入预算</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万元，其中：上年结转</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万元；一般公共预算拨款收入</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（二）支出预算情况</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年支出预算</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117.34</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513884" w:rsidRDefault="00162442">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四、财政拨款收支预算情况说明</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年财政拨款收支总预算</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万元。收入包括：本年一般公共预算拨款收入</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万元、上年结转一般公共预算拨款收入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万元；支出包括：一般公共服务支出</w:t>
      </w:r>
      <w:r>
        <w:rPr>
          <w:rFonts w:ascii="仿宋_GB2312" w:eastAsia="仿宋_GB2312" w:hAnsi="仿宋_GB2312" w:cs="仿宋_GB2312" w:hint="eastAsia"/>
          <w:sz w:val="32"/>
          <w:szCs w:val="32"/>
        </w:rPr>
        <w:t>105.05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15.74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6.13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10.42</w:t>
      </w:r>
      <w:r>
        <w:rPr>
          <w:rFonts w:ascii="仿宋_GB2312" w:eastAsia="仿宋_GB2312" w:hAnsi="仿宋_GB2312" w:cs="仿宋_GB2312" w:hint="eastAsia"/>
          <w:sz w:val="32"/>
          <w:szCs w:val="32"/>
        </w:rPr>
        <w:t>万元。</w:t>
      </w:r>
    </w:p>
    <w:p w:rsidR="00513884" w:rsidRDefault="00162442">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五、一般公共预算当年拨款情况说明</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（一）一般公共预算当年拨款规模变化情况</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年一般公共预算当年拨款</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万元，比</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10.97</w:t>
      </w:r>
      <w:r>
        <w:rPr>
          <w:rFonts w:ascii="仿宋_GB2312" w:eastAsia="仿宋_GB2312" w:hAnsi="仿宋_GB2312" w:cs="仿宋_GB2312" w:hint="eastAsia"/>
          <w:sz w:val="32"/>
          <w:szCs w:val="32"/>
        </w:rPr>
        <w:t>万元。主要是</w:t>
      </w:r>
      <w:r>
        <w:rPr>
          <w:rFonts w:ascii="仿宋_GB2312" w:eastAsia="仿宋_GB2312" w:hAnsi="仿宋_GB2312" w:cs="仿宋_GB2312" w:hint="eastAsia"/>
          <w:sz w:val="32"/>
          <w:szCs w:val="32"/>
        </w:rPr>
        <w:t>增加了卫生健康支出、住房保障支出以及用于解决疑难信访事项项目工作经费支出。</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（二）一般公共预算当年拨款结构情况</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一般公共服务支出</w:t>
      </w:r>
      <w:r>
        <w:rPr>
          <w:rFonts w:ascii="仿宋_GB2312" w:eastAsia="仿宋_GB2312" w:hAnsi="仿宋_GB2312" w:cs="仿宋_GB2312" w:hint="eastAsia"/>
          <w:sz w:val="32"/>
          <w:szCs w:val="32"/>
        </w:rPr>
        <w:t>105.05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76.5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；教育支出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万元；社会保障和就业支出</w:t>
      </w:r>
      <w:r>
        <w:rPr>
          <w:rFonts w:ascii="仿宋_GB2312" w:eastAsia="仿宋_GB2312" w:hAnsi="仿宋_GB2312" w:cs="仿宋_GB2312" w:hint="eastAsia"/>
          <w:sz w:val="32"/>
          <w:szCs w:val="32"/>
        </w:rPr>
        <w:t>15.74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占</w:t>
      </w:r>
      <w:r>
        <w:rPr>
          <w:rFonts w:ascii="仿宋_GB2312" w:eastAsia="仿宋_GB2312" w:hAnsi="仿宋_GB2312" w:cs="仿宋_GB2312" w:hint="eastAsia"/>
          <w:sz w:val="32"/>
          <w:szCs w:val="32"/>
        </w:rPr>
        <w:t>11.4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6.13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10.42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（三）一般公共预算当年拨款具体使用情况</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1. </w:t>
      </w:r>
      <w:r>
        <w:rPr>
          <w:rFonts w:ascii="仿宋_GB2312" w:eastAsia="仿宋_GB2312" w:hAnsi="仿宋_GB2312" w:cs="仿宋_GB2312" w:hint="eastAsia"/>
          <w:sz w:val="32"/>
          <w:szCs w:val="32"/>
        </w:rPr>
        <w:t>政府办公厅（室）及相关机构事务</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万元，主要用于：</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机关及管理事业单位正常运转的基本支出，包括基本工资、津贴补贴等人员经费以及办公费、印刷费、水电费等日常公用经费。</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一般公共</w:t>
      </w:r>
      <w:r>
        <w:rPr>
          <w:rFonts w:ascii="仿宋_GB2312" w:eastAsia="仿宋_GB2312" w:hAnsi="仿宋_GB2312" w:cs="仿宋_GB2312" w:hint="eastAsia"/>
          <w:sz w:val="32"/>
          <w:szCs w:val="32"/>
        </w:rPr>
        <w:t>预算项目支出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医疗卫生与计划生育（类）行政事业单位医疗（款）行政单位医疗（项）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6.13</w:t>
      </w:r>
      <w:r>
        <w:rPr>
          <w:rFonts w:ascii="仿宋_GB2312" w:eastAsia="仿宋_GB2312" w:hAnsi="仿宋_GB2312" w:cs="仿宋_GB2312" w:hint="eastAsia"/>
          <w:sz w:val="32"/>
          <w:szCs w:val="32"/>
        </w:rPr>
        <w:t>万元，主要用于：</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机关及</w:t>
      </w:r>
      <w:proofErr w:type="gramStart"/>
      <w:r>
        <w:rPr>
          <w:rFonts w:ascii="仿宋_GB2312" w:eastAsia="仿宋_GB2312" w:hAnsi="仿宋_GB2312" w:cs="仿宋_GB2312" w:hint="eastAsia"/>
          <w:sz w:val="32"/>
          <w:szCs w:val="32"/>
        </w:rPr>
        <w:t>参公管理</w:t>
      </w:r>
      <w:proofErr w:type="gramEnd"/>
      <w:r>
        <w:rPr>
          <w:rFonts w:ascii="仿宋_GB2312" w:eastAsia="仿宋_GB2312" w:hAnsi="仿宋_GB2312" w:cs="仿宋_GB2312" w:hint="eastAsia"/>
          <w:sz w:val="32"/>
          <w:szCs w:val="32"/>
        </w:rPr>
        <w:t>事业单位基本医疗保险缴费支出。</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住房保障（类）住房改革支出（款）住房公积金（项）</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10.42</w:t>
      </w:r>
      <w:r>
        <w:rPr>
          <w:rFonts w:ascii="仿宋_GB2312" w:eastAsia="仿宋_GB2312" w:hAnsi="仿宋_GB2312" w:cs="仿宋_GB2312" w:hint="eastAsia"/>
          <w:sz w:val="32"/>
          <w:szCs w:val="32"/>
        </w:rPr>
        <w:t>万元，主要用于：部门按人力资源和社会保障部、财政部规定的基本工资和津贴补贴以及规定比例为职工缴纳的住房公积金支出。</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社会保障和就业支出（类）行政事业单位离退休（款）机关事业单位基本养老保险缴费支出（项）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15.74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主要</w:t>
      </w:r>
      <w:proofErr w:type="gramStart"/>
      <w:r>
        <w:rPr>
          <w:rFonts w:ascii="仿宋_GB2312" w:eastAsia="仿宋_GB2312" w:hAnsi="仿宋_GB2312" w:cs="仿宋_GB2312" w:hint="eastAsia"/>
          <w:sz w:val="32"/>
          <w:szCs w:val="32"/>
        </w:rPr>
        <w:t>用于局</w:t>
      </w:r>
      <w:proofErr w:type="gramEnd"/>
      <w:r>
        <w:rPr>
          <w:rFonts w:ascii="仿宋_GB2312" w:eastAsia="仿宋_GB2312" w:hAnsi="仿宋_GB2312" w:cs="仿宋_GB2312" w:hint="eastAsia"/>
          <w:sz w:val="32"/>
          <w:szCs w:val="32"/>
        </w:rPr>
        <w:t>机关</w:t>
      </w:r>
      <w:r>
        <w:rPr>
          <w:rFonts w:ascii="仿宋_GB2312" w:eastAsia="仿宋_GB2312" w:hAnsi="仿宋_GB2312" w:cs="仿宋_GB2312" w:hint="eastAsia"/>
          <w:sz w:val="32"/>
          <w:szCs w:val="32"/>
        </w:rPr>
        <w:t>职工</w:t>
      </w:r>
      <w:r>
        <w:rPr>
          <w:rFonts w:ascii="仿宋_GB2312" w:eastAsia="仿宋_GB2312" w:hAnsi="仿宋_GB2312" w:cs="仿宋_GB2312" w:hint="eastAsia"/>
          <w:sz w:val="32"/>
          <w:szCs w:val="32"/>
        </w:rPr>
        <w:t>基本</w:t>
      </w:r>
      <w:r>
        <w:rPr>
          <w:rFonts w:ascii="仿宋_GB2312" w:eastAsia="仿宋_GB2312" w:hAnsi="仿宋_GB2312" w:cs="仿宋_GB2312" w:hint="eastAsia"/>
          <w:sz w:val="32"/>
          <w:szCs w:val="32"/>
        </w:rPr>
        <w:t>养老</w:t>
      </w:r>
      <w:r>
        <w:rPr>
          <w:rFonts w:ascii="仿宋_GB2312" w:eastAsia="仿宋_GB2312" w:hAnsi="仿宋_GB2312" w:cs="仿宋_GB2312" w:hint="eastAsia"/>
          <w:sz w:val="32"/>
          <w:szCs w:val="32"/>
        </w:rPr>
        <w:t>保险缴费支出。</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六、一般公共预算基本支出情况说明</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年一般公共预算基本支出</w:t>
      </w:r>
      <w:r>
        <w:rPr>
          <w:rFonts w:ascii="仿宋_GB2312" w:eastAsia="仿宋_GB2312" w:hAnsi="仿宋_GB2312" w:cs="仿宋_GB2312" w:hint="eastAsia"/>
          <w:sz w:val="32"/>
          <w:szCs w:val="32"/>
        </w:rPr>
        <w:t>117.34</w:t>
      </w:r>
      <w:r>
        <w:rPr>
          <w:rFonts w:ascii="仿宋_GB2312" w:eastAsia="仿宋_GB2312" w:hAnsi="仿宋_GB2312" w:cs="仿宋_GB2312" w:hint="eastAsia"/>
          <w:sz w:val="32"/>
          <w:szCs w:val="32"/>
        </w:rPr>
        <w:lastRenderedPageBreak/>
        <w:t>万元，其中：</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人员经费</w:t>
      </w:r>
      <w:r>
        <w:rPr>
          <w:rFonts w:ascii="仿宋_GB2312" w:eastAsia="仿宋_GB2312" w:hAnsi="仿宋_GB2312" w:cs="仿宋_GB2312" w:hint="eastAsia"/>
          <w:sz w:val="32"/>
          <w:szCs w:val="32"/>
        </w:rPr>
        <w:t>98.34</w:t>
      </w:r>
      <w:r>
        <w:rPr>
          <w:rFonts w:ascii="仿宋_GB2312" w:eastAsia="仿宋_GB2312" w:hAnsi="仿宋_GB2312" w:cs="仿宋_GB2312" w:hint="eastAsia"/>
          <w:sz w:val="32"/>
          <w:szCs w:val="32"/>
        </w:rPr>
        <w:t>万元，主要包括：基本工资、津贴补贴、奖金、社会保险缴费、绩效工资、机关事业单位基本养老保险缴费、职业年金缴费、其他工资福利支出、离休费、住房公积金、其他对个人和家庭的补助支出。</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公用经费</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万元，主要包括：办公费、印刷费、手续费、水费、电费、邮电费、差旅费、维修（护）费、会议费、培训费、劳务费、工会经费、福利费、其他交通费、其他商品和服务支出。</w:t>
      </w:r>
    </w:p>
    <w:p w:rsidR="00513884" w:rsidRDefault="00162442">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七、“三公”经费财政拨款预算安排情况说明</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年“三公”经费财政拨款预算数</w:t>
      </w:r>
      <w:r>
        <w:rPr>
          <w:rFonts w:ascii="仿宋_GB2312" w:eastAsia="仿宋_GB2312" w:hAnsi="仿宋_GB2312" w:cs="仿宋_GB2312" w:hint="eastAsia"/>
          <w:sz w:val="32"/>
          <w:szCs w:val="32"/>
        </w:rPr>
        <w:t>9.34</w:t>
      </w:r>
      <w:r>
        <w:rPr>
          <w:rFonts w:ascii="仿宋_GB2312" w:eastAsia="仿宋_GB2312" w:hAnsi="仿宋_GB2312" w:cs="仿宋_GB2312" w:hint="eastAsia"/>
          <w:sz w:val="32"/>
          <w:szCs w:val="32"/>
        </w:rPr>
        <w:t>万元，其中：因公出国（境）经费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万元，公务接待费</w:t>
      </w:r>
      <w:r>
        <w:rPr>
          <w:rFonts w:ascii="仿宋_GB2312" w:eastAsia="仿宋_GB2312" w:hAnsi="仿宋_GB2312" w:cs="仿宋_GB2312" w:hint="eastAsia"/>
          <w:sz w:val="32"/>
          <w:szCs w:val="32"/>
        </w:rPr>
        <w:t>0.34</w:t>
      </w:r>
      <w:r>
        <w:rPr>
          <w:rFonts w:ascii="仿宋_GB2312" w:eastAsia="仿宋_GB2312" w:hAnsi="仿宋_GB2312" w:cs="仿宋_GB2312" w:hint="eastAsia"/>
          <w:sz w:val="32"/>
          <w:szCs w:val="32"/>
        </w:rPr>
        <w:t>万元，公务用车购置</w:t>
      </w:r>
      <w:r>
        <w:rPr>
          <w:rFonts w:ascii="仿宋_GB2312" w:eastAsia="仿宋_GB2312" w:hAnsi="仿宋_GB2312" w:cs="仿宋_GB2312" w:hint="eastAsia"/>
          <w:sz w:val="32"/>
          <w:szCs w:val="32"/>
        </w:rPr>
        <w:t>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元，公务用车</w:t>
      </w:r>
      <w:r>
        <w:rPr>
          <w:rFonts w:ascii="仿宋_GB2312" w:eastAsia="仿宋_GB2312" w:hAnsi="仿宋_GB2312" w:cs="仿宋_GB2312" w:hint="eastAsia"/>
          <w:sz w:val="32"/>
          <w:szCs w:val="32"/>
        </w:rPr>
        <w:t>运行维护费</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没有安排出国（境）活动</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公务</w:t>
      </w:r>
      <w:proofErr w:type="gramStart"/>
      <w:r>
        <w:rPr>
          <w:rFonts w:ascii="仿宋_GB2312" w:eastAsia="仿宋_GB2312" w:hAnsi="仿宋_GB2312" w:cs="仿宋_GB2312" w:hint="eastAsia"/>
          <w:sz w:val="32"/>
          <w:szCs w:val="32"/>
        </w:rPr>
        <w:t>接待费较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proofErr w:type="gramEnd"/>
      <w:r>
        <w:rPr>
          <w:rFonts w:ascii="仿宋_GB2312" w:eastAsia="仿宋_GB2312" w:hAnsi="仿宋_GB2312" w:cs="仿宋_GB2312" w:hint="eastAsia"/>
          <w:sz w:val="32"/>
          <w:szCs w:val="32"/>
        </w:rPr>
        <w:t>预算有所上升。</w:t>
      </w:r>
      <w:r>
        <w:rPr>
          <w:rFonts w:ascii="仿宋_GB2312" w:eastAsia="仿宋_GB2312" w:hAnsi="仿宋_GB2312" w:cs="仿宋_GB2312" w:hint="eastAsia"/>
          <w:sz w:val="32"/>
          <w:szCs w:val="32"/>
        </w:rPr>
        <w:t>原因是深入推进领导干部接访活动、及时就地解决信访问题、畅通信访渠道和规范信访秩序、引导群众逐级走访、夯实基础、强化责任落实，切实维护群众合法利益，大力化解矛盾纠纷问题</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年公务用车运行维护费较</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年预算上升。原因：因疫情、高速修建、汛期等因素信访形势有上</w:t>
      </w:r>
      <w:r>
        <w:rPr>
          <w:rFonts w:ascii="仿宋_GB2312" w:eastAsia="仿宋_GB2312" w:hAnsi="仿宋_GB2312" w:cs="仿宋_GB2312" w:hint="eastAsia"/>
          <w:sz w:val="32"/>
          <w:szCs w:val="32"/>
        </w:rPr>
        <w:t>升趋势。</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单位现有公务用车</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辆，其中：轿车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辆、越野车</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辆、多功能乘用车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年未安排公务用车购置费。</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年安排公务用车运行维护费</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万元，用于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辆公务用车燃油、过路（桥）、维修、保险等方面支出，主要保障</w:t>
      </w:r>
      <w:r>
        <w:rPr>
          <w:rFonts w:ascii="仿宋_GB2312" w:eastAsia="仿宋_GB2312" w:hAnsi="仿宋_GB2312" w:cs="仿宋_GB2312" w:hint="eastAsia"/>
          <w:sz w:val="32"/>
          <w:szCs w:val="32"/>
        </w:rPr>
        <w:t>到省州接待上访人及下乡进行矛盾纠纷排查化解等工作</w:t>
      </w:r>
      <w:r>
        <w:rPr>
          <w:rFonts w:ascii="仿宋_GB2312" w:eastAsia="仿宋_GB2312" w:hAnsi="仿宋_GB2312" w:cs="仿宋_GB2312" w:hint="eastAsia"/>
          <w:sz w:val="32"/>
          <w:szCs w:val="32"/>
        </w:rPr>
        <w:t>。</w:t>
      </w:r>
    </w:p>
    <w:p w:rsidR="00513884" w:rsidRDefault="00162442">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八、政府性基金预算支出情况说明</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年没有使用政府性基金预算拨款安排的支出。</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九、其他重要事项的情况说明</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（一）机关运行经费</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机关运行经费财政拨款预算为</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万元，比</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年预算</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8.99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上升</w:t>
      </w:r>
      <w:r>
        <w:rPr>
          <w:rFonts w:ascii="仿宋_GB2312" w:eastAsia="仿宋_GB2312" w:hAnsi="仿宋_GB2312" w:cs="仿宋_GB2312" w:hint="eastAsia"/>
          <w:sz w:val="32"/>
          <w:szCs w:val="32"/>
        </w:rPr>
        <w:t>47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（二）政府采购情况</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未</w:t>
      </w:r>
      <w:r>
        <w:rPr>
          <w:rFonts w:ascii="仿宋_GB2312" w:eastAsia="仿宋_GB2312" w:hAnsi="仿宋_GB2312" w:cs="仿宋_GB2312" w:hint="eastAsia"/>
          <w:sz w:val="32"/>
          <w:szCs w:val="32"/>
        </w:rPr>
        <w:t>安排政府采购预算</w:t>
      </w:r>
      <w:r>
        <w:rPr>
          <w:rFonts w:ascii="仿宋_GB2312" w:eastAsia="仿宋_GB2312" w:hAnsi="仿宋_GB2312" w:cs="仿宋_GB2312" w:hint="eastAsia"/>
          <w:sz w:val="32"/>
          <w:szCs w:val="32"/>
        </w:rPr>
        <w:t>。</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（三）国有资产占有使用情况</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截至</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年底，</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只</w:t>
      </w:r>
      <w:r>
        <w:rPr>
          <w:rFonts w:ascii="仿宋_GB2312" w:eastAsia="仿宋_GB2312" w:hAnsi="仿宋_GB2312" w:cs="仿宋_GB2312" w:hint="eastAsia"/>
          <w:sz w:val="32"/>
          <w:szCs w:val="32"/>
        </w:rPr>
        <w:t>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辆</w:t>
      </w:r>
      <w:r>
        <w:rPr>
          <w:rFonts w:ascii="仿宋_GB2312" w:eastAsia="仿宋_GB2312" w:hAnsi="仿宋_GB2312" w:cs="仿宋_GB2312" w:hint="eastAsia"/>
          <w:sz w:val="32"/>
          <w:szCs w:val="32"/>
        </w:rPr>
        <w:t>越野型公务用车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没有</w:t>
      </w:r>
      <w:r>
        <w:rPr>
          <w:rFonts w:ascii="仿宋_GB2312" w:eastAsia="仿宋_GB2312" w:hAnsi="仿宋_GB2312" w:cs="仿宋_GB2312" w:hint="eastAsia"/>
          <w:sz w:val="32"/>
          <w:szCs w:val="32"/>
        </w:rPr>
        <w:t>价值</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万元以上大型设备。</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年部门预算未安排购置车辆及单位价值</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万元以上大型设备。</w:t>
      </w:r>
    </w:p>
    <w:p w:rsidR="00513884" w:rsidRDefault="00162442">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（四）</w:t>
      </w:r>
      <w:r>
        <w:rPr>
          <w:rFonts w:ascii="仿宋_GB2312" w:eastAsia="仿宋_GB2312" w:hAnsi="仿宋_GB2312" w:cs="仿宋_GB2312" w:hint="eastAsia"/>
          <w:b/>
          <w:bCs/>
          <w:sz w:val="32"/>
          <w:szCs w:val="32"/>
        </w:rPr>
        <w:t>、绩效目标</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w:t>
      </w:r>
      <w:r>
        <w:rPr>
          <w:rFonts w:ascii="仿宋_GB2312" w:eastAsia="仿宋_GB2312" w:hAnsi="仿宋_GB2312" w:cs="仿宋_GB2312" w:hint="eastAsia"/>
          <w:sz w:val="32"/>
          <w:szCs w:val="32"/>
        </w:rPr>
        <w:lastRenderedPageBreak/>
        <w:t>的原则，</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县信访接待中心</w:t>
      </w:r>
      <w:r>
        <w:rPr>
          <w:rFonts w:ascii="仿宋_GB2312" w:eastAsia="仿宋_GB2312" w:hAnsi="仿宋_GB2312" w:cs="仿宋_GB2312" w:hint="eastAsia"/>
          <w:sz w:val="32"/>
          <w:szCs w:val="32"/>
        </w:rPr>
        <w:t>一般公共预算当年拨款</w:t>
      </w:r>
      <w:r>
        <w:rPr>
          <w:rFonts w:ascii="仿宋_GB2312" w:eastAsia="仿宋_GB2312" w:hAnsi="仿宋_GB2312" w:cs="仿宋_GB2312" w:hint="eastAsia"/>
          <w:sz w:val="32"/>
          <w:szCs w:val="32"/>
        </w:rPr>
        <w:t>137.34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每项经费均进行绩效目标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效果良好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预算执行率和完成率等目标值平均</w:t>
      </w:r>
      <w:r>
        <w:rPr>
          <w:rFonts w:ascii="仿宋_GB2312" w:eastAsia="仿宋_GB2312" w:hAnsi="仿宋_GB2312" w:cs="仿宋_GB2312" w:hint="eastAsia"/>
          <w:sz w:val="32"/>
          <w:szCs w:val="32"/>
        </w:rPr>
        <w:t>98%</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年度总体目标：</w:t>
      </w:r>
      <w:r>
        <w:rPr>
          <w:rFonts w:ascii="仿宋_GB2312" w:eastAsia="仿宋_GB2312" w:hAnsi="仿宋_GB2312" w:cs="仿宋_GB2312" w:hint="eastAsia"/>
          <w:sz w:val="32"/>
          <w:szCs w:val="32"/>
        </w:rPr>
        <w:t>开展信访知识宣传，开展入户走访活动；围绕精准扶贫开展信访宣传，引导群众学会运用法律解决纠纷，维护自身合法权益。以“法律七进”为载体，抓重点节日点信访宣传，在“两会”“</w:t>
      </w: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3.15</w:t>
      </w:r>
      <w:r>
        <w:rPr>
          <w:rFonts w:ascii="仿宋_GB2312" w:eastAsia="仿宋_GB2312" w:hAnsi="仿宋_GB2312" w:cs="仿宋_GB2312" w:hint="eastAsia"/>
          <w:sz w:val="32"/>
          <w:szCs w:val="32"/>
        </w:rPr>
        <w:t>”等重要时间节点，围绕“九</w:t>
      </w:r>
      <w:proofErr w:type="gramStart"/>
      <w:r>
        <w:rPr>
          <w:rFonts w:ascii="仿宋_GB2312" w:eastAsia="仿宋_GB2312" w:hAnsi="仿宋_GB2312" w:cs="仿宋_GB2312" w:hint="eastAsia"/>
          <w:sz w:val="32"/>
          <w:szCs w:val="32"/>
        </w:rPr>
        <w:t>绵</w:t>
      </w:r>
      <w:proofErr w:type="gramEnd"/>
      <w:r>
        <w:rPr>
          <w:rFonts w:ascii="仿宋_GB2312" w:eastAsia="仿宋_GB2312" w:hAnsi="仿宋_GB2312" w:cs="仿宋_GB2312" w:hint="eastAsia"/>
          <w:sz w:val="32"/>
          <w:szCs w:val="32"/>
        </w:rPr>
        <w:t>高速征地拆迁”“违建强拆”“依法规范管理景区秩序”等中心工作，集中开展各类信访法治宣传活动。全年开展信访宣传活动</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场次，发放宣传资料</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余份。</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绩效指标</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、数量指标：</w:t>
      </w:r>
      <w:r>
        <w:rPr>
          <w:rFonts w:ascii="仿宋_GB2312" w:eastAsia="仿宋_GB2312" w:hAnsi="仿宋_GB2312" w:cs="仿宋_GB2312" w:hint="eastAsia"/>
          <w:sz w:val="32"/>
          <w:szCs w:val="32"/>
        </w:rPr>
        <w:t>开展</w:t>
      </w:r>
      <w:r>
        <w:rPr>
          <w:rFonts w:ascii="仿宋_GB2312" w:eastAsia="仿宋_GB2312" w:hAnsi="仿宋_GB2312" w:cs="仿宋_GB2312" w:hint="eastAsia"/>
          <w:sz w:val="32"/>
          <w:szCs w:val="32"/>
        </w:rPr>
        <w:t>信访</w:t>
      </w:r>
      <w:r>
        <w:rPr>
          <w:rFonts w:ascii="仿宋_GB2312" w:eastAsia="仿宋_GB2312" w:hAnsi="仿宋_GB2312" w:cs="仿宋_GB2312" w:hint="eastAsia"/>
          <w:sz w:val="32"/>
          <w:szCs w:val="32"/>
        </w:rPr>
        <w:t>宣传</w:t>
      </w:r>
      <w:r>
        <w:rPr>
          <w:rFonts w:ascii="仿宋_GB2312" w:eastAsia="仿宋_GB2312" w:hAnsi="仿宋_GB2312" w:cs="仿宋_GB2312" w:hint="eastAsia"/>
          <w:sz w:val="32"/>
          <w:szCs w:val="32"/>
        </w:rPr>
        <w:t>宣传资料发放</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、质量指标：</w:t>
      </w:r>
      <w:r>
        <w:rPr>
          <w:rFonts w:ascii="仿宋_GB2312" w:eastAsia="仿宋_GB2312" w:hAnsi="仿宋_GB2312" w:cs="仿宋_GB2312" w:hint="eastAsia"/>
          <w:sz w:val="32"/>
          <w:szCs w:val="32"/>
        </w:rPr>
        <w:t>各项经济指标完成</w:t>
      </w:r>
      <w:r>
        <w:rPr>
          <w:rFonts w:ascii="仿宋_GB2312" w:eastAsia="仿宋_GB2312" w:hAnsi="仿宋_GB2312" w:cs="仿宋_GB2312" w:hint="eastAsia"/>
          <w:sz w:val="32"/>
          <w:szCs w:val="32"/>
        </w:rPr>
        <w:t>率达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、时效指标：</w:t>
      </w:r>
      <w:r>
        <w:rPr>
          <w:rFonts w:ascii="仿宋_GB2312" w:eastAsia="仿宋_GB2312" w:hAnsi="仿宋_GB2312" w:cs="仿宋_GB2312" w:hint="eastAsia"/>
          <w:sz w:val="32"/>
          <w:szCs w:val="32"/>
        </w:rPr>
        <w:t>规定时间内完成</w:t>
      </w:r>
      <w:r>
        <w:rPr>
          <w:rFonts w:ascii="仿宋_GB2312" w:eastAsia="仿宋_GB2312" w:hAnsi="仿宋_GB2312" w:cs="仿宋_GB2312" w:hint="eastAsia"/>
          <w:sz w:val="32"/>
          <w:szCs w:val="32"/>
        </w:rPr>
        <w:t>各项指标</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、成本指标：</w:t>
      </w:r>
      <w:r>
        <w:rPr>
          <w:rFonts w:ascii="仿宋_GB2312" w:eastAsia="仿宋_GB2312" w:hAnsi="仿宋_GB2312" w:cs="仿宋_GB2312" w:hint="eastAsia"/>
          <w:sz w:val="32"/>
          <w:szCs w:val="32"/>
        </w:rPr>
        <w:t>人员经费支付</w:t>
      </w:r>
      <w:proofErr w:type="gramStart"/>
      <w:r>
        <w:rPr>
          <w:rFonts w:ascii="仿宋_GB2312" w:eastAsia="仿宋_GB2312" w:hAnsi="仿宋_GB2312" w:cs="仿宋_GB2312" w:hint="eastAsia"/>
          <w:sz w:val="32"/>
          <w:szCs w:val="32"/>
        </w:rPr>
        <w:t>率</w:t>
      </w:r>
      <w:r>
        <w:rPr>
          <w:rFonts w:ascii="仿宋_GB2312" w:eastAsia="仿宋_GB2312" w:hAnsi="仿宋_GB2312" w:cs="仿宋_GB2312" w:hint="eastAsia"/>
          <w:sz w:val="32"/>
          <w:szCs w:val="32"/>
        </w:rPr>
        <w:t>完成</w:t>
      </w:r>
      <w:proofErr w:type="gramEnd"/>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、社会效益指标：</w:t>
      </w:r>
      <w:r>
        <w:rPr>
          <w:rFonts w:ascii="仿宋_GB2312" w:eastAsia="仿宋_GB2312" w:hAnsi="仿宋_GB2312" w:cs="仿宋_GB2312" w:hint="eastAsia"/>
          <w:sz w:val="32"/>
          <w:szCs w:val="32"/>
        </w:rPr>
        <w:t>干部群众法治意识提升</w:t>
      </w:r>
      <w:r>
        <w:rPr>
          <w:rFonts w:ascii="仿宋_GB2312" w:eastAsia="仿宋_GB2312" w:hAnsi="仿宋_GB2312" w:cs="仿宋_GB2312" w:hint="eastAsia"/>
          <w:sz w:val="32"/>
          <w:szCs w:val="32"/>
        </w:rPr>
        <w:t>。</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、可持续影响指标：长期有效</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、满意度指标：</w:t>
      </w:r>
      <w:r>
        <w:rPr>
          <w:rFonts w:ascii="仿宋_GB2312" w:eastAsia="仿宋_GB2312" w:hAnsi="仿宋_GB2312" w:cs="仿宋_GB2312" w:hint="eastAsia"/>
          <w:sz w:val="32"/>
          <w:szCs w:val="32"/>
        </w:rPr>
        <w:t>社会公众或服务对象满意度</w:t>
      </w:r>
      <w:r>
        <w:rPr>
          <w:rFonts w:ascii="仿宋_GB2312" w:eastAsia="仿宋_GB2312" w:hAnsi="仿宋_GB2312" w:cs="仿宋_GB2312" w:hint="eastAsia"/>
          <w:sz w:val="32"/>
          <w:szCs w:val="32"/>
        </w:rPr>
        <w:t>达</w:t>
      </w:r>
      <w:r>
        <w:rPr>
          <w:rFonts w:ascii="仿宋_GB2312" w:eastAsia="仿宋_GB2312" w:hAnsi="仿宋_GB2312" w:cs="仿宋_GB2312" w:hint="eastAsia"/>
          <w:sz w:val="32"/>
          <w:szCs w:val="32"/>
        </w:rPr>
        <w:t>100%</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、名词解释</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一般公共预算拨款收入：指省级财政当年拨付的资金。</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上年结转：指以前年度尚未完成，结转到本年仍按原</w:t>
      </w:r>
      <w:r>
        <w:rPr>
          <w:rFonts w:ascii="仿宋_GB2312" w:eastAsia="仿宋_GB2312" w:hAnsi="仿宋_GB2312" w:cs="仿宋_GB2312" w:hint="eastAsia"/>
          <w:sz w:val="32"/>
          <w:szCs w:val="32"/>
        </w:rPr>
        <w:lastRenderedPageBreak/>
        <w:t>规定用途继续使用的资金。</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机关事业单位基本养老保险缴费支出（类）</w:t>
      </w:r>
      <w:r>
        <w:rPr>
          <w:rFonts w:ascii="仿宋_GB2312" w:eastAsia="仿宋_GB2312" w:hAnsi="仿宋_GB2312" w:cs="仿宋_GB2312" w:hint="eastAsia"/>
          <w:sz w:val="32"/>
          <w:szCs w:val="32"/>
        </w:rPr>
        <w:t>208</w:t>
      </w:r>
      <w:r>
        <w:rPr>
          <w:rFonts w:ascii="仿宋_GB2312" w:eastAsia="仿宋_GB2312" w:hAnsi="仿宋_GB2312" w:cs="仿宋_GB2312" w:hint="eastAsia"/>
          <w:sz w:val="32"/>
          <w:szCs w:val="32"/>
        </w:rPr>
        <w:t>（款）</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：指单位行政事业人员</w:t>
      </w:r>
      <w:proofErr w:type="gramStart"/>
      <w:r>
        <w:rPr>
          <w:rFonts w:ascii="仿宋_GB2312" w:eastAsia="仿宋_GB2312" w:hAnsi="仿宋_GB2312" w:cs="仿宋_GB2312" w:hint="eastAsia"/>
          <w:sz w:val="32"/>
          <w:szCs w:val="32"/>
        </w:rPr>
        <w:t>及长聘人员</w:t>
      </w:r>
      <w:proofErr w:type="gramEnd"/>
      <w:r>
        <w:rPr>
          <w:rFonts w:ascii="仿宋_GB2312" w:eastAsia="仿宋_GB2312" w:hAnsi="仿宋_GB2312" w:cs="仿宋_GB2312" w:hint="eastAsia"/>
          <w:sz w:val="32"/>
          <w:szCs w:val="32"/>
        </w:rPr>
        <w:t>基本养</w:t>
      </w:r>
      <w:r>
        <w:rPr>
          <w:rFonts w:ascii="仿宋_GB2312" w:eastAsia="仿宋_GB2312" w:hAnsi="仿宋_GB2312" w:cs="仿宋_GB2312" w:hint="eastAsia"/>
          <w:sz w:val="32"/>
          <w:szCs w:val="32"/>
        </w:rPr>
        <w:t>老保险。</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医疗卫生与计划生育（类）</w:t>
      </w:r>
      <w:r>
        <w:rPr>
          <w:rFonts w:ascii="仿宋_GB2312" w:eastAsia="仿宋_GB2312" w:hAnsi="仿宋_GB2312" w:cs="仿宋_GB2312" w:hint="eastAsia"/>
          <w:sz w:val="32"/>
          <w:szCs w:val="32"/>
        </w:rPr>
        <w:t>210</w:t>
      </w:r>
      <w:r>
        <w:rPr>
          <w:rFonts w:ascii="仿宋_GB2312" w:eastAsia="仿宋_GB2312" w:hAnsi="仿宋_GB2312" w:cs="仿宋_GB2312" w:hint="eastAsia"/>
          <w:sz w:val="32"/>
          <w:szCs w:val="32"/>
        </w:rPr>
        <w:t>（款）</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：指</w:t>
      </w:r>
      <w:r>
        <w:rPr>
          <w:rFonts w:ascii="仿宋_GB2312" w:eastAsia="仿宋_GB2312" w:hAnsi="仿宋_GB2312" w:cs="仿宋_GB2312" w:hint="eastAsia"/>
          <w:sz w:val="32"/>
          <w:szCs w:val="32"/>
        </w:rPr>
        <w:t>行政单位医疗。</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医疗卫生与计划生育（类）</w:t>
      </w:r>
      <w:r>
        <w:rPr>
          <w:rFonts w:ascii="仿宋_GB2312" w:eastAsia="仿宋_GB2312" w:hAnsi="仿宋_GB2312" w:cs="仿宋_GB2312" w:hint="eastAsia"/>
          <w:sz w:val="32"/>
          <w:szCs w:val="32"/>
        </w:rPr>
        <w:t>210</w:t>
      </w:r>
      <w:r>
        <w:rPr>
          <w:rFonts w:ascii="仿宋_GB2312" w:eastAsia="仿宋_GB2312" w:hAnsi="仿宋_GB2312" w:cs="仿宋_GB2312" w:hint="eastAsia"/>
          <w:sz w:val="32"/>
          <w:szCs w:val="32"/>
        </w:rPr>
        <w:t>（款）</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：指</w:t>
      </w:r>
      <w:r>
        <w:rPr>
          <w:rFonts w:ascii="仿宋_GB2312" w:eastAsia="仿宋_GB2312" w:hAnsi="仿宋_GB2312" w:cs="仿宋_GB2312" w:hint="eastAsia"/>
          <w:sz w:val="32"/>
          <w:szCs w:val="32"/>
        </w:rPr>
        <w:t>公务员医疗补助。</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医疗卫生与计划生育（类）</w:t>
      </w:r>
      <w:r>
        <w:rPr>
          <w:rFonts w:ascii="仿宋_GB2312" w:eastAsia="仿宋_GB2312" w:hAnsi="仿宋_GB2312" w:cs="仿宋_GB2312" w:hint="eastAsia"/>
          <w:sz w:val="32"/>
          <w:szCs w:val="32"/>
        </w:rPr>
        <w:t>210</w:t>
      </w:r>
      <w:r>
        <w:rPr>
          <w:rFonts w:ascii="仿宋_GB2312" w:eastAsia="仿宋_GB2312" w:hAnsi="仿宋_GB2312" w:cs="仿宋_GB2312" w:hint="eastAsia"/>
          <w:sz w:val="32"/>
          <w:szCs w:val="32"/>
        </w:rPr>
        <w:t>（款）</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99</w:t>
      </w:r>
      <w:r>
        <w:rPr>
          <w:rFonts w:ascii="仿宋_GB2312" w:eastAsia="仿宋_GB2312" w:hAnsi="仿宋_GB2312" w:cs="仿宋_GB2312" w:hint="eastAsia"/>
          <w:sz w:val="32"/>
          <w:szCs w:val="32"/>
        </w:rPr>
        <w:t>：指</w:t>
      </w:r>
      <w:r>
        <w:rPr>
          <w:rFonts w:ascii="仿宋_GB2312" w:eastAsia="仿宋_GB2312" w:hAnsi="仿宋_GB2312" w:cs="仿宋_GB2312" w:hint="eastAsia"/>
          <w:sz w:val="32"/>
          <w:szCs w:val="32"/>
        </w:rPr>
        <w:t>其他行政事业单位医疗支出。</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住房保障（类）</w:t>
      </w:r>
      <w:r>
        <w:rPr>
          <w:rFonts w:ascii="仿宋_GB2312" w:eastAsia="仿宋_GB2312" w:hAnsi="仿宋_GB2312" w:cs="仿宋_GB2312" w:hint="eastAsia"/>
          <w:sz w:val="32"/>
          <w:szCs w:val="32"/>
        </w:rPr>
        <w:t>221</w:t>
      </w:r>
      <w:r>
        <w:rPr>
          <w:rFonts w:ascii="仿宋_GB2312" w:eastAsia="仿宋_GB2312" w:hAnsi="仿宋_GB2312" w:cs="仿宋_GB2312" w:hint="eastAsia"/>
          <w:sz w:val="32"/>
          <w:szCs w:val="32"/>
        </w:rPr>
        <w:t>住房改革支出（款）</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住房公积金（项）</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：指按照《住房公积金管理条例》的规定，由单位及其在职职工缴存的长期住房储金。</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基本支出：指为保证机构正常运转，完成日常工作任务而发生的人员支出和公用支出。</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项目支出：指在基本支出之外为完成特定行政任务和事业发展目标所发生的支出。</w:t>
      </w: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“三公”经费：纳入县级财政预决算管理的“三公”经费，是指部门用财政拨款安排的因公出国（境）费、公务用车购置及运行费和公务接待费。其中，因公出国（境）</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单位公务用车车辆购置支出（</w:t>
      </w:r>
      <w:proofErr w:type="gramStart"/>
      <w:r>
        <w:rPr>
          <w:rFonts w:ascii="仿宋_GB2312" w:eastAsia="仿宋_GB2312" w:hAnsi="仿宋_GB2312" w:cs="仿宋_GB2312" w:hint="eastAsia"/>
          <w:sz w:val="32"/>
          <w:szCs w:val="32"/>
        </w:rPr>
        <w:t>含车辆</w:t>
      </w:r>
      <w:proofErr w:type="gramEnd"/>
      <w:r>
        <w:rPr>
          <w:rFonts w:ascii="仿宋_GB2312" w:eastAsia="仿宋_GB2312" w:hAnsi="仿宋_GB2312" w:cs="仿宋_GB2312" w:hint="eastAsia"/>
          <w:sz w:val="32"/>
          <w:szCs w:val="32"/>
        </w:rPr>
        <w:t>购置税）及</w:t>
      </w:r>
      <w:r>
        <w:rPr>
          <w:rFonts w:ascii="仿宋_GB2312" w:eastAsia="仿宋_GB2312" w:hAnsi="仿宋_GB2312" w:cs="仿宋_GB2312" w:hint="eastAsia"/>
          <w:sz w:val="32"/>
          <w:szCs w:val="32"/>
        </w:rPr>
        <w:lastRenderedPageBreak/>
        <w:t>租用费、燃料费、维修费、过路过桥费、保险费、安全奖励费用等支出；公务接待</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单位按规定开支的各类公务接待（含外宾接待）</w:t>
      </w:r>
      <w:r>
        <w:rPr>
          <w:rFonts w:ascii="仿宋_GB2312" w:eastAsia="仿宋_GB2312" w:hAnsi="仿宋_GB2312" w:cs="仿宋_GB2312" w:hint="eastAsia"/>
          <w:sz w:val="32"/>
          <w:szCs w:val="32"/>
        </w:rPr>
        <w:t>支出。</w:t>
      </w:r>
    </w:p>
    <w:p w:rsidR="00513884" w:rsidRDefault="0016244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13884" w:rsidRDefault="00513884">
      <w:pPr>
        <w:rPr>
          <w:rFonts w:ascii="仿宋_GB2312" w:eastAsia="仿宋_GB2312" w:hAnsi="仿宋_GB2312" w:cs="仿宋_GB2312"/>
          <w:sz w:val="32"/>
          <w:szCs w:val="32"/>
        </w:rPr>
      </w:pPr>
    </w:p>
    <w:p w:rsidR="00513884" w:rsidRDefault="00162442">
      <w:pPr>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年部门预算公开表</w:t>
      </w:r>
    </w:p>
    <w:p w:rsidR="00513884" w:rsidRDefault="00513884">
      <w:pPr>
        <w:rPr>
          <w:rFonts w:ascii="仿宋_GB2312" w:eastAsia="仿宋_GB2312" w:hAnsi="仿宋_GB2312" w:cs="仿宋_GB2312"/>
          <w:sz w:val="32"/>
          <w:szCs w:val="32"/>
        </w:rPr>
      </w:pPr>
    </w:p>
    <w:p w:rsidR="00513884" w:rsidRDefault="00513884">
      <w:pPr>
        <w:rPr>
          <w:rFonts w:ascii="仿宋_GB2312" w:eastAsia="仿宋_GB2312" w:hAnsi="仿宋_GB2312" w:cs="仿宋_GB2312"/>
          <w:sz w:val="32"/>
          <w:szCs w:val="32"/>
        </w:rPr>
      </w:pPr>
    </w:p>
    <w:p w:rsidR="00513884" w:rsidRDefault="00513884">
      <w:pPr>
        <w:rPr>
          <w:rFonts w:ascii="仿宋_GB2312" w:eastAsia="仿宋_GB2312" w:hAnsi="仿宋_GB2312" w:cs="仿宋_GB2312"/>
          <w:sz w:val="32"/>
          <w:szCs w:val="32"/>
        </w:rPr>
      </w:pPr>
      <w:bookmarkStart w:id="1" w:name="_GoBack"/>
      <w:bookmarkEnd w:id="1"/>
    </w:p>
    <w:sectPr w:rsidR="005138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AFD555"/>
    <w:multiLevelType w:val="singleLevel"/>
    <w:tmpl w:val="A1AFD555"/>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40"/>
    <w:rsid w:val="00084F40"/>
    <w:rsid w:val="00162442"/>
    <w:rsid w:val="00513884"/>
    <w:rsid w:val="00787A82"/>
    <w:rsid w:val="0112719D"/>
    <w:rsid w:val="01EF1036"/>
    <w:rsid w:val="0342362F"/>
    <w:rsid w:val="04633C3D"/>
    <w:rsid w:val="04660A5F"/>
    <w:rsid w:val="053E2EED"/>
    <w:rsid w:val="05646C6D"/>
    <w:rsid w:val="06BA05B0"/>
    <w:rsid w:val="08982B91"/>
    <w:rsid w:val="097056F7"/>
    <w:rsid w:val="0A2E5117"/>
    <w:rsid w:val="0A866D17"/>
    <w:rsid w:val="0E0C1691"/>
    <w:rsid w:val="0FB72D03"/>
    <w:rsid w:val="10D5068C"/>
    <w:rsid w:val="11656447"/>
    <w:rsid w:val="11673929"/>
    <w:rsid w:val="12372273"/>
    <w:rsid w:val="124E6280"/>
    <w:rsid w:val="12BB1744"/>
    <w:rsid w:val="130A4CC1"/>
    <w:rsid w:val="13D90EAC"/>
    <w:rsid w:val="15747C0B"/>
    <w:rsid w:val="1792552B"/>
    <w:rsid w:val="17A3412C"/>
    <w:rsid w:val="1AB569EB"/>
    <w:rsid w:val="1CF83997"/>
    <w:rsid w:val="1F171460"/>
    <w:rsid w:val="1F76384E"/>
    <w:rsid w:val="203B65F8"/>
    <w:rsid w:val="204B4B1A"/>
    <w:rsid w:val="24205A88"/>
    <w:rsid w:val="242D0519"/>
    <w:rsid w:val="255F6785"/>
    <w:rsid w:val="27C92FC2"/>
    <w:rsid w:val="28182D52"/>
    <w:rsid w:val="2A63565F"/>
    <w:rsid w:val="2ABF1B0F"/>
    <w:rsid w:val="2D9A0E77"/>
    <w:rsid w:val="2E265A70"/>
    <w:rsid w:val="2E920DB9"/>
    <w:rsid w:val="2EDA3BD7"/>
    <w:rsid w:val="2F062FA4"/>
    <w:rsid w:val="2FCB09A6"/>
    <w:rsid w:val="31A4251D"/>
    <w:rsid w:val="32F018E2"/>
    <w:rsid w:val="34556E85"/>
    <w:rsid w:val="34D2640A"/>
    <w:rsid w:val="359D3E09"/>
    <w:rsid w:val="36D1631D"/>
    <w:rsid w:val="39BE0CA0"/>
    <w:rsid w:val="3BB447F2"/>
    <w:rsid w:val="3DA42034"/>
    <w:rsid w:val="3DAB1A9D"/>
    <w:rsid w:val="3F5A5546"/>
    <w:rsid w:val="4054251C"/>
    <w:rsid w:val="40575B8C"/>
    <w:rsid w:val="40E54C8B"/>
    <w:rsid w:val="41BE3E77"/>
    <w:rsid w:val="42ED6E1A"/>
    <w:rsid w:val="43571B0B"/>
    <w:rsid w:val="453F4726"/>
    <w:rsid w:val="456F03B7"/>
    <w:rsid w:val="45DA21F5"/>
    <w:rsid w:val="46CC17BE"/>
    <w:rsid w:val="4C404B2D"/>
    <w:rsid w:val="512E7715"/>
    <w:rsid w:val="53A249FB"/>
    <w:rsid w:val="552513E4"/>
    <w:rsid w:val="56625735"/>
    <w:rsid w:val="56E11E32"/>
    <w:rsid w:val="57447CB4"/>
    <w:rsid w:val="59C07D72"/>
    <w:rsid w:val="59FE4FE2"/>
    <w:rsid w:val="5A404366"/>
    <w:rsid w:val="5ACF6B7D"/>
    <w:rsid w:val="5AF5429C"/>
    <w:rsid w:val="5E6F5D6C"/>
    <w:rsid w:val="5F4D34BA"/>
    <w:rsid w:val="5FE27D40"/>
    <w:rsid w:val="60EB72C0"/>
    <w:rsid w:val="60FD7934"/>
    <w:rsid w:val="61093985"/>
    <w:rsid w:val="61F70B12"/>
    <w:rsid w:val="620F7D47"/>
    <w:rsid w:val="63A446D9"/>
    <w:rsid w:val="670800B1"/>
    <w:rsid w:val="67C03DC2"/>
    <w:rsid w:val="68DB25D9"/>
    <w:rsid w:val="6ABE3684"/>
    <w:rsid w:val="6B112570"/>
    <w:rsid w:val="6CC83812"/>
    <w:rsid w:val="6CFB189D"/>
    <w:rsid w:val="6D8D0501"/>
    <w:rsid w:val="6DE3160B"/>
    <w:rsid w:val="6DE87940"/>
    <w:rsid w:val="70214BB6"/>
    <w:rsid w:val="7153638C"/>
    <w:rsid w:val="72531DE6"/>
    <w:rsid w:val="72A16BCA"/>
    <w:rsid w:val="72C1473B"/>
    <w:rsid w:val="76884381"/>
    <w:rsid w:val="78EB5403"/>
    <w:rsid w:val="791A7B96"/>
    <w:rsid w:val="7A105668"/>
    <w:rsid w:val="7C1505F9"/>
    <w:rsid w:val="7C2A32BF"/>
    <w:rsid w:val="7C675065"/>
    <w:rsid w:val="7DF86702"/>
    <w:rsid w:val="7E2A4820"/>
    <w:rsid w:val="7F4B3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rFonts w:ascii="Calibri" w:hAnsi="Calibri"/>
      <w:kern w:val="0"/>
      <w:sz w:val="24"/>
    </w:rPr>
  </w:style>
  <w:style w:type="character" w:styleId="a4">
    <w:name w:val="Strong"/>
    <w:basedOn w:val="a0"/>
    <w:uiPriority w:val="22"/>
    <w:qFormat/>
    <w:rPr>
      <w:b/>
      <w:bCs/>
    </w:rPr>
  </w:style>
  <w:style w:type="character" w:customStyle="1" w:styleId="apple-converted-space">
    <w:name w:val="apple-converted-space"/>
    <w:basedOn w:val="a0"/>
    <w:qFormat/>
  </w:style>
  <w:style w:type="paragraph" w:customStyle="1" w:styleId="Default">
    <w:name w:val="Default"/>
    <w:qFormat/>
    <w:pPr>
      <w:widowControl w:val="0"/>
      <w:autoSpaceDE w:val="0"/>
      <w:autoSpaceDN w:val="0"/>
      <w:adjustRightInd w:val="0"/>
    </w:pPr>
    <w:rPr>
      <w:rFonts w:ascii="仿宋" w:eastAsia="仿宋" w:hAnsi="Times New Roman" w:cs="仿宋"/>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rFonts w:ascii="Calibri" w:hAnsi="Calibri"/>
      <w:kern w:val="0"/>
      <w:sz w:val="24"/>
    </w:rPr>
  </w:style>
  <w:style w:type="character" w:styleId="a4">
    <w:name w:val="Strong"/>
    <w:basedOn w:val="a0"/>
    <w:uiPriority w:val="22"/>
    <w:qFormat/>
    <w:rPr>
      <w:b/>
      <w:bCs/>
    </w:rPr>
  </w:style>
  <w:style w:type="character" w:customStyle="1" w:styleId="apple-converted-space">
    <w:name w:val="apple-converted-space"/>
    <w:basedOn w:val="a0"/>
    <w:qFormat/>
  </w:style>
  <w:style w:type="paragraph" w:customStyle="1" w:styleId="Default">
    <w:name w:val="Default"/>
    <w:qFormat/>
    <w:pPr>
      <w:widowControl w:val="0"/>
      <w:autoSpaceDE w:val="0"/>
      <w:autoSpaceDN w:val="0"/>
      <w:adjustRightInd w:val="0"/>
    </w:pPr>
    <w:rPr>
      <w:rFonts w:ascii="仿宋" w:eastAsia="仿宋" w:hAnsi="Times New Roman"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622</Words>
  <Characters>3548</Characters>
  <Application>Microsoft Office Word</Application>
  <DocSecurity>0</DocSecurity>
  <Lines>29</Lines>
  <Paragraphs>8</Paragraphs>
  <ScaleCrop>false</ScaleCrop>
  <Company>Microsoft</Company>
  <LinksUpToDate>false</LinksUpToDate>
  <CharactersWithSpaces>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cp:revision>
  <dcterms:created xsi:type="dcterms:W3CDTF">2017-10-25T13:08:00Z</dcterms:created>
  <dcterms:modified xsi:type="dcterms:W3CDTF">2021-03-26T07:16:00Z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