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96475"/>
      <w:bookmarkStart w:id="3" w:name="_Toc15377193"/>
      <w:bookmarkStart w:id="4" w:name="_Toc15377425"/>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598"/>
      <w:bookmarkStart w:id="8" w:name="_Toc15396476"/>
      <w:bookmarkStart w:id="9" w:name="_Toc15378442"/>
      <w:bookmarkStart w:id="10" w:name="_Toc1537742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九寨沟县群众工作局</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15</w:t>
      </w:r>
      <w:r>
        <w:rPr>
          <w:rFonts w:hint="eastAsia" w:hAnsiTheme="minorHAnsi"/>
          <w:b w:val="0"/>
          <w:bCs w:val="0"/>
          <w:sz w:val="24"/>
          <w:szCs w:val="24"/>
        </w:rPr>
        <w:t>日</w:t>
      </w:r>
    </w:p>
    <w:p>
      <w:pPr>
        <w:pStyle w:val="13"/>
        <w:tabs>
          <w:tab w:val="right" w:leader="dot" w:pos="8296"/>
        </w:tabs>
        <w:rPr>
          <w:rFonts w:hint="eastAsia" w:ascii="仿宋_GB2312" w:hAnsi="仿宋_GB2312" w:eastAsia="仿宋_GB2312" w:cs="仿宋_GB2312"/>
          <w:b w:val="0"/>
          <w:bCs w:val="0"/>
          <w:i w:val="0"/>
          <w:iCs w:val="0"/>
          <w:caps w:val="0"/>
          <w:sz w:val="30"/>
          <w:szCs w:val="30"/>
          <w:lang w:val="en-US" w:eastAsia="zh-CN"/>
        </w:rPr>
      </w:pPr>
      <w:r>
        <w:rPr>
          <w:rFonts w:hint="eastAsia" w:ascii="仿宋_GB2312" w:hAnsi="仿宋_GB2312" w:eastAsia="仿宋_GB2312" w:cs="仿宋_GB2312"/>
          <w:b w:val="0"/>
          <w:bCs w:val="0"/>
          <w:i w:val="0"/>
          <w:iCs w:val="0"/>
          <w:caps w:val="0"/>
          <w:sz w:val="30"/>
          <w:szCs w:val="30"/>
        </w:rPr>
        <w:fldChar w:fldCharType="begin"/>
      </w:r>
      <w:r>
        <w:rPr>
          <w:rFonts w:hint="eastAsia" w:ascii="仿宋_GB2312" w:hAnsi="仿宋_GB2312" w:eastAsia="仿宋_GB2312" w:cs="仿宋_GB2312"/>
          <w:b w:val="0"/>
          <w:bCs w:val="0"/>
          <w:i w:val="0"/>
          <w:iCs w:val="0"/>
          <w:caps w:val="0"/>
          <w:sz w:val="30"/>
          <w:szCs w:val="30"/>
        </w:rPr>
        <w:instrText xml:space="preserve"> TOC \o \u </w:instrText>
      </w:r>
      <w:r>
        <w:rPr>
          <w:rFonts w:hint="eastAsia" w:ascii="仿宋_GB2312" w:hAnsi="仿宋_GB2312" w:eastAsia="仿宋_GB2312" w:cs="仿宋_GB2312"/>
          <w:b w:val="0"/>
          <w:bCs w:val="0"/>
          <w:i w:val="0"/>
          <w:iCs w:val="0"/>
          <w:caps w:val="0"/>
          <w:sz w:val="30"/>
          <w:szCs w:val="30"/>
        </w:rPr>
        <w:fldChar w:fldCharType="separate"/>
      </w:r>
      <w:r>
        <w:rPr>
          <w:rFonts w:hint="eastAsia" w:ascii="仿宋_GB2312" w:hAnsi="仿宋_GB2312" w:eastAsia="仿宋_GB2312" w:cs="仿宋_GB2312"/>
          <w:b w:val="0"/>
          <w:i w:val="0"/>
          <w:iCs w:val="0"/>
          <w:sz w:val="30"/>
          <w:szCs w:val="30"/>
        </w:rPr>
        <w:t xml:space="preserve">第一部分 </w:t>
      </w:r>
      <w:r>
        <w:rPr>
          <w:rFonts w:hint="eastAsia" w:ascii="仿宋_GB2312" w:hAnsi="仿宋_GB2312" w:eastAsia="仿宋_GB2312" w:cs="仿宋_GB2312"/>
          <w:b w:val="0"/>
          <w:bCs w:val="0"/>
          <w:i w:val="0"/>
          <w:iCs w:val="0"/>
          <w:sz w:val="30"/>
          <w:szCs w:val="30"/>
        </w:rPr>
        <w:t>部门概况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4</w:t>
      </w:r>
    </w:p>
    <w:p>
      <w:pPr>
        <w:pStyle w:val="16"/>
        <w:tabs>
          <w:tab w:val="right" w:leader="dot" w:pos="8296"/>
        </w:tabs>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一、基</w:t>
      </w:r>
      <w:r>
        <w:rPr>
          <w:rFonts w:hint="eastAsia" w:ascii="仿宋_GB2312" w:hAnsi="仿宋_GB2312" w:eastAsia="仿宋_GB2312" w:cs="仿宋_GB2312"/>
          <w:i w:val="0"/>
          <w:iCs w:val="0"/>
          <w:sz w:val="30"/>
          <w:szCs w:val="30"/>
        </w:rPr>
        <w:t>本职能及主要工作</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4</w:t>
      </w:r>
    </w:p>
    <w:p>
      <w:pPr>
        <w:pStyle w:val="8"/>
        <w:tabs>
          <w:tab w:val="right" w:leader="dot" w:pos="8296"/>
        </w:tabs>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bCs/>
          <w:i w:val="0"/>
          <w:iCs w:val="0"/>
          <w:color w:val="000000"/>
          <w:sz w:val="30"/>
          <w:szCs w:val="30"/>
        </w:rPr>
        <w:t>（一）主要职能。</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4</w:t>
      </w:r>
    </w:p>
    <w:p>
      <w:pPr>
        <w:pStyle w:val="16"/>
        <w:tabs>
          <w:tab w:val="right" w:leader="dot" w:pos="8296"/>
        </w:tabs>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二、机</w:t>
      </w:r>
      <w:r>
        <w:rPr>
          <w:rFonts w:hint="eastAsia" w:ascii="仿宋_GB2312" w:hAnsi="仿宋_GB2312" w:eastAsia="仿宋_GB2312" w:cs="仿宋_GB2312"/>
          <w:i w:val="0"/>
          <w:iCs w:val="0"/>
          <w:sz w:val="30"/>
          <w:szCs w:val="30"/>
        </w:rPr>
        <w:t>构设置</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5</w:t>
      </w:r>
    </w:p>
    <w:p>
      <w:pPr>
        <w:pStyle w:val="13"/>
        <w:tabs>
          <w:tab w:val="right" w:leader="dot" w:pos="8296"/>
        </w:tabs>
        <w:rPr>
          <w:rFonts w:hint="eastAsia" w:ascii="仿宋_GB2312" w:hAnsi="仿宋_GB2312" w:eastAsia="仿宋_GB2312" w:cs="仿宋_GB2312"/>
          <w:b w:val="0"/>
          <w:bCs w:val="0"/>
          <w:i w:val="0"/>
          <w:iCs w:val="0"/>
          <w:caps w:val="0"/>
          <w:sz w:val="30"/>
          <w:szCs w:val="30"/>
          <w:lang w:val="en-US" w:eastAsia="zh-CN"/>
        </w:rPr>
      </w:pPr>
      <w:r>
        <w:rPr>
          <w:rFonts w:hint="eastAsia" w:ascii="仿宋_GB2312" w:hAnsi="仿宋_GB2312" w:eastAsia="仿宋_GB2312" w:cs="仿宋_GB2312"/>
          <w:b w:val="0"/>
          <w:i w:val="0"/>
          <w:iCs w:val="0"/>
          <w:color w:val="000000"/>
          <w:sz w:val="30"/>
          <w:szCs w:val="30"/>
        </w:rPr>
        <w:t>第二部分</w:t>
      </w:r>
      <w:r>
        <w:rPr>
          <w:rFonts w:hint="eastAsia" w:ascii="仿宋_GB2312" w:hAnsi="仿宋_GB2312" w:eastAsia="仿宋_GB2312" w:cs="仿宋_GB2312"/>
          <w:i w:val="0"/>
          <w:iCs w:val="0"/>
          <w:color w:val="000000"/>
          <w:sz w:val="30"/>
          <w:szCs w:val="30"/>
        </w:rPr>
        <w:t xml:space="preserve"> </w:t>
      </w:r>
      <w:r>
        <w:rPr>
          <w:rFonts w:hint="eastAsia" w:ascii="仿宋_GB2312" w:hAnsi="仿宋_GB2312" w:eastAsia="仿宋_GB2312" w:cs="仿宋_GB2312"/>
          <w:b w:val="0"/>
          <w:bCs w:val="0"/>
          <w:i w:val="0"/>
          <w:iCs w:val="0"/>
          <w:sz w:val="30"/>
          <w:szCs w:val="30"/>
        </w:rPr>
        <w:t>2020年度部门决算情况说明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6</w:t>
      </w:r>
    </w:p>
    <w:p>
      <w:pPr>
        <w:pStyle w:val="16"/>
        <w:tabs>
          <w:tab w:val="left" w:pos="840"/>
          <w:tab w:val="right" w:leader="dot" w:pos="8296"/>
        </w:tabs>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bCs/>
          <w:i w:val="0"/>
          <w:iCs w:val="0"/>
          <w:sz w:val="30"/>
          <w:szCs w:val="30"/>
        </w:rPr>
        <w:t>一、</w:t>
      </w:r>
      <w:r>
        <w:rPr>
          <w:rFonts w:hint="eastAsia" w:ascii="仿宋_GB2312" w:hAnsi="仿宋_GB2312" w:eastAsia="仿宋_GB2312" w:cs="仿宋_GB2312"/>
          <w:i w:val="0"/>
          <w:iCs w:val="0"/>
          <w:smallCaps w:val="0"/>
          <w:sz w:val="30"/>
          <w:szCs w:val="30"/>
        </w:rPr>
        <w:tab/>
      </w:r>
      <w:r>
        <w:rPr>
          <w:rFonts w:hint="eastAsia" w:ascii="仿宋_GB2312" w:hAnsi="仿宋_GB2312" w:eastAsia="仿宋_GB2312" w:cs="仿宋_GB2312"/>
          <w:i w:val="0"/>
          <w:iCs w:val="0"/>
          <w:color w:val="000000"/>
          <w:sz w:val="30"/>
          <w:szCs w:val="30"/>
        </w:rPr>
        <w:t>收</w:t>
      </w:r>
      <w:r>
        <w:rPr>
          <w:rFonts w:hint="eastAsia" w:ascii="仿宋_GB2312" w:hAnsi="仿宋_GB2312" w:eastAsia="仿宋_GB2312" w:cs="仿宋_GB2312"/>
          <w:bCs/>
          <w:i w:val="0"/>
          <w:iCs w:val="0"/>
          <w:sz w:val="30"/>
          <w:szCs w:val="30"/>
        </w:rPr>
        <w:t>入支出决算总体情况说明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6</w:t>
      </w:r>
    </w:p>
    <w:p>
      <w:pPr>
        <w:pStyle w:val="16"/>
        <w:tabs>
          <w:tab w:val="left" w:pos="840"/>
          <w:tab w:val="right" w:leader="dot" w:pos="8296"/>
        </w:tabs>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bCs/>
          <w:i w:val="0"/>
          <w:iCs w:val="0"/>
          <w:sz w:val="30"/>
          <w:szCs w:val="30"/>
        </w:rPr>
        <w:t>二、</w:t>
      </w:r>
      <w:r>
        <w:rPr>
          <w:rFonts w:hint="eastAsia" w:ascii="仿宋_GB2312" w:hAnsi="仿宋_GB2312" w:eastAsia="仿宋_GB2312" w:cs="仿宋_GB2312"/>
          <w:i w:val="0"/>
          <w:iCs w:val="0"/>
          <w:smallCaps w:val="0"/>
          <w:sz w:val="30"/>
          <w:szCs w:val="30"/>
        </w:rPr>
        <w:tab/>
      </w:r>
      <w:r>
        <w:rPr>
          <w:rFonts w:hint="eastAsia" w:ascii="仿宋_GB2312" w:hAnsi="仿宋_GB2312" w:eastAsia="仿宋_GB2312" w:cs="仿宋_GB2312"/>
          <w:i w:val="0"/>
          <w:iCs w:val="0"/>
          <w:color w:val="000000"/>
          <w:sz w:val="30"/>
          <w:szCs w:val="30"/>
        </w:rPr>
        <w:t>收</w:t>
      </w:r>
      <w:r>
        <w:rPr>
          <w:rFonts w:hint="eastAsia" w:ascii="仿宋_GB2312" w:hAnsi="仿宋_GB2312" w:eastAsia="仿宋_GB2312" w:cs="仿宋_GB2312"/>
          <w:bCs/>
          <w:i w:val="0"/>
          <w:iCs w:val="0"/>
          <w:sz w:val="30"/>
          <w:szCs w:val="30"/>
        </w:rPr>
        <w:t>入决算情况说明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6</w:t>
      </w:r>
    </w:p>
    <w:p>
      <w:pPr>
        <w:pStyle w:val="16"/>
        <w:tabs>
          <w:tab w:val="left" w:pos="840"/>
          <w:tab w:val="right" w:leader="dot" w:pos="8296"/>
        </w:tabs>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bCs/>
          <w:i w:val="0"/>
          <w:iCs w:val="0"/>
          <w:sz w:val="30"/>
          <w:szCs w:val="30"/>
        </w:rPr>
        <w:t>三、</w:t>
      </w:r>
      <w:r>
        <w:rPr>
          <w:rFonts w:hint="eastAsia" w:ascii="仿宋_GB2312" w:hAnsi="仿宋_GB2312" w:eastAsia="仿宋_GB2312" w:cs="仿宋_GB2312"/>
          <w:i w:val="0"/>
          <w:iCs w:val="0"/>
          <w:smallCaps w:val="0"/>
          <w:sz w:val="30"/>
          <w:szCs w:val="30"/>
        </w:rPr>
        <w:tab/>
      </w:r>
      <w:r>
        <w:rPr>
          <w:rFonts w:hint="eastAsia" w:ascii="仿宋_GB2312" w:hAnsi="仿宋_GB2312" w:eastAsia="仿宋_GB2312" w:cs="仿宋_GB2312"/>
          <w:i w:val="0"/>
          <w:iCs w:val="0"/>
          <w:color w:val="000000"/>
          <w:sz w:val="30"/>
          <w:szCs w:val="30"/>
        </w:rPr>
        <w:t>支</w:t>
      </w:r>
      <w:r>
        <w:rPr>
          <w:rFonts w:hint="eastAsia" w:ascii="仿宋_GB2312" w:hAnsi="仿宋_GB2312" w:eastAsia="仿宋_GB2312" w:cs="仿宋_GB2312"/>
          <w:bCs/>
          <w:i w:val="0"/>
          <w:iCs w:val="0"/>
          <w:sz w:val="30"/>
          <w:szCs w:val="30"/>
        </w:rPr>
        <w:t>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6</w:t>
      </w:r>
    </w:p>
    <w:p>
      <w:pPr>
        <w:pStyle w:val="16"/>
        <w:tabs>
          <w:tab w:val="right" w:leader="dot" w:pos="8296"/>
        </w:tabs>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四、财</w:t>
      </w:r>
      <w:r>
        <w:rPr>
          <w:rFonts w:hint="eastAsia" w:ascii="仿宋_GB2312" w:hAnsi="仿宋_GB2312" w:eastAsia="仿宋_GB2312" w:cs="仿宋_GB2312"/>
          <w:bCs/>
          <w:i w:val="0"/>
          <w:iCs w:val="0"/>
          <w:sz w:val="30"/>
          <w:szCs w:val="30"/>
        </w:rPr>
        <w:t>政拨款收入支出决算总体情况说明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6</w:t>
      </w:r>
    </w:p>
    <w:p>
      <w:pPr>
        <w:pStyle w:val="16"/>
        <w:tabs>
          <w:tab w:val="right" w:leader="dot" w:pos="8296"/>
        </w:tabs>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五、</w:t>
      </w:r>
      <w:r>
        <w:rPr>
          <w:rFonts w:hint="eastAsia" w:ascii="仿宋_GB2312" w:hAnsi="仿宋_GB2312" w:eastAsia="仿宋_GB2312" w:cs="仿宋_GB2312"/>
          <w:b/>
          <w:i w:val="0"/>
          <w:iCs w:val="0"/>
          <w:color w:val="000000"/>
          <w:sz w:val="30"/>
          <w:szCs w:val="30"/>
        </w:rPr>
        <w:t>一</w:t>
      </w:r>
      <w:r>
        <w:rPr>
          <w:rFonts w:hint="eastAsia" w:ascii="仿宋_GB2312" w:hAnsi="仿宋_GB2312" w:eastAsia="仿宋_GB2312" w:cs="仿宋_GB2312"/>
          <w:bCs/>
          <w:i w:val="0"/>
          <w:iCs w:val="0"/>
          <w:sz w:val="30"/>
          <w:szCs w:val="30"/>
        </w:rPr>
        <w:t>般公共预算财政拨款支出决算情况说明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7</w:t>
      </w:r>
    </w:p>
    <w:p>
      <w:pPr>
        <w:pStyle w:val="8"/>
        <w:tabs>
          <w:tab w:val="right" w:leader="dot" w:pos="8296"/>
        </w:tabs>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（一）一般公共预算财政拨款支出决算总体情况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7</w:t>
      </w:r>
    </w:p>
    <w:p>
      <w:pPr>
        <w:pStyle w:val="8"/>
        <w:tabs>
          <w:tab w:val="right" w:leader="dot" w:pos="8296"/>
        </w:tabs>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（二）一般公共预算财政拨款支出决算结构情况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7</w:t>
      </w:r>
    </w:p>
    <w:p>
      <w:pPr>
        <w:pStyle w:val="8"/>
        <w:tabs>
          <w:tab w:val="right" w:leader="dot" w:pos="8296"/>
        </w:tabs>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（三）一般公共预算财政拨款支出决算具体情况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7</w:t>
      </w:r>
    </w:p>
    <w:p>
      <w:pPr>
        <w:pStyle w:val="16"/>
        <w:tabs>
          <w:tab w:val="right" w:leader="dot" w:pos="8296"/>
        </w:tabs>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六</w:t>
      </w:r>
      <w:r>
        <w:rPr>
          <w:rFonts w:hint="eastAsia" w:ascii="仿宋_GB2312" w:hAnsi="仿宋_GB2312" w:eastAsia="仿宋_GB2312" w:cs="仿宋_GB2312"/>
          <w:b/>
          <w:i w:val="0"/>
          <w:iCs w:val="0"/>
          <w:color w:val="000000"/>
          <w:sz w:val="30"/>
          <w:szCs w:val="30"/>
        </w:rPr>
        <w:t>、一</w:t>
      </w:r>
      <w:r>
        <w:rPr>
          <w:rFonts w:hint="eastAsia" w:ascii="仿宋_GB2312" w:hAnsi="仿宋_GB2312" w:eastAsia="仿宋_GB2312" w:cs="仿宋_GB2312"/>
          <w:bCs/>
          <w:i w:val="0"/>
          <w:iCs w:val="0"/>
          <w:sz w:val="30"/>
          <w:szCs w:val="30"/>
        </w:rPr>
        <w:t>般公共预算财政拨款基本支出决算情况说明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8</w:t>
      </w:r>
    </w:p>
    <w:p>
      <w:pPr>
        <w:pStyle w:val="16"/>
        <w:tabs>
          <w:tab w:val="right" w:leader="dot" w:pos="8296"/>
        </w:tabs>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七、</w:t>
      </w:r>
      <w:r>
        <w:rPr>
          <w:rFonts w:hint="eastAsia" w:ascii="仿宋_GB2312" w:hAnsi="仿宋_GB2312" w:eastAsia="仿宋_GB2312" w:cs="仿宋_GB2312"/>
          <w:b/>
          <w:bCs/>
          <w:i w:val="0"/>
          <w:iCs w:val="0"/>
          <w:sz w:val="30"/>
          <w:szCs w:val="30"/>
        </w:rPr>
        <w:t>“</w:t>
      </w:r>
      <w:r>
        <w:rPr>
          <w:rFonts w:hint="eastAsia" w:ascii="仿宋_GB2312" w:hAnsi="仿宋_GB2312" w:eastAsia="仿宋_GB2312" w:cs="仿宋_GB2312"/>
          <w:bCs/>
          <w:i w:val="0"/>
          <w:iCs w:val="0"/>
          <w:sz w:val="30"/>
          <w:szCs w:val="30"/>
        </w:rPr>
        <w:t>三公”经费财政拨款支出决算情况说明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8"/>
        <w:tabs>
          <w:tab w:val="right" w:leader="dot" w:pos="8296"/>
        </w:tabs>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（一）“三公”经费财政拨款支出决算总体情况说明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8"/>
        <w:tabs>
          <w:tab w:val="right" w:leader="dot" w:pos="8296"/>
        </w:tabs>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（二）“三公”经费财政拨款支出决算具体情况说明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16"/>
        <w:tabs>
          <w:tab w:val="right" w:leader="dot" w:pos="8296"/>
        </w:tabs>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八、</w:t>
      </w:r>
      <w:r>
        <w:rPr>
          <w:rFonts w:hint="eastAsia" w:ascii="仿宋_GB2312" w:hAnsi="仿宋_GB2312" w:eastAsia="仿宋_GB2312" w:cs="仿宋_GB2312"/>
          <w:bCs/>
          <w:i w:val="0"/>
          <w:iCs w:val="0"/>
          <w:sz w:val="30"/>
          <w:szCs w:val="30"/>
        </w:rPr>
        <w:t>政府性基金预算支出决算情况说明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10</w:t>
      </w:r>
    </w:p>
    <w:p>
      <w:pPr>
        <w:pStyle w:val="16"/>
        <w:tabs>
          <w:tab w:val="right" w:leader="dot" w:pos="8296"/>
        </w:tabs>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bCs/>
          <w:i w:val="0"/>
          <w:iCs w:val="0"/>
          <w:sz w:val="30"/>
          <w:szCs w:val="30"/>
        </w:rPr>
        <w:t>九、 国有资本经营预算支出决算情况说明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10</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十</w:t>
      </w:r>
      <w:r>
        <w:rPr>
          <w:rFonts w:hint="eastAsia" w:ascii="仿宋_GB2312" w:hAnsi="仿宋_GB2312" w:eastAsia="仿宋_GB2312" w:cs="仿宋_GB2312"/>
          <w:b/>
          <w:bCs/>
          <w:i w:val="0"/>
          <w:iCs w:val="0"/>
          <w:sz w:val="30"/>
          <w:szCs w:val="30"/>
        </w:rPr>
        <w:t>、</w:t>
      </w:r>
      <w:r>
        <w:rPr>
          <w:rFonts w:hint="eastAsia" w:ascii="仿宋_GB2312" w:hAnsi="仿宋_GB2312" w:eastAsia="仿宋_GB2312" w:cs="仿宋_GB2312"/>
          <w:bCs/>
          <w:i w:val="0"/>
          <w:iCs w:val="0"/>
          <w:sz w:val="30"/>
          <w:szCs w:val="30"/>
        </w:rPr>
        <w:t>其他重要事项的情况说明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10</w:t>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（一）机关运行经费支出情况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10</w:t>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（二）政府采购支出情况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10</w:t>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（三）国有资产占有使用情况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10</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b w:val="0"/>
          <w:bCs w:val="0"/>
          <w:i w:val="0"/>
          <w:iCs w:val="0"/>
          <w:caps w:val="0"/>
          <w:sz w:val="30"/>
          <w:szCs w:val="30"/>
          <w:lang w:val="en-US" w:eastAsia="zh-CN"/>
        </w:rPr>
      </w:pPr>
      <w:r>
        <w:rPr>
          <w:rFonts w:hint="eastAsia" w:ascii="仿宋_GB2312" w:hAnsi="仿宋_GB2312" w:eastAsia="仿宋_GB2312" w:cs="仿宋_GB2312"/>
          <w:i w:val="0"/>
          <w:iCs w:val="0"/>
          <w:kern w:val="44"/>
          <w:sz w:val="30"/>
          <w:szCs w:val="30"/>
        </w:rPr>
        <w:t>第三部分</w:t>
      </w:r>
      <w:r>
        <w:rPr>
          <w:rFonts w:hint="eastAsia" w:ascii="仿宋_GB2312" w:hAnsi="仿宋_GB2312" w:eastAsia="仿宋_GB2312" w:cs="仿宋_GB2312"/>
          <w:i w:val="0"/>
          <w:iCs w:val="0"/>
          <w:color w:val="000000"/>
          <w:sz w:val="30"/>
          <w:szCs w:val="30"/>
        </w:rPr>
        <w:t xml:space="preserve"> 名</w:t>
      </w:r>
      <w:r>
        <w:rPr>
          <w:rFonts w:hint="eastAsia" w:ascii="仿宋_GB2312" w:hAnsi="仿宋_GB2312" w:eastAsia="仿宋_GB2312" w:cs="仿宋_GB2312"/>
          <w:i w:val="0"/>
          <w:iCs w:val="0"/>
          <w:kern w:val="44"/>
          <w:sz w:val="30"/>
          <w:szCs w:val="30"/>
        </w:rPr>
        <w:t>词解释</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11</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b w:val="0"/>
          <w:bCs w:val="0"/>
          <w:i w:val="0"/>
          <w:iCs w:val="0"/>
          <w:caps w:val="0"/>
          <w:sz w:val="30"/>
          <w:szCs w:val="30"/>
          <w:lang w:val="en-US" w:eastAsia="zh-CN"/>
        </w:rPr>
      </w:pPr>
      <w:r>
        <w:rPr>
          <w:rFonts w:hint="eastAsia" w:ascii="仿宋_GB2312" w:hAnsi="仿宋_GB2312" w:eastAsia="仿宋_GB2312" w:cs="仿宋_GB2312"/>
          <w:i w:val="0"/>
          <w:iCs w:val="0"/>
          <w:color w:val="000000"/>
          <w:sz w:val="30"/>
          <w:szCs w:val="30"/>
        </w:rPr>
        <w:t>第</w:t>
      </w:r>
      <w:r>
        <w:rPr>
          <w:rFonts w:hint="eastAsia" w:ascii="仿宋_GB2312" w:hAnsi="仿宋_GB2312" w:eastAsia="仿宋_GB2312" w:cs="仿宋_GB2312"/>
          <w:i w:val="0"/>
          <w:iCs w:val="0"/>
          <w:kern w:val="44"/>
          <w:sz w:val="30"/>
          <w:szCs w:val="30"/>
        </w:rPr>
        <w:t>四部分 附件</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14</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b w:val="0"/>
          <w:bCs w:val="0"/>
          <w:i w:val="0"/>
          <w:iCs w:val="0"/>
          <w:caps w:val="0"/>
          <w:sz w:val="30"/>
          <w:szCs w:val="30"/>
          <w:lang w:val="en-US" w:eastAsia="zh-CN"/>
        </w:rPr>
      </w:pPr>
      <w:r>
        <w:rPr>
          <w:rFonts w:hint="eastAsia" w:ascii="仿宋_GB2312" w:hAnsi="仿宋_GB2312" w:eastAsia="仿宋_GB2312" w:cs="仿宋_GB2312"/>
          <w:i w:val="0"/>
          <w:iCs w:val="0"/>
          <w:sz w:val="30"/>
          <w:szCs w:val="30"/>
          <w:lang w:eastAsia="zh-CN"/>
        </w:rPr>
        <w:t>群众工作局</w:t>
      </w:r>
      <w:r>
        <w:rPr>
          <w:rFonts w:hint="eastAsia" w:ascii="仿宋_GB2312" w:hAnsi="仿宋_GB2312" w:eastAsia="仿宋_GB2312" w:cs="仿宋_GB2312"/>
          <w:i w:val="0"/>
          <w:iCs w:val="0"/>
          <w:sz w:val="30"/>
          <w:szCs w:val="30"/>
        </w:rPr>
        <w:t>2020年部门整体支出绩效评价报告</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14</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b w:val="0"/>
          <w:bCs w:val="0"/>
          <w:i w:val="0"/>
          <w:iCs w:val="0"/>
          <w:caps w:val="0"/>
          <w:sz w:val="30"/>
          <w:szCs w:val="30"/>
          <w:lang w:val="en-US" w:eastAsia="zh-CN"/>
        </w:rPr>
      </w:pPr>
      <w:r>
        <w:rPr>
          <w:rFonts w:hint="eastAsia" w:ascii="仿宋_GB2312" w:hAnsi="仿宋_GB2312" w:eastAsia="仿宋_GB2312" w:cs="仿宋_GB2312"/>
          <w:i w:val="0"/>
          <w:iCs w:val="0"/>
          <w:color w:val="000000"/>
          <w:sz w:val="30"/>
          <w:szCs w:val="30"/>
        </w:rPr>
        <w:t>第</w:t>
      </w:r>
      <w:r>
        <w:rPr>
          <w:rFonts w:hint="eastAsia" w:ascii="仿宋_GB2312" w:hAnsi="仿宋_GB2312" w:eastAsia="仿宋_GB2312" w:cs="仿宋_GB2312"/>
          <w:i w:val="0"/>
          <w:iCs w:val="0"/>
          <w:kern w:val="44"/>
          <w:sz w:val="30"/>
          <w:szCs w:val="30"/>
        </w:rPr>
        <w:t>五部分 附表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一、收</w:t>
      </w:r>
      <w:r>
        <w:rPr>
          <w:rFonts w:hint="eastAsia" w:ascii="仿宋_GB2312" w:hAnsi="仿宋_GB2312" w:eastAsia="仿宋_GB2312" w:cs="仿宋_GB2312"/>
          <w:i w:val="0"/>
          <w:iCs w:val="0"/>
          <w:sz w:val="30"/>
          <w:szCs w:val="30"/>
        </w:rPr>
        <w:t>入支出决算总表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二、收</w:t>
      </w:r>
      <w:r>
        <w:rPr>
          <w:rFonts w:hint="eastAsia" w:ascii="仿宋_GB2312" w:hAnsi="仿宋_GB2312" w:eastAsia="仿宋_GB2312" w:cs="仿宋_GB2312"/>
          <w:i w:val="0"/>
          <w:iCs w:val="0"/>
          <w:sz w:val="30"/>
          <w:szCs w:val="30"/>
        </w:rPr>
        <w:t>入决算表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三、</w:t>
      </w:r>
      <w:r>
        <w:rPr>
          <w:rFonts w:hint="eastAsia" w:ascii="仿宋_GB2312" w:hAnsi="仿宋_GB2312" w:eastAsia="仿宋_GB2312" w:cs="仿宋_GB2312"/>
          <w:i w:val="0"/>
          <w:iCs w:val="0"/>
          <w:color w:val="000000"/>
          <w:sz w:val="30"/>
          <w:szCs w:val="30"/>
        </w:rPr>
        <w:t>支</w:t>
      </w:r>
      <w:r>
        <w:rPr>
          <w:rFonts w:hint="eastAsia" w:ascii="仿宋_GB2312" w:hAnsi="仿宋_GB2312" w:eastAsia="仿宋_GB2312" w:cs="仿宋_GB2312"/>
          <w:i w:val="0"/>
          <w:iCs w:val="0"/>
          <w:sz w:val="30"/>
          <w:szCs w:val="30"/>
        </w:rPr>
        <w:t>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四、</w:t>
      </w:r>
      <w:r>
        <w:rPr>
          <w:rFonts w:hint="eastAsia" w:ascii="仿宋_GB2312" w:hAnsi="仿宋_GB2312" w:eastAsia="仿宋_GB2312" w:cs="仿宋_GB2312"/>
          <w:i w:val="0"/>
          <w:iCs w:val="0"/>
          <w:color w:val="000000"/>
          <w:sz w:val="30"/>
          <w:szCs w:val="30"/>
        </w:rPr>
        <w:t>财</w:t>
      </w:r>
      <w:r>
        <w:rPr>
          <w:rFonts w:hint="eastAsia" w:ascii="仿宋_GB2312" w:hAnsi="仿宋_GB2312" w:eastAsia="仿宋_GB2312" w:cs="仿宋_GB2312"/>
          <w:i w:val="0"/>
          <w:iCs w:val="0"/>
          <w:sz w:val="30"/>
          <w:szCs w:val="30"/>
        </w:rPr>
        <w:t>政拨款收入支出决算总表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五、</w:t>
      </w:r>
      <w:r>
        <w:rPr>
          <w:rFonts w:hint="eastAsia" w:ascii="仿宋_GB2312" w:hAnsi="仿宋_GB2312" w:eastAsia="仿宋_GB2312" w:cs="仿宋_GB2312"/>
          <w:i w:val="0"/>
          <w:iCs w:val="0"/>
          <w:color w:val="000000"/>
          <w:sz w:val="30"/>
          <w:szCs w:val="30"/>
        </w:rPr>
        <w:t>财</w:t>
      </w:r>
      <w:r>
        <w:rPr>
          <w:rFonts w:hint="eastAsia" w:ascii="仿宋_GB2312" w:hAnsi="仿宋_GB2312" w:eastAsia="仿宋_GB2312" w:cs="仿宋_GB2312"/>
          <w:i w:val="0"/>
          <w:iCs w:val="0"/>
          <w:sz w:val="30"/>
          <w:szCs w:val="30"/>
        </w:rPr>
        <w:t>政拨款支出决算明细表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六、</w:t>
      </w:r>
      <w:r>
        <w:rPr>
          <w:rFonts w:hint="eastAsia" w:ascii="仿宋_GB2312" w:hAnsi="仿宋_GB2312" w:eastAsia="仿宋_GB2312" w:cs="仿宋_GB2312"/>
          <w:i w:val="0"/>
          <w:iCs w:val="0"/>
          <w:color w:val="000000"/>
          <w:sz w:val="30"/>
          <w:szCs w:val="30"/>
        </w:rPr>
        <w:t>一</w:t>
      </w:r>
      <w:r>
        <w:rPr>
          <w:rFonts w:hint="eastAsia" w:ascii="仿宋_GB2312" w:hAnsi="仿宋_GB2312" w:eastAsia="仿宋_GB2312" w:cs="仿宋_GB2312"/>
          <w:i w:val="0"/>
          <w:iCs w:val="0"/>
          <w:sz w:val="30"/>
          <w:szCs w:val="30"/>
        </w:rPr>
        <w:t>般公共预算财政拨款支出决算表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七、</w:t>
      </w:r>
      <w:r>
        <w:rPr>
          <w:rFonts w:hint="eastAsia" w:ascii="仿宋_GB2312" w:hAnsi="仿宋_GB2312" w:eastAsia="仿宋_GB2312" w:cs="仿宋_GB2312"/>
          <w:i w:val="0"/>
          <w:iCs w:val="0"/>
          <w:color w:val="000000"/>
          <w:sz w:val="30"/>
          <w:szCs w:val="30"/>
        </w:rPr>
        <w:t>一</w:t>
      </w:r>
      <w:r>
        <w:rPr>
          <w:rFonts w:hint="eastAsia" w:ascii="仿宋_GB2312" w:hAnsi="仿宋_GB2312" w:eastAsia="仿宋_GB2312" w:cs="仿宋_GB2312"/>
          <w:i w:val="0"/>
          <w:iCs w:val="0"/>
          <w:sz w:val="30"/>
          <w:szCs w:val="30"/>
        </w:rPr>
        <w:t>般公共预算财政拨款支出决算明细表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八、</w:t>
      </w:r>
      <w:r>
        <w:rPr>
          <w:rFonts w:hint="eastAsia" w:ascii="仿宋_GB2312" w:hAnsi="仿宋_GB2312" w:eastAsia="仿宋_GB2312" w:cs="仿宋_GB2312"/>
          <w:i w:val="0"/>
          <w:iCs w:val="0"/>
          <w:color w:val="000000"/>
          <w:sz w:val="30"/>
          <w:szCs w:val="30"/>
        </w:rPr>
        <w:t>一</w:t>
      </w:r>
      <w:r>
        <w:rPr>
          <w:rFonts w:hint="eastAsia" w:ascii="仿宋_GB2312" w:hAnsi="仿宋_GB2312" w:eastAsia="仿宋_GB2312" w:cs="仿宋_GB2312"/>
          <w:i w:val="0"/>
          <w:iCs w:val="0"/>
          <w:sz w:val="30"/>
          <w:szCs w:val="30"/>
        </w:rPr>
        <w:t>般公共预算财政拨款基本支出决算表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九、</w:t>
      </w:r>
      <w:r>
        <w:rPr>
          <w:rFonts w:hint="eastAsia" w:ascii="仿宋_GB2312" w:hAnsi="仿宋_GB2312" w:eastAsia="仿宋_GB2312" w:cs="仿宋_GB2312"/>
          <w:i w:val="0"/>
          <w:iCs w:val="0"/>
          <w:color w:val="000000"/>
          <w:sz w:val="30"/>
          <w:szCs w:val="30"/>
        </w:rPr>
        <w:t>一</w:t>
      </w:r>
      <w:r>
        <w:rPr>
          <w:rFonts w:hint="eastAsia" w:ascii="仿宋_GB2312" w:hAnsi="仿宋_GB2312" w:eastAsia="仿宋_GB2312" w:cs="仿宋_GB2312"/>
          <w:i w:val="0"/>
          <w:iCs w:val="0"/>
          <w:sz w:val="30"/>
          <w:szCs w:val="30"/>
        </w:rPr>
        <w:t>般公共预算财政拨款项目支出决算表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十、</w:t>
      </w:r>
      <w:r>
        <w:rPr>
          <w:rFonts w:hint="eastAsia" w:ascii="仿宋_GB2312" w:hAnsi="仿宋_GB2312" w:eastAsia="仿宋_GB2312" w:cs="仿宋_GB2312"/>
          <w:i w:val="0"/>
          <w:iCs w:val="0"/>
          <w:color w:val="000000"/>
          <w:sz w:val="30"/>
          <w:szCs w:val="30"/>
        </w:rPr>
        <w:t>一</w:t>
      </w:r>
      <w:r>
        <w:rPr>
          <w:rFonts w:hint="eastAsia" w:ascii="仿宋_GB2312" w:hAnsi="仿宋_GB2312" w:eastAsia="仿宋_GB2312" w:cs="仿宋_GB2312"/>
          <w:i w:val="0"/>
          <w:iCs w:val="0"/>
          <w:sz w:val="30"/>
          <w:szCs w:val="30"/>
        </w:rPr>
        <w:t>般公共预算财政拨款“三公”经费支出决算表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十一、</w:t>
      </w:r>
      <w:r>
        <w:rPr>
          <w:rFonts w:hint="eastAsia" w:ascii="仿宋_GB2312" w:hAnsi="仿宋_GB2312" w:eastAsia="仿宋_GB2312" w:cs="仿宋_GB2312"/>
          <w:i w:val="0"/>
          <w:iCs w:val="0"/>
          <w:color w:val="000000"/>
          <w:sz w:val="30"/>
          <w:szCs w:val="30"/>
        </w:rPr>
        <w:t>政</w:t>
      </w:r>
      <w:r>
        <w:rPr>
          <w:rFonts w:hint="eastAsia" w:ascii="仿宋_GB2312" w:hAnsi="仿宋_GB2312" w:eastAsia="仿宋_GB2312" w:cs="仿宋_GB2312"/>
          <w:i w:val="0"/>
          <w:iCs w:val="0"/>
          <w:sz w:val="30"/>
          <w:szCs w:val="30"/>
        </w:rPr>
        <w:t>府性基金预算财政拨款收入支出决算表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十二、</w:t>
      </w:r>
      <w:r>
        <w:rPr>
          <w:rFonts w:hint="eastAsia" w:ascii="仿宋_GB2312" w:hAnsi="仿宋_GB2312" w:eastAsia="仿宋_GB2312" w:cs="仿宋_GB2312"/>
          <w:i w:val="0"/>
          <w:iCs w:val="0"/>
          <w:color w:val="000000"/>
          <w:sz w:val="30"/>
          <w:szCs w:val="30"/>
        </w:rPr>
        <w:t>政</w:t>
      </w:r>
      <w:r>
        <w:rPr>
          <w:rFonts w:hint="eastAsia" w:ascii="仿宋_GB2312" w:hAnsi="仿宋_GB2312" w:eastAsia="仿宋_GB2312" w:cs="仿宋_GB2312"/>
          <w:i w:val="0"/>
          <w:iCs w:val="0"/>
          <w:sz w:val="30"/>
          <w:szCs w:val="30"/>
        </w:rPr>
        <w:t>府性基金预算财政拨款“三公”经费支出决算表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十三、</w:t>
      </w:r>
      <w:r>
        <w:rPr>
          <w:rFonts w:hint="eastAsia" w:ascii="仿宋_GB2312" w:hAnsi="仿宋_GB2312" w:eastAsia="仿宋_GB2312" w:cs="仿宋_GB2312"/>
          <w:i w:val="0"/>
          <w:iCs w:val="0"/>
          <w:color w:val="000000"/>
          <w:sz w:val="30"/>
          <w:szCs w:val="30"/>
        </w:rPr>
        <w:t>国</w:t>
      </w:r>
      <w:r>
        <w:rPr>
          <w:rFonts w:hint="eastAsia" w:ascii="仿宋_GB2312" w:hAnsi="仿宋_GB2312" w:eastAsia="仿宋_GB2312" w:cs="仿宋_GB2312"/>
          <w:i w:val="0"/>
          <w:iCs w:val="0"/>
          <w:sz w:val="30"/>
          <w:szCs w:val="30"/>
        </w:rPr>
        <w:t>有资本经营预算财政拨款支出决算表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十四、国有资本经营预算财政拨款支出决算表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18</w:t>
      </w:r>
      <w:bookmarkStart w:id="159" w:name="_GoBack"/>
      <w:bookmarkEnd w:id="159"/>
    </w:p>
    <w:p>
      <w:pPr>
        <w:rPr>
          <w:i w:val="0"/>
          <w:iCs w:val="0"/>
        </w:rPr>
      </w:pPr>
      <w:r>
        <w:rPr>
          <w:rFonts w:hint="eastAsia" w:ascii="仿宋_GB2312" w:hAnsi="仿宋_GB2312" w:eastAsia="仿宋_GB2312" w:cs="仿宋_GB2312"/>
          <w:b/>
          <w:bCs/>
          <w:i w:val="0"/>
          <w:iCs w:val="0"/>
          <w:caps/>
          <w:sz w:val="30"/>
          <w:szCs w:val="30"/>
        </w:rPr>
        <w:fldChar w:fldCharType="end"/>
      </w:r>
    </w:p>
    <w:p>
      <w:pPr>
        <w:widowControl/>
        <w:spacing w:line="440" w:lineRule="exact"/>
        <w:jc w:val="center"/>
        <w:rPr>
          <w:rStyle w:val="23"/>
          <w:rFonts w:ascii="黑体" w:hAnsi="黑体" w:eastAsia="黑体"/>
          <w:b/>
          <w:bCs w:val="0"/>
        </w:rPr>
      </w:pPr>
      <w:bookmarkStart w:id="12" w:name="_Toc15396599"/>
      <w:bookmarkStart w:id="13" w:name="_Toc15377196"/>
      <w:bookmarkStart w:id="14" w:name="_Toc79163601"/>
      <w:bookmarkStart w:id="15" w:name="_Toc79163851"/>
      <w:r>
        <w:rPr>
          <w:rStyle w:val="23"/>
          <w:rFonts w:hint="eastAsia" w:ascii="黑体" w:hAnsi="黑体" w:eastAsia="黑体"/>
          <w:b w:val="0"/>
          <w:bCs w:val="0"/>
        </w:rPr>
        <w:t xml:space="preserve">第一部分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4"/>
          <w:rFonts w:ascii="仿宋" w:hAnsi="仿宋" w:eastAsia="仿宋"/>
          <w:b w:val="0"/>
          <w:bCs w:val="0"/>
        </w:rPr>
      </w:pPr>
      <w:bookmarkStart w:id="16" w:name="_Toc15396600"/>
      <w:bookmarkStart w:id="17" w:name="_Toc15377197"/>
      <w:bookmarkStart w:id="18" w:name="_Toc79163602"/>
      <w:bookmarkStart w:id="19" w:name="_Toc7916385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ind w:firstLine="800" w:firstLineChars="250"/>
        <w:rPr>
          <w:rFonts w:hint="eastAsia" w:ascii="仿宋" w:hAnsi="仿宋" w:eastAsia="仿宋"/>
          <w:sz w:val="32"/>
          <w:szCs w:val="32"/>
        </w:rPr>
      </w:pPr>
      <w:bookmarkStart w:id="24" w:name="_Toc15378446"/>
      <w:bookmarkStart w:id="25" w:name="_Toc15377199"/>
      <w:bookmarkStart w:id="26" w:name="_Toc79163604"/>
      <w:bookmarkStart w:id="27" w:name="_Toc79163854"/>
      <w:r>
        <w:rPr>
          <w:rFonts w:hint="eastAsia" w:ascii="仿宋" w:hAnsi="仿宋" w:eastAsia="仿宋"/>
          <w:sz w:val="32"/>
          <w:szCs w:val="32"/>
        </w:rPr>
        <w:t>县委群众工作局是九寨沟县政府组成部门。根据州委、州政府关于</w:t>
      </w:r>
      <w:r>
        <w:rPr>
          <w:rFonts w:hint="eastAsia" w:ascii="仿宋" w:hAnsi="仿宋" w:eastAsia="仿宋"/>
          <w:sz w:val="32"/>
          <w:szCs w:val="32"/>
          <w:lang w:val="en-US" w:eastAsia="zh-CN"/>
        </w:rPr>
        <w:t>2020</w:t>
      </w:r>
      <w:r>
        <w:rPr>
          <w:rFonts w:hint="eastAsia" w:ascii="仿宋" w:hAnsi="仿宋" w:eastAsia="仿宋"/>
          <w:sz w:val="32"/>
          <w:szCs w:val="32"/>
        </w:rPr>
        <w:t>年全州工作的总体部署，</w:t>
      </w:r>
      <w:r>
        <w:rPr>
          <w:rFonts w:hint="eastAsia" w:ascii="仿宋" w:hAnsi="仿宋" w:eastAsia="仿宋"/>
          <w:sz w:val="32"/>
          <w:szCs w:val="32"/>
          <w:lang w:val="en-US" w:eastAsia="zh-CN"/>
        </w:rPr>
        <w:t>2020</w:t>
      </w:r>
      <w:r>
        <w:rPr>
          <w:rFonts w:hint="eastAsia" w:ascii="仿宋" w:hAnsi="仿宋" w:eastAsia="仿宋"/>
          <w:sz w:val="32"/>
          <w:szCs w:val="32"/>
        </w:rPr>
        <w:t>年主要工作职能是:</w:t>
      </w:r>
    </w:p>
    <w:p>
      <w:pPr>
        <w:ind w:firstLine="800" w:firstLineChars="250"/>
        <w:rPr>
          <w:rFonts w:hint="eastAsia" w:ascii="仿宋" w:hAnsi="仿宋" w:eastAsia="仿宋"/>
          <w:sz w:val="32"/>
          <w:szCs w:val="32"/>
        </w:rPr>
      </w:pPr>
      <w:r>
        <w:rPr>
          <w:rFonts w:hint="eastAsia" w:ascii="仿宋" w:hAnsi="仿宋" w:eastAsia="仿宋"/>
          <w:sz w:val="32"/>
          <w:szCs w:val="32"/>
        </w:rPr>
        <w:t>1.贯彻党和国家关于信访工作的方针、政策和规定及《国务院信访工作条例》，分析、研究、调查、汇报信访资料，为领导提供决策依据。</w:t>
      </w:r>
    </w:p>
    <w:p>
      <w:pPr>
        <w:ind w:firstLine="800" w:firstLineChars="250"/>
        <w:rPr>
          <w:rFonts w:hint="eastAsia" w:ascii="仿宋" w:hAnsi="仿宋" w:eastAsia="仿宋"/>
          <w:sz w:val="32"/>
          <w:szCs w:val="32"/>
        </w:rPr>
      </w:pPr>
      <w:r>
        <w:rPr>
          <w:rFonts w:hint="eastAsia" w:ascii="仿宋" w:hAnsi="仿宋" w:eastAsia="仿宋"/>
          <w:sz w:val="32"/>
          <w:szCs w:val="32"/>
        </w:rPr>
        <w:t>2.负责处理县内外群众、境外人士、法人及其他组织通过信访渠道给县委、县政府及领导同志的来信来电，接待来访；承办州信访局及有关部门转送、交办的群众来信来电来访。</w:t>
      </w:r>
    </w:p>
    <w:p>
      <w:pPr>
        <w:ind w:firstLine="800" w:firstLineChars="250"/>
        <w:rPr>
          <w:rFonts w:hint="eastAsia" w:ascii="仿宋" w:hAnsi="仿宋" w:eastAsia="仿宋"/>
          <w:sz w:val="32"/>
          <w:szCs w:val="32"/>
        </w:rPr>
      </w:pPr>
      <w:r>
        <w:rPr>
          <w:rFonts w:hint="eastAsia" w:ascii="仿宋" w:hAnsi="仿宋" w:eastAsia="仿宋"/>
          <w:sz w:val="32"/>
          <w:szCs w:val="32"/>
        </w:rPr>
        <w:t>3.负责向县委、县政府反映来信来电来访中提出的重要建议、意见和问题；综合研判信访信息，开展调查研究，提出制定修改完善有关政策的建议。</w:t>
      </w:r>
    </w:p>
    <w:p>
      <w:pPr>
        <w:ind w:firstLine="800" w:firstLineChars="250"/>
        <w:rPr>
          <w:rFonts w:hint="eastAsia" w:ascii="仿宋" w:hAnsi="仿宋" w:eastAsia="仿宋"/>
          <w:sz w:val="32"/>
          <w:szCs w:val="32"/>
        </w:rPr>
      </w:pPr>
      <w:r>
        <w:rPr>
          <w:rFonts w:hint="eastAsia" w:ascii="仿宋" w:hAnsi="仿宋" w:eastAsia="仿宋"/>
          <w:sz w:val="32"/>
          <w:szCs w:val="32"/>
        </w:rPr>
        <w:t>4、承担督促检查有关指示件落实情况的责任，拟定信访督查制度并组织实施，承办省、州、县领导同志交办信访事项的落实；向各乡镇和部门转办、交办信访事项；督促检查重要信访事项的处理和落实。</w:t>
      </w:r>
    </w:p>
    <w:p>
      <w:pPr>
        <w:ind w:firstLine="800" w:firstLineChars="250"/>
        <w:rPr>
          <w:rFonts w:hint="eastAsia" w:ascii="仿宋" w:hAnsi="仿宋" w:eastAsia="仿宋"/>
          <w:sz w:val="32"/>
          <w:szCs w:val="32"/>
        </w:rPr>
      </w:pPr>
      <w:r>
        <w:rPr>
          <w:rFonts w:hint="eastAsia" w:ascii="仿宋" w:hAnsi="仿宋" w:eastAsia="仿宋"/>
          <w:sz w:val="32"/>
          <w:szCs w:val="32"/>
        </w:rPr>
        <w:t>5、承担办理县联席办、信访局及有关部门转送、交办的群众信访事项。协调处理到州赴省进京集体访和进京非正常访的问题；综合协调处理跨地区、跨部门的重要信访问题。</w:t>
      </w:r>
    </w:p>
    <w:p>
      <w:pPr>
        <w:ind w:firstLine="800" w:firstLineChars="250"/>
        <w:rPr>
          <w:rFonts w:hint="eastAsia" w:ascii="仿宋" w:hAnsi="仿宋" w:eastAsia="仿宋"/>
          <w:sz w:val="32"/>
          <w:szCs w:val="32"/>
        </w:rPr>
      </w:pPr>
      <w:r>
        <w:rPr>
          <w:rFonts w:hint="eastAsia" w:ascii="仿宋" w:hAnsi="仿宋" w:eastAsia="仿宋"/>
          <w:sz w:val="32"/>
          <w:szCs w:val="32"/>
        </w:rPr>
        <w:t>6、协调指导全县信访工作。研究、起草全县有关信访工作的规范性文件；提出改进和加强信访工作的意见和建议；指导县内各部门的信访工作和乡镇的信访工作。</w:t>
      </w:r>
    </w:p>
    <w:p>
      <w:pPr>
        <w:ind w:firstLine="800" w:firstLineChars="250"/>
        <w:rPr>
          <w:rFonts w:hint="eastAsia" w:ascii="仿宋" w:hAnsi="仿宋" w:eastAsia="仿宋"/>
          <w:sz w:val="32"/>
          <w:szCs w:val="32"/>
        </w:rPr>
      </w:pPr>
      <w:r>
        <w:rPr>
          <w:rFonts w:hint="eastAsia" w:ascii="仿宋" w:hAnsi="仿宋" w:eastAsia="仿宋"/>
          <w:sz w:val="32"/>
          <w:szCs w:val="32"/>
        </w:rPr>
        <w:t>7.制定信访问题排查化解制度并组织实施；建立完善信访动态分析机制，指导全县信访信息系统建设和应用。</w:t>
      </w:r>
    </w:p>
    <w:p>
      <w:pPr>
        <w:ind w:firstLine="800" w:firstLineChars="250"/>
        <w:rPr>
          <w:rFonts w:hint="eastAsia" w:ascii="仿宋" w:hAnsi="仿宋" w:eastAsia="仿宋"/>
          <w:sz w:val="32"/>
          <w:szCs w:val="32"/>
        </w:rPr>
      </w:pPr>
      <w:r>
        <w:rPr>
          <w:rFonts w:hint="eastAsia" w:ascii="仿宋" w:hAnsi="仿宋" w:eastAsia="仿宋"/>
          <w:sz w:val="32"/>
          <w:szCs w:val="32"/>
        </w:rPr>
        <w:t>8、承担县信访工作联席会议的日常工作；督促落实会议决定事项。</w:t>
      </w:r>
    </w:p>
    <w:p>
      <w:pPr>
        <w:ind w:firstLine="800" w:firstLineChars="250"/>
        <w:rPr>
          <w:rFonts w:hint="eastAsia" w:ascii="仿宋" w:hAnsi="仿宋" w:eastAsia="仿宋"/>
          <w:sz w:val="32"/>
          <w:szCs w:val="32"/>
        </w:rPr>
      </w:pPr>
      <w:r>
        <w:rPr>
          <w:rFonts w:hint="eastAsia" w:ascii="仿宋" w:hAnsi="仿宋" w:eastAsia="仿宋"/>
          <w:sz w:val="32"/>
          <w:szCs w:val="32"/>
        </w:rPr>
        <w:t>9.负责全县信访工作的宣传和信息发布。</w:t>
      </w:r>
    </w:p>
    <w:p>
      <w:pPr>
        <w:ind w:firstLine="800" w:firstLineChars="250"/>
        <w:rPr>
          <w:rFonts w:ascii="仿宋" w:hAnsi="仿宋" w:eastAsia="仿宋"/>
          <w:bCs/>
          <w:color w:val="000000"/>
          <w:sz w:val="32"/>
          <w:szCs w:val="32"/>
        </w:rPr>
      </w:pPr>
      <w:r>
        <w:rPr>
          <w:rFonts w:hint="eastAsia" w:ascii="仿宋" w:hAnsi="仿宋" w:eastAsia="仿宋"/>
          <w:sz w:val="32"/>
          <w:szCs w:val="32"/>
        </w:rPr>
        <w:t>10.承办县委、县政府交办的其他事项。</w:t>
      </w:r>
    </w:p>
    <w:bookmarkEnd w:id="24"/>
    <w:bookmarkEnd w:id="25"/>
    <w:bookmarkEnd w:id="26"/>
    <w:bookmarkEnd w:id="27"/>
    <w:p>
      <w:pPr>
        <w:pStyle w:val="3"/>
        <w:rPr>
          <w:rStyle w:val="24"/>
          <w:b w:val="0"/>
          <w:bCs w:val="0"/>
        </w:rPr>
      </w:pPr>
      <w:bookmarkStart w:id="28" w:name="_Toc15396601"/>
      <w:bookmarkStart w:id="29" w:name="_Toc15377200"/>
      <w:bookmarkStart w:id="30" w:name="_Toc79163605"/>
      <w:bookmarkStart w:id="31" w:name="_Toc79163855"/>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ind w:firstLine="800" w:firstLineChars="250"/>
        <w:rPr>
          <w:rFonts w:hint="eastAsia" w:ascii="仿宋" w:hAnsi="仿宋" w:eastAsia="仿宋"/>
          <w:sz w:val="32"/>
          <w:szCs w:val="32"/>
          <w:lang w:eastAsia="zh-CN"/>
        </w:rPr>
      </w:pPr>
      <w:r>
        <w:rPr>
          <w:rFonts w:hint="eastAsia" w:ascii="仿宋" w:hAnsi="仿宋" w:eastAsia="仿宋"/>
          <w:sz w:val="32"/>
          <w:szCs w:val="32"/>
          <w:lang w:eastAsia="zh-CN"/>
        </w:rPr>
        <w:t>县</w:t>
      </w:r>
      <w:r>
        <w:rPr>
          <w:rFonts w:hint="eastAsia" w:ascii="仿宋" w:hAnsi="仿宋" w:eastAsia="仿宋"/>
          <w:sz w:val="32"/>
          <w:szCs w:val="32"/>
        </w:rPr>
        <w:t>委群众工作局属于独立核算行政单位。人员编制8名，其中：行政编制</w:t>
      </w:r>
      <w:r>
        <w:rPr>
          <w:rFonts w:hint="eastAsia" w:ascii="仿宋" w:hAnsi="仿宋" w:eastAsia="仿宋"/>
          <w:sz w:val="32"/>
          <w:szCs w:val="32"/>
          <w:lang w:val="en-US" w:eastAsia="zh-CN"/>
        </w:rPr>
        <w:t>2</w:t>
      </w:r>
      <w:r>
        <w:rPr>
          <w:rFonts w:hint="eastAsia" w:ascii="仿宋" w:hAnsi="仿宋" w:eastAsia="仿宋"/>
          <w:sz w:val="32"/>
          <w:szCs w:val="32"/>
        </w:rPr>
        <w:t>名，事业编制</w:t>
      </w:r>
      <w:r>
        <w:rPr>
          <w:rFonts w:hint="eastAsia" w:ascii="仿宋" w:hAnsi="仿宋" w:eastAsia="仿宋"/>
          <w:sz w:val="32"/>
          <w:szCs w:val="32"/>
          <w:lang w:val="en-US" w:eastAsia="zh-CN"/>
        </w:rPr>
        <w:t>5</w:t>
      </w:r>
      <w:r>
        <w:rPr>
          <w:rFonts w:hint="eastAsia" w:ascii="仿宋" w:hAnsi="仿宋" w:eastAsia="仿宋"/>
          <w:sz w:val="32"/>
          <w:szCs w:val="32"/>
        </w:rPr>
        <w:t>名，工勤编制1名。内设办公室、督查督办股</w:t>
      </w:r>
      <w:r>
        <w:rPr>
          <w:rFonts w:hint="eastAsia" w:ascii="仿宋" w:hAnsi="仿宋" w:eastAsia="仿宋"/>
          <w:sz w:val="32"/>
          <w:szCs w:val="32"/>
          <w:lang w:eastAsia="zh-CN"/>
        </w:rPr>
        <w:t>。</w:t>
      </w:r>
      <w:r>
        <w:rPr>
          <w:rFonts w:hint="eastAsia" w:ascii="仿宋" w:hAnsi="仿宋" w:eastAsia="仿宋"/>
          <w:sz w:val="32"/>
          <w:szCs w:val="32"/>
        </w:rPr>
        <w:t>下</w:t>
      </w:r>
      <w:r>
        <w:rPr>
          <w:rFonts w:hint="eastAsia" w:ascii="仿宋" w:hAnsi="仿宋" w:eastAsia="仿宋"/>
          <w:sz w:val="32"/>
          <w:szCs w:val="32"/>
          <w:lang w:eastAsia="zh-CN"/>
        </w:rPr>
        <w:t>设</w:t>
      </w:r>
      <w:r>
        <w:rPr>
          <w:rFonts w:hint="eastAsia" w:ascii="仿宋" w:hAnsi="仿宋" w:eastAsia="仿宋"/>
          <w:sz w:val="32"/>
          <w:szCs w:val="32"/>
        </w:rPr>
        <w:t>二级单位</w:t>
      </w:r>
      <w:r>
        <w:rPr>
          <w:rFonts w:hint="eastAsia" w:ascii="仿宋" w:hAnsi="仿宋" w:eastAsia="仿宋"/>
          <w:sz w:val="32"/>
          <w:szCs w:val="32"/>
          <w:lang w:val="en-US" w:eastAsia="zh-CN"/>
        </w:rPr>
        <w:t>1</w:t>
      </w:r>
      <w:r>
        <w:rPr>
          <w:rFonts w:hint="eastAsia" w:ascii="仿宋" w:hAnsi="仿宋" w:eastAsia="仿宋"/>
          <w:sz w:val="32"/>
          <w:szCs w:val="32"/>
        </w:rPr>
        <w:t>个</w:t>
      </w:r>
      <w:r>
        <w:rPr>
          <w:rFonts w:hint="eastAsia" w:ascii="仿宋" w:hAnsi="仿宋" w:eastAsia="仿宋"/>
          <w:sz w:val="32"/>
          <w:szCs w:val="32"/>
          <w:lang w:eastAsia="zh-CN"/>
        </w:rPr>
        <w:t>。</w:t>
      </w:r>
    </w:p>
    <w:p>
      <w:pPr>
        <w:pStyle w:val="6"/>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群众工作局</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r>
        <w:rPr>
          <w:rFonts w:hint="eastAsia" w:ascii="仿宋" w:hAnsi="仿宋" w:eastAsia="仿宋"/>
          <w:color w:val="000000"/>
          <w:sz w:val="32"/>
          <w:szCs w:val="32"/>
          <w:lang w:eastAsia="zh-CN"/>
        </w:rPr>
        <w:t>群众工作中心</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3"/>
          <w:rFonts w:ascii="黑体" w:hAnsi="黑体" w:eastAsia="黑体"/>
          <w:b w:val="0"/>
          <w:bCs w:val="0"/>
        </w:rPr>
      </w:pPr>
      <w:bookmarkStart w:id="32" w:name="_Toc79163609"/>
      <w:bookmarkStart w:id="33" w:name="_Toc15396602"/>
      <w:bookmarkStart w:id="34" w:name="_Toc15377204"/>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
      <w:pPr>
        <w:pStyle w:val="34"/>
        <w:numPr>
          <w:ilvl w:val="0"/>
          <w:numId w:val="1"/>
        </w:numPr>
        <w:spacing w:line="600" w:lineRule="exact"/>
        <w:ind w:firstLineChars="0"/>
        <w:outlineLvl w:val="1"/>
        <w:rPr>
          <w:rStyle w:val="24"/>
          <w:rFonts w:ascii="黑体" w:hAnsi="黑体" w:eastAsia="黑体"/>
          <w:b w:val="0"/>
        </w:rPr>
      </w:pPr>
      <w:bookmarkStart w:id="36" w:name="_Toc79163610"/>
      <w:bookmarkStart w:id="37" w:name="_Toc15396603"/>
      <w:bookmarkStart w:id="38" w:name="_Toc79163860"/>
      <w:bookmarkStart w:id="39" w:name="_Toc15377205"/>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_GB2312"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368.45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277.09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75</w:t>
      </w:r>
      <w:r>
        <w:rPr>
          <w:rFonts w:ascii="仿宋" w:hAnsi="仿宋" w:eastAsia="仿宋"/>
          <w:color w:val="000000"/>
          <w:sz w:val="32"/>
          <w:szCs w:val="32"/>
        </w:rPr>
        <w:t>%</w:t>
      </w:r>
      <w:r>
        <w:rPr>
          <w:rFonts w:hint="eastAsia" w:ascii="仿宋" w:hAnsi="仿宋" w:eastAsia="仿宋"/>
          <w:color w:val="000000"/>
          <w:sz w:val="32"/>
          <w:szCs w:val="32"/>
        </w:rPr>
        <w:t>。</w:t>
      </w:r>
      <w:bookmarkStart w:id="40" w:name="_Toc79163861"/>
      <w:bookmarkStart w:id="41" w:name="_Toc79163611"/>
      <w:bookmarkStart w:id="42" w:name="_Toc15377206"/>
      <w:bookmarkStart w:id="43" w:name="_Toc15396604"/>
      <w:r>
        <w:rPr>
          <w:rFonts w:hint="eastAsia" w:ascii="仿宋" w:hAnsi="仿宋" w:eastAsia="仿宋"/>
          <w:color w:val="auto"/>
          <w:sz w:val="32"/>
          <w:szCs w:val="32"/>
        </w:rPr>
        <w:t>主要变动原因</w:t>
      </w:r>
      <w:r>
        <w:rPr>
          <w:rFonts w:hint="eastAsia" w:ascii="仿宋" w:hAnsi="仿宋" w:eastAsia="仿宋"/>
          <w:color w:val="auto"/>
          <w:sz w:val="32"/>
          <w:szCs w:val="32"/>
          <w:lang w:eastAsia="zh-CN"/>
        </w:rPr>
        <w:t>：一</w:t>
      </w:r>
      <w:r>
        <w:rPr>
          <w:rFonts w:hint="eastAsia" w:ascii="仿宋" w:hAnsi="仿宋" w:eastAsia="仿宋"/>
          <w:color w:val="auto"/>
          <w:sz w:val="32"/>
          <w:szCs w:val="32"/>
        </w:rPr>
        <w:t>是</w:t>
      </w:r>
      <w:r>
        <w:rPr>
          <w:rFonts w:hint="eastAsia" w:ascii="仿宋" w:hAnsi="仿宋" w:eastAsia="仿宋"/>
          <w:color w:val="auto"/>
          <w:sz w:val="32"/>
          <w:szCs w:val="32"/>
          <w:lang w:eastAsia="zh-CN"/>
        </w:rPr>
        <w:t>我县在建工程比较多，如：绵九高速、若九路等项目修建过程中与老百姓发生矛盾，从而</w:t>
      </w:r>
      <w:r>
        <w:rPr>
          <w:rFonts w:hint="eastAsia" w:ascii="仿宋" w:hAnsi="仿宋" w:eastAsia="仿宋"/>
          <w:color w:val="auto"/>
          <w:sz w:val="32"/>
          <w:szCs w:val="32"/>
        </w:rPr>
        <w:t>信访工作形势更加严峻，信访量与去年相比</w:t>
      </w:r>
      <w:r>
        <w:rPr>
          <w:rFonts w:hint="eastAsia" w:ascii="仿宋" w:hAnsi="仿宋" w:eastAsia="仿宋"/>
          <w:color w:val="auto"/>
          <w:sz w:val="32"/>
          <w:szCs w:val="32"/>
          <w:lang w:eastAsia="zh-CN"/>
        </w:rPr>
        <w:t>趁</w:t>
      </w:r>
      <w:r>
        <w:rPr>
          <w:rFonts w:hint="eastAsia" w:ascii="仿宋" w:hAnsi="仿宋" w:eastAsia="仿宋"/>
          <w:color w:val="auto"/>
          <w:sz w:val="32"/>
          <w:szCs w:val="32"/>
        </w:rPr>
        <w:t>上升趋势明显。</w:t>
      </w:r>
      <w:r>
        <w:rPr>
          <w:rFonts w:hint="eastAsia" w:ascii="仿宋" w:hAnsi="仿宋" w:eastAsia="仿宋"/>
          <w:color w:val="auto"/>
          <w:sz w:val="32"/>
          <w:szCs w:val="32"/>
          <w:lang w:eastAsia="zh-CN"/>
        </w:rPr>
        <w:t>二是疫情不间断的发生，必须加大信访宣传工作，让老百姓“不出门”也能反映自己的诉求。</w:t>
      </w:r>
    </w:p>
    <w:p>
      <w:pPr>
        <w:pStyle w:val="34"/>
        <w:numPr>
          <w:ilvl w:val="0"/>
          <w:numId w:val="1"/>
        </w:numPr>
        <w:spacing w:line="600" w:lineRule="exact"/>
        <w:ind w:firstLineChars="0"/>
        <w:outlineLvl w:val="1"/>
        <w:rPr>
          <w:rStyle w:val="24"/>
          <w:rFonts w:ascii="黑体" w:hAnsi="黑体" w:eastAsia="黑体"/>
          <w:b w:val="0"/>
        </w:rPr>
      </w:pPr>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130.96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130.96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4"/>
        <w:numPr>
          <w:ilvl w:val="0"/>
          <w:numId w:val="1"/>
        </w:numPr>
        <w:spacing w:line="600" w:lineRule="exact"/>
        <w:ind w:firstLineChars="0"/>
        <w:outlineLvl w:val="1"/>
        <w:rPr>
          <w:rStyle w:val="24"/>
          <w:rFonts w:ascii="黑体" w:hAnsi="黑体" w:eastAsia="黑体"/>
          <w:b w:val="0"/>
        </w:rPr>
      </w:pPr>
      <w:bookmarkStart w:id="44" w:name="_Toc15377207"/>
      <w:bookmarkStart w:id="45" w:name="_Toc79163862"/>
      <w:bookmarkStart w:id="46" w:name="_Toc15396605"/>
      <w:bookmarkStart w:id="47" w:name="_Toc79163612"/>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237.49</w:t>
      </w:r>
      <w:r>
        <w:rPr>
          <w:rFonts w:hint="eastAsia" w:ascii="仿宋_GB2312" w:eastAsia="仿宋_GB2312"/>
          <w:sz w:val="32"/>
          <w:szCs w:val="32"/>
        </w:rPr>
        <w:t>万元，其中：基本支出</w:t>
      </w:r>
      <w:r>
        <w:rPr>
          <w:rFonts w:hint="eastAsia" w:ascii="仿宋_GB2312" w:eastAsia="仿宋_GB2312"/>
          <w:sz w:val="32"/>
          <w:szCs w:val="32"/>
          <w:lang w:val="en-US" w:eastAsia="zh-CN"/>
        </w:rPr>
        <w:t>128.96</w:t>
      </w:r>
      <w:r>
        <w:rPr>
          <w:rFonts w:hint="eastAsia" w:ascii="仿宋_GB2312" w:eastAsia="仿宋_GB2312"/>
          <w:sz w:val="32"/>
          <w:szCs w:val="32"/>
        </w:rPr>
        <w:t>万元，占</w:t>
      </w:r>
      <w:r>
        <w:rPr>
          <w:rFonts w:hint="eastAsia" w:ascii="仿宋_GB2312" w:eastAsia="仿宋_GB2312"/>
          <w:sz w:val="32"/>
          <w:szCs w:val="32"/>
          <w:lang w:val="en-US" w:eastAsia="zh-CN"/>
        </w:rPr>
        <w:t>54</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108.53</w:t>
      </w:r>
      <w:r>
        <w:rPr>
          <w:rFonts w:hint="eastAsia" w:ascii="仿宋_GB2312" w:eastAsia="仿宋_GB2312"/>
          <w:sz w:val="32"/>
          <w:szCs w:val="32"/>
        </w:rPr>
        <w:t>万元，占</w:t>
      </w:r>
      <w:r>
        <w:rPr>
          <w:rFonts w:hint="eastAsia" w:ascii="仿宋_GB2312" w:eastAsia="仿宋_GB2312"/>
          <w:sz w:val="32"/>
          <w:szCs w:val="32"/>
          <w:lang w:val="en-US" w:eastAsia="zh-CN"/>
        </w:rPr>
        <w:t>46</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outlineLvl w:val="1"/>
        <w:rPr>
          <w:rStyle w:val="24"/>
          <w:rFonts w:ascii="黑体" w:hAnsi="黑体" w:eastAsia="黑体"/>
          <w:b w:val="0"/>
        </w:rPr>
      </w:pPr>
      <w:bookmarkStart w:id="48" w:name="_Toc79163613"/>
      <w:bookmarkStart w:id="49" w:name="_Toc15396606"/>
      <w:bookmarkStart w:id="50" w:name="_Toc79163863"/>
      <w:bookmarkStart w:id="51" w:name="_Toc15377208"/>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 w:hAnsi="仿宋" w:eastAsia="仿宋"/>
          <w:b/>
          <w:color w:val="00B05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368.45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277.09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rPr>
        <w:t>主要变动原因</w:t>
      </w:r>
      <w:r>
        <w:rPr>
          <w:rFonts w:hint="eastAsia" w:ascii="仿宋" w:hAnsi="仿宋" w:eastAsia="仿宋"/>
          <w:color w:val="auto"/>
          <w:sz w:val="32"/>
          <w:szCs w:val="32"/>
          <w:lang w:eastAsia="zh-CN"/>
        </w:rPr>
        <w:t>：一</w:t>
      </w:r>
      <w:r>
        <w:rPr>
          <w:rFonts w:hint="eastAsia" w:ascii="仿宋" w:hAnsi="仿宋" w:eastAsia="仿宋"/>
          <w:color w:val="auto"/>
          <w:sz w:val="32"/>
          <w:szCs w:val="32"/>
        </w:rPr>
        <w:t>是</w:t>
      </w:r>
      <w:r>
        <w:rPr>
          <w:rFonts w:hint="eastAsia" w:ascii="仿宋" w:hAnsi="仿宋" w:eastAsia="仿宋"/>
          <w:color w:val="auto"/>
          <w:sz w:val="32"/>
          <w:szCs w:val="32"/>
          <w:lang w:eastAsia="zh-CN"/>
        </w:rPr>
        <w:t>我县在建工程比较多，如：绵九高速、若九路等项目修建过程中与老百姓发生矛盾，从而</w:t>
      </w:r>
      <w:r>
        <w:rPr>
          <w:rFonts w:hint="eastAsia" w:ascii="仿宋" w:hAnsi="仿宋" w:eastAsia="仿宋"/>
          <w:color w:val="auto"/>
          <w:sz w:val="32"/>
          <w:szCs w:val="32"/>
        </w:rPr>
        <w:t>信访工作形势更加严峻，信访量与去年相比</w:t>
      </w:r>
      <w:r>
        <w:rPr>
          <w:rFonts w:hint="eastAsia" w:ascii="仿宋" w:hAnsi="仿宋" w:eastAsia="仿宋"/>
          <w:color w:val="auto"/>
          <w:sz w:val="32"/>
          <w:szCs w:val="32"/>
          <w:lang w:eastAsia="zh-CN"/>
        </w:rPr>
        <w:t>趁</w:t>
      </w:r>
      <w:r>
        <w:rPr>
          <w:rFonts w:hint="eastAsia" w:ascii="仿宋" w:hAnsi="仿宋" w:eastAsia="仿宋"/>
          <w:color w:val="auto"/>
          <w:sz w:val="32"/>
          <w:szCs w:val="32"/>
        </w:rPr>
        <w:t>上升趋势明显。</w:t>
      </w:r>
      <w:r>
        <w:rPr>
          <w:rFonts w:hint="eastAsia" w:ascii="仿宋" w:hAnsi="仿宋" w:eastAsia="仿宋"/>
          <w:color w:val="auto"/>
          <w:sz w:val="32"/>
          <w:szCs w:val="32"/>
          <w:lang w:eastAsia="zh-CN"/>
        </w:rPr>
        <w:t>二是疫情不间断的发生，必须加大信访宣传工作，让老百姓“不出门”也能反映自己的诉求。</w:t>
      </w:r>
    </w:p>
    <w:p>
      <w:pPr>
        <w:spacing w:line="600" w:lineRule="exact"/>
        <w:ind w:firstLine="640" w:firstLineChars="200"/>
        <w:outlineLvl w:val="1"/>
        <w:rPr>
          <w:rStyle w:val="24"/>
          <w:rFonts w:ascii="黑体" w:hAnsi="黑体" w:eastAsia="黑体"/>
          <w:b w:val="0"/>
        </w:rPr>
      </w:pPr>
      <w:bookmarkStart w:id="52" w:name="_Toc15377209"/>
      <w:bookmarkStart w:id="53" w:name="_Toc15396607"/>
      <w:bookmarkStart w:id="54" w:name="_Toc79163614"/>
      <w:bookmarkStart w:id="55"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865"/>
      <w:bookmarkStart w:id="57" w:name="_Toc7916361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237.49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146.1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rPr>
        <w:t>主要变动原因</w:t>
      </w:r>
      <w:r>
        <w:rPr>
          <w:rFonts w:hint="eastAsia" w:ascii="仿宋" w:hAnsi="仿宋" w:eastAsia="仿宋"/>
          <w:color w:val="auto"/>
          <w:sz w:val="32"/>
          <w:szCs w:val="32"/>
          <w:lang w:eastAsia="zh-CN"/>
        </w:rPr>
        <w:t>：一</w:t>
      </w:r>
      <w:r>
        <w:rPr>
          <w:rFonts w:hint="eastAsia" w:ascii="仿宋" w:hAnsi="仿宋" w:eastAsia="仿宋"/>
          <w:color w:val="auto"/>
          <w:sz w:val="32"/>
          <w:szCs w:val="32"/>
        </w:rPr>
        <w:t>是</w:t>
      </w:r>
      <w:r>
        <w:rPr>
          <w:rFonts w:hint="eastAsia" w:ascii="仿宋" w:hAnsi="仿宋" w:eastAsia="仿宋"/>
          <w:color w:val="auto"/>
          <w:sz w:val="32"/>
          <w:szCs w:val="32"/>
          <w:lang w:eastAsia="zh-CN"/>
        </w:rPr>
        <w:t>我县在建工程比较多，如：绵九高速、若九路等项目修建过程中与老百姓发生矛盾，从而</w:t>
      </w:r>
      <w:r>
        <w:rPr>
          <w:rFonts w:hint="eastAsia" w:ascii="仿宋" w:hAnsi="仿宋" w:eastAsia="仿宋"/>
          <w:color w:val="auto"/>
          <w:sz w:val="32"/>
          <w:szCs w:val="32"/>
        </w:rPr>
        <w:t>信访工作形势更加严峻，信访量与去年相比</w:t>
      </w:r>
      <w:r>
        <w:rPr>
          <w:rFonts w:hint="eastAsia" w:ascii="仿宋" w:hAnsi="仿宋" w:eastAsia="仿宋"/>
          <w:color w:val="auto"/>
          <w:sz w:val="32"/>
          <w:szCs w:val="32"/>
          <w:lang w:eastAsia="zh-CN"/>
        </w:rPr>
        <w:t>趁</w:t>
      </w:r>
      <w:r>
        <w:rPr>
          <w:rFonts w:hint="eastAsia" w:ascii="仿宋" w:hAnsi="仿宋" w:eastAsia="仿宋"/>
          <w:color w:val="auto"/>
          <w:sz w:val="32"/>
          <w:szCs w:val="32"/>
        </w:rPr>
        <w:t>上升趋势明显。</w:t>
      </w:r>
      <w:r>
        <w:rPr>
          <w:rFonts w:hint="eastAsia" w:ascii="仿宋" w:hAnsi="仿宋" w:eastAsia="仿宋"/>
          <w:color w:val="auto"/>
          <w:sz w:val="32"/>
          <w:szCs w:val="32"/>
          <w:lang w:eastAsia="zh-CN"/>
        </w:rPr>
        <w:t>二是疫情不间断的发生，必须加大信访宣传工作，让老百姓“不出门”也能上访。</w:t>
      </w: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237.49</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220.53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4.98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7.94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3.3</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4.05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1.7</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62" w:name="_Toc15377212"/>
      <w:bookmarkStart w:id="63" w:name="_Toc79163617"/>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237.49</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000000"/>
          <w:sz w:val="32"/>
          <w:szCs w:val="32"/>
        </w:rPr>
      </w:pPr>
      <w:r>
        <w:rPr>
          <w:rStyle w:val="21"/>
          <w:rFonts w:ascii="仿宋" w:hAnsi="仿宋" w:eastAsia="仿宋"/>
          <w:bCs/>
          <w:color w:val="000000"/>
          <w:sz w:val="32"/>
          <w:szCs w:val="32"/>
        </w:rPr>
        <w:t>1.</w:t>
      </w:r>
      <w:r>
        <w:rPr>
          <w:rStyle w:val="21"/>
          <w:rFonts w:hint="eastAsia" w:ascii="仿宋" w:hAnsi="仿宋" w:eastAsia="仿宋"/>
          <w:bCs/>
          <w:color w:val="000000"/>
          <w:sz w:val="32"/>
          <w:szCs w:val="32"/>
        </w:rPr>
        <w:t>一般公共服务</w:t>
      </w:r>
      <w:r>
        <w:rPr>
          <w:rStyle w:val="21"/>
          <w:rFonts w:hint="eastAsia" w:ascii="仿宋" w:hAnsi="仿宋" w:eastAsia="仿宋"/>
          <w:bCs/>
          <w:color w:val="000000"/>
          <w:sz w:val="32"/>
          <w:szCs w:val="32"/>
          <w:lang w:val="en-US" w:eastAsia="zh-CN"/>
        </w:rPr>
        <w:t>201</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03</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01</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220.53</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93</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2</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社会保障和就业</w:t>
      </w:r>
      <w:r>
        <w:rPr>
          <w:rStyle w:val="21"/>
          <w:rFonts w:hint="eastAsia" w:ascii="仿宋" w:hAnsi="仿宋" w:eastAsia="仿宋"/>
          <w:bCs/>
          <w:color w:val="000000"/>
          <w:sz w:val="32"/>
          <w:szCs w:val="32"/>
          <w:lang w:val="en-US" w:eastAsia="zh-CN"/>
        </w:rPr>
        <w:t>208</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05</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05</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4.98</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2</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Style w:val="21"/>
          <w:rFonts w:hint="eastAsia" w:ascii="仿宋" w:hAnsi="仿宋" w:eastAsia="仿宋"/>
          <w:b w:val="0"/>
          <w:bCs/>
          <w:color w:val="000000"/>
          <w:sz w:val="32"/>
          <w:szCs w:val="32"/>
        </w:rPr>
      </w:pPr>
      <w:r>
        <w:rPr>
          <w:rStyle w:val="21"/>
          <w:rFonts w:hint="eastAsia" w:ascii="仿宋" w:hAnsi="仿宋" w:eastAsia="仿宋"/>
          <w:bCs/>
          <w:color w:val="000000"/>
          <w:sz w:val="32"/>
          <w:szCs w:val="32"/>
          <w:lang w:val="en-US" w:eastAsia="zh-CN"/>
        </w:rPr>
        <w:t>3</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11</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01</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7.94</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3.3</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Style w:val="21"/>
          <w:rFonts w:hint="eastAsia" w:ascii="仿宋" w:hAnsi="仿宋" w:eastAsia="仿宋"/>
          <w:b w:val="0"/>
          <w:bCs/>
          <w:color w:val="000000"/>
          <w:sz w:val="32"/>
          <w:szCs w:val="32"/>
          <w:lang w:val="en-US" w:eastAsia="zh-CN"/>
        </w:rPr>
        <w:t>4.</w:t>
      </w:r>
      <w:r>
        <w:rPr>
          <w:rFonts w:hint="eastAsia" w:ascii="仿宋" w:hAnsi="仿宋" w:eastAsia="仿宋"/>
          <w:b/>
          <w:bCs/>
          <w:color w:val="000000"/>
          <w:sz w:val="32"/>
          <w:szCs w:val="32"/>
          <w:lang w:eastAsia="zh-CN"/>
        </w:rPr>
        <w:t>住房保障</w:t>
      </w:r>
      <w:r>
        <w:rPr>
          <w:rFonts w:hint="eastAsia" w:ascii="仿宋" w:hAnsi="仿宋" w:eastAsia="仿宋"/>
          <w:b/>
          <w:bCs/>
          <w:color w:val="000000"/>
          <w:sz w:val="32"/>
          <w:szCs w:val="32"/>
          <w:lang w:val="en-US" w:eastAsia="zh-CN"/>
        </w:rPr>
        <w:t>221</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02</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01</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4.05</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1.7</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tabs>
          <w:tab w:val="right" w:pos="8306"/>
        </w:tabs>
        <w:spacing w:line="600" w:lineRule="exact"/>
        <w:ind w:firstLine="640"/>
        <w:outlineLvl w:val="1"/>
        <w:rPr>
          <w:rStyle w:val="24"/>
        </w:rPr>
      </w:pPr>
      <w:bookmarkStart w:id="68" w:name="_Toc15396608"/>
      <w:bookmarkStart w:id="69" w:name="_Toc15377214"/>
      <w:bookmarkStart w:id="70" w:name="_Toc79163618"/>
      <w:bookmarkStart w:id="71"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128.96</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83.69</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45.27</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hAnsi="黑体" w:eastAsia="黑体"/>
          <w:b w:val="0"/>
        </w:rPr>
      </w:pPr>
      <w:bookmarkStart w:id="72" w:name="_Toc15396609"/>
      <w:bookmarkStart w:id="73" w:name="_Toc15377215"/>
      <w:bookmarkStart w:id="74" w:name="_Toc79163619"/>
      <w:bookmarkStart w:id="75" w:name="_Toc7916386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10.25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9.84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9.84</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9.84</w:t>
      </w:r>
      <w:r>
        <w:rPr>
          <w:rFonts w:hint="eastAsia" w:ascii="仿宋_GB2312" w:eastAsia="仿宋_GB2312"/>
          <w:color w:val="000000"/>
          <w:sz w:val="32"/>
          <w:szCs w:val="32"/>
        </w:rPr>
        <w:t>万元。主要用于所需的公务用车燃料费、维修费、过路过桥费、保险费等支出。</w:t>
      </w:r>
    </w:p>
    <w:p>
      <w:pPr>
        <w:spacing w:line="600" w:lineRule="exact"/>
        <w:ind w:firstLine="643" w:firstLineChars="200"/>
        <w:rPr>
          <w:rFonts w:ascii="仿宋_GB2312" w:eastAsia="仿宋_GB2312"/>
          <w:color w:val="0000FF"/>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0.41</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0.41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color w:val="auto"/>
          <w:sz w:val="32"/>
          <w:szCs w:val="32"/>
        </w:rPr>
        <w:t>主要变动原因</w:t>
      </w:r>
      <w:r>
        <w:rPr>
          <w:rFonts w:hint="eastAsia" w:ascii="仿宋" w:hAnsi="仿宋" w:eastAsia="仿宋"/>
          <w:color w:val="auto"/>
          <w:sz w:val="32"/>
          <w:szCs w:val="32"/>
          <w:lang w:eastAsia="zh-CN"/>
        </w:rPr>
        <w:t>：一</w:t>
      </w:r>
      <w:r>
        <w:rPr>
          <w:rFonts w:hint="eastAsia" w:ascii="仿宋" w:hAnsi="仿宋" w:eastAsia="仿宋"/>
          <w:color w:val="auto"/>
          <w:sz w:val="32"/>
          <w:szCs w:val="32"/>
        </w:rPr>
        <w:t>是</w:t>
      </w:r>
      <w:r>
        <w:rPr>
          <w:rFonts w:hint="eastAsia" w:ascii="仿宋" w:hAnsi="仿宋" w:eastAsia="仿宋"/>
          <w:color w:val="auto"/>
          <w:sz w:val="32"/>
          <w:szCs w:val="32"/>
          <w:lang w:eastAsia="zh-CN"/>
        </w:rPr>
        <w:t>我县在建工程比较多，如：绵九高速、若九路等项目修建过程中与老百姓发生矛盾，从而</w:t>
      </w:r>
      <w:r>
        <w:rPr>
          <w:rFonts w:hint="eastAsia" w:ascii="仿宋" w:hAnsi="仿宋" w:eastAsia="仿宋"/>
          <w:color w:val="auto"/>
          <w:sz w:val="32"/>
          <w:szCs w:val="32"/>
        </w:rPr>
        <w:t>信访工作形势更加严峻，信访量与去年相比</w:t>
      </w:r>
      <w:r>
        <w:rPr>
          <w:rFonts w:hint="eastAsia" w:ascii="仿宋" w:hAnsi="仿宋" w:eastAsia="仿宋"/>
          <w:color w:val="auto"/>
          <w:sz w:val="32"/>
          <w:szCs w:val="32"/>
          <w:lang w:eastAsia="zh-CN"/>
        </w:rPr>
        <w:t>趁</w:t>
      </w:r>
      <w:r>
        <w:rPr>
          <w:rFonts w:hint="eastAsia" w:ascii="仿宋" w:hAnsi="仿宋" w:eastAsia="仿宋"/>
          <w:color w:val="auto"/>
          <w:sz w:val="32"/>
          <w:szCs w:val="32"/>
        </w:rPr>
        <w:t>上升趋势明显。</w:t>
      </w:r>
      <w:r>
        <w:rPr>
          <w:rFonts w:hint="eastAsia" w:ascii="仿宋" w:hAnsi="仿宋" w:eastAsia="仿宋"/>
          <w:color w:val="auto"/>
          <w:sz w:val="32"/>
          <w:szCs w:val="32"/>
          <w:lang w:eastAsia="zh-CN"/>
        </w:rPr>
        <w:t>二是疫情不间断的发生，必须加大信访宣传工作，让老百姓“不出门”也能反映自己的诉求。</w:t>
      </w:r>
    </w:p>
    <w:p>
      <w:pPr>
        <w:spacing w:line="600" w:lineRule="exact"/>
        <w:ind w:firstLine="640"/>
        <w:outlineLvl w:val="1"/>
        <w:rPr>
          <w:rStyle w:val="24"/>
          <w:rFonts w:ascii="黑体" w:hAnsi="黑体" w:eastAsia="黑体"/>
        </w:rPr>
      </w:pPr>
      <w:bookmarkStart w:id="82" w:name="_Toc15396610"/>
      <w:bookmarkStart w:id="83" w:name="_Toc15377218"/>
      <w:bookmarkStart w:id="84" w:name="_Toc79163622"/>
      <w:bookmarkStart w:id="85" w:name="_Toc7916387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4"/>
          <w:rFonts w:ascii="黑体" w:hAnsi="黑体" w:eastAsia="黑体"/>
          <w:b w:val="0"/>
        </w:rPr>
      </w:pPr>
      <w:bookmarkStart w:id="86" w:name="_Toc15377219"/>
      <w:bookmarkStart w:id="87" w:name="_Toc15396611"/>
      <w:bookmarkStart w:id="88" w:name="_Toc79163623"/>
      <w:bookmarkStart w:id="89" w:name="_Toc79163873"/>
      <w:r>
        <w:rPr>
          <w:rStyle w:val="24"/>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hAnsi="黑体" w:eastAsia="黑体"/>
        </w:rPr>
      </w:pPr>
      <w:bookmarkStart w:id="90" w:name="_Toc15377221"/>
      <w:bookmarkStart w:id="91" w:name="_Toc79163624"/>
      <w:bookmarkStart w:id="92" w:name="_Toc79163874"/>
      <w:bookmarkStart w:id="93" w:name="_Toc15396612"/>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625"/>
      <w:bookmarkStart w:id="96" w:name="_Toc79163875"/>
      <w:r>
        <w:rPr>
          <w:rFonts w:hint="eastAsia" w:ascii="仿宋" w:hAnsi="仿宋" w:eastAsia="仿宋"/>
          <w:b/>
          <w:color w:val="000000"/>
          <w:sz w:val="32"/>
          <w:szCs w:val="32"/>
        </w:rPr>
        <w:t>（一）机关运行经费支出情况</w:t>
      </w:r>
      <w:bookmarkEnd w:id="94"/>
      <w:bookmarkEnd w:id="95"/>
      <w:bookmarkEnd w:id="96"/>
    </w:p>
    <w:p>
      <w:pPr>
        <w:shd w:val="clear"/>
        <w:spacing w:line="600" w:lineRule="exact"/>
        <w:ind w:firstLine="640" w:firstLineChars="200"/>
        <w:rPr>
          <w:rFonts w:ascii="仿宋" w:hAnsi="仿宋" w:eastAsia="仿宋"/>
          <w:color w:val="FF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群众工作局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45.27</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21.65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sz w:val="32"/>
          <w:szCs w:val="32"/>
        </w:rPr>
        <w:t>信访工作形势更加严峻，信访量与去年相比</w:t>
      </w:r>
      <w:r>
        <w:rPr>
          <w:rFonts w:hint="eastAsia" w:ascii="仿宋" w:hAnsi="仿宋" w:eastAsia="仿宋"/>
          <w:sz w:val="32"/>
          <w:szCs w:val="32"/>
          <w:lang w:eastAsia="zh-CN"/>
        </w:rPr>
        <w:t>趁</w:t>
      </w:r>
      <w:r>
        <w:rPr>
          <w:rFonts w:hint="eastAsia" w:ascii="仿宋" w:hAnsi="仿宋" w:eastAsia="仿宋"/>
          <w:sz w:val="32"/>
          <w:szCs w:val="32"/>
        </w:rPr>
        <w:t>上升趋势明显。</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79163626"/>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群众工作局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15377224"/>
      <w:bookmarkStart w:id="101" w:name="_Toc79163627"/>
      <w:bookmarkStart w:id="102" w:name="_Toc7916387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群众工作局</w:t>
      </w:r>
      <w:r>
        <w:rPr>
          <w:rFonts w:hint="eastAsia" w:ascii="仿宋_GB2312" w:eastAsia="仿宋_GB2312"/>
          <w:color w:val="000000"/>
          <w:sz w:val="32"/>
          <w:szCs w:val="32"/>
        </w:rPr>
        <w:t>共有</w:t>
      </w:r>
      <w:r>
        <w:rPr>
          <w:rFonts w:hint="eastAsia" w:ascii="仿宋_GB2312" w:eastAsia="仿宋_GB2312"/>
          <w:color w:val="000000"/>
          <w:sz w:val="32"/>
          <w:szCs w:val="32"/>
          <w:lang w:eastAsia="zh-CN"/>
        </w:rPr>
        <w:t>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p>
    <w:p>
      <w:pPr>
        <w:numPr>
          <w:ilvl w:val="0"/>
          <w:numId w:val="3"/>
        </w:numPr>
        <w:spacing w:line="600" w:lineRule="exact"/>
        <w:ind w:firstLine="660" w:firstLineChars="150"/>
        <w:jc w:val="center"/>
        <w:outlineLvl w:val="0"/>
        <w:rPr>
          <w:rStyle w:val="23"/>
          <w:rFonts w:ascii="黑体" w:hAnsi="黑体" w:eastAsia="黑体"/>
          <w:b w:val="0"/>
        </w:rPr>
      </w:pPr>
      <w:bookmarkStart w:id="103" w:name="_Toc15396613"/>
      <w:bookmarkStart w:id="104" w:name="_Toc15377225"/>
      <w:bookmarkStart w:id="105" w:name="_Toc79163629"/>
      <w:bookmarkStart w:id="106" w:name="_Toc79163879"/>
      <w:r>
        <w:rPr>
          <w:rFonts w:hint="eastAsia" w:ascii="黑体" w:hAnsi="黑体" w:eastAsia="黑体"/>
          <w:color w:val="000000"/>
          <w:sz w:val="44"/>
          <w:szCs w:val="44"/>
        </w:rPr>
        <w:t>名</w:t>
      </w:r>
      <w:r>
        <w:rPr>
          <w:rStyle w:val="23"/>
          <w:rFonts w:hint="eastAsia" w:ascii="黑体" w:hAnsi="黑体" w:eastAsia="黑体"/>
          <w:b w:val="0"/>
        </w:rPr>
        <w:t>词解释</w:t>
      </w:r>
      <w:bookmarkEnd w:id="103"/>
      <w:bookmarkEnd w:id="104"/>
      <w:bookmarkEnd w:id="105"/>
      <w:bookmarkEnd w:id="106"/>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hAnsi="黑体" w:eastAsia="黑体"/>
          <w:b w:val="0"/>
        </w:rPr>
      </w:pPr>
      <w:bookmarkStart w:id="107" w:name="_Toc15377226"/>
      <w:r>
        <w:rPr>
          <w:rFonts w:ascii="宋体"/>
          <w:b/>
          <w:color w:val="000000"/>
          <w:sz w:val="44"/>
          <w:szCs w:val="44"/>
        </w:rPr>
        <w:br w:type="page"/>
      </w:r>
      <w:bookmarkStart w:id="108" w:name="_Toc15396614"/>
      <w:bookmarkStart w:id="109" w:name="_Toc79163630"/>
      <w:bookmarkStart w:id="110" w:name="_Toc79163880"/>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08"/>
      <w:bookmarkEnd w:id="109"/>
      <w:bookmarkEnd w:id="110"/>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rPr>
      </w:pPr>
      <w:bookmarkStart w:id="111" w:name="_Toc79163632"/>
      <w:bookmarkStart w:id="112" w:name="_Toc79163882"/>
      <w:r>
        <w:rPr>
          <w:rFonts w:hint="eastAsia" w:ascii="方正小标宋简体" w:hAnsi="黑体" w:eastAsia="方正小标宋简体" w:cs="黑体"/>
          <w:sz w:val="44"/>
          <w:szCs w:val="44"/>
          <w:lang w:eastAsia="zh-CN"/>
        </w:rPr>
        <w:t>群众工作局</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评价报告</w:t>
      </w:r>
      <w:bookmarkEnd w:id="111"/>
      <w:bookmarkEnd w:id="112"/>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hd w:val="clea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hd w:val="clear"/>
        <w:ind w:firstLine="700" w:firstLineChars="250"/>
        <w:rPr>
          <w:rFonts w:ascii="仿宋_GB2312" w:hAnsi="仿宋_GB2312" w:eastAsia="仿宋_GB2312" w:cs="仿宋_GB2312"/>
          <w:bCs/>
          <w:sz w:val="28"/>
          <w:szCs w:val="28"/>
        </w:rPr>
      </w:pPr>
      <w:r>
        <w:rPr>
          <w:rFonts w:ascii="仿宋_GB2312" w:hAnsi="仿宋_GB2312" w:eastAsia="仿宋_GB2312" w:cs="仿宋_GB2312"/>
          <w:bCs/>
          <w:sz w:val="28"/>
          <w:szCs w:val="28"/>
        </w:rPr>
        <w:t>九寨沟县</w:t>
      </w:r>
      <w:r>
        <w:rPr>
          <w:rFonts w:hint="eastAsia" w:ascii="仿宋_GB2312" w:hAnsi="仿宋_GB2312" w:eastAsia="仿宋_GB2312" w:cs="仿宋_GB2312"/>
          <w:bCs/>
          <w:sz w:val="28"/>
          <w:szCs w:val="28"/>
        </w:rPr>
        <w:t>群众工作</w:t>
      </w:r>
      <w:r>
        <w:rPr>
          <w:rFonts w:ascii="仿宋_GB2312" w:hAnsi="仿宋_GB2312" w:eastAsia="仿宋_GB2312" w:cs="仿宋_GB2312"/>
          <w:bCs/>
          <w:sz w:val="28"/>
          <w:szCs w:val="28"/>
        </w:rPr>
        <w:t>局位于九寨沟县政务中心4号楼1楼，</w:t>
      </w:r>
      <w:r>
        <w:rPr>
          <w:rFonts w:hint="eastAsia" w:ascii="仿宋_GB2312" w:hAnsi="仿宋_GB2312" w:eastAsia="仿宋_GB2312" w:cs="仿宋_GB2312"/>
          <w:bCs/>
          <w:sz w:val="28"/>
          <w:szCs w:val="28"/>
        </w:rPr>
        <w:t>群众工作局执行行政单位会计制度，单位有公务员，事业人员和行政工勤人员，</w:t>
      </w:r>
      <w:r>
        <w:rPr>
          <w:rFonts w:hint="eastAsia" w:ascii="仿宋_GB2312" w:hAnsi="仿宋_GB2312" w:eastAsia="仿宋_GB2312" w:cs="仿宋_GB2312"/>
          <w:bCs/>
          <w:sz w:val="28"/>
          <w:szCs w:val="28"/>
          <w:lang w:val="en-US" w:eastAsia="zh-CN"/>
        </w:rPr>
        <w:t>2020</w:t>
      </w:r>
      <w:r>
        <w:rPr>
          <w:rFonts w:hint="eastAsia" w:ascii="仿宋_GB2312" w:hAnsi="仿宋_GB2312" w:eastAsia="仿宋_GB2312" w:cs="仿宋_GB2312"/>
          <w:bCs/>
          <w:sz w:val="28"/>
          <w:szCs w:val="28"/>
        </w:rPr>
        <w:t>年末单位编制数8人（其中公务员编制</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人，事业管理</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人，行政工勤1人），截止</w:t>
      </w:r>
      <w:r>
        <w:rPr>
          <w:rFonts w:hint="eastAsia" w:ascii="仿宋_GB2312" w:hAnsi="仿宋_GB2312" w:eastAsia="仿宋_GB2312" w:cs="仿宋_GB2312"/>
          <w:bCs/>
          <w:sz w:val="28"/>
          <w:szCs w:val="28"/>
          <w:lang w:val="en-US" w:eastAsia="zh-CN"/>
        </w:rPr>
        <w:t>2020</w:t>
      </w:r>
      <w:r>
        <w:rPr>
          <w:rFonts w:hint="eastAsia" w:ascii="仿宋_GB2312" w:hAnsi="仿宋_GB2312" w:eastAsia="仿宋_GB2312" w:cs="仿宋_GB2312"/>
          <w:bCs/>
          <w:sz w:val="28"/>
          <w:szCs w:val="28"/>
        </w:rPr>
        <w:t>年12月31日共有在职职工8人。</w:t>
      </w:r>
    </w:p>
    <w:p>
      <w:pPr>
        <w:shd w:val="clea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widowControl/>
        <w:adjustRightInd w:val="0"/>
        <w:snapToGrid w:val="0"/>
        <w:spacing w:line="580" w:lineRule="exact"/>
        <w:ind w:firstLine="560" w:firstLineChars="200"/>
        <w:contextualSpacing/>
        <w:jc w:val="left"/>
        <w:rPr>
          <w:rFonts w:ascii="黑体" w:hAnsi="宋体" w:eastAsia="黑体" w:cs="宋体"/>
          <w:color w:val="000000"/>
          <w:kern w:val="0"/>
          <w:sz w:val="32"/>
          <w:szCs w:val="32"/>
          <w:shd w:val="clear" w:color="auto" w:fill="FFFFFF"/>
        </w:rPr>
      </w:pPr>
      <w:r>
        <w:rPr>
          <w:rFonts w:hint="eastAsia" w:ascii="仿宋_GB2312" w:hAnsi="仿宋_GB2312" w:eastAsia="仿宋_GB2312" w:cs="仿宋_GB2312"/>
          <w:bCs/>
          <w:sz w:val="28"/>
          <w:szCs w:val="28"/>
          <w:lang w:val="en-US" w:eastAsia="zh-CN"/>
        </w:rPr>
        <w:t>2020</w:t>
      </w:r>
      <w:r>
        <w:rPr>
          <w:rFonts w:hint="eastAsia" w:ascii="仿宋_GB2312" w:hAnsi="仿宋_GB2312" w:eastAsia="仿宋_GB2312" w:cs="仿宋_GB2312"/>
          <w:bCs/>
          <w:sz w:val="28"/>
          <w:szCs w:val="28"/>
        </w:rPr>
        <w:t>年度</w:t>
      </w:r>
      <w:r>
        <w:rPr>
          <w:rFonts w:ascii="仿宋_GB2312" w:hAnsi="仿宋_GB2312" w:eastAsia="仿宋_GB2312" w:cs="仿宋_GB2312"/>
          <w:bCs/>
          <w:sz w:val="28"/>
          <w:szCs w:val="28"/>
        </w:rPr>
        <w:t>总支</w:t>
      </w:r>
      <w:r>
        <w:rPr>
          <w:rFonts w:hint="eastAsia" w:ascii="仿宋_GB2312" w:hAnsi="仿宋_GB2312" w:eastAsia="仿宋_GB2312" w:cs="仿宋_GB2312"/>
          <w:bCs/>
          <w:sz w:val="28"/>
          <w:szCs w:val="28"/>
        </w:rPr>
        <w:t>出</w:t>
      </w:r>
      <w:r>
        <w:rPr>
          <w:rFonts w:ascii="仿宋_GB2312" w:hAnsi="仿宋_GB2312" w:eastAsia="仿宋_GB2312" w:cs="仿宋_GB2312"/>
          <w:bCs/>
          <w:sz w:val="28"/>
          <w:szCs w:val="28"/>
        </w:rPr>
        <w:t>金额</w:t>
      </w:r>
      <w:r>
        <w:rPr>
          <w:rFonts w:hint="eastAsia" w:ascii="仿宋_GB2312" w:hAnsi="仿宋_GB2312" w:eastAsia="仿宋_GB2312" w:cs="仿宋_GB2312"/>
          <w:bCs/>
          <w:sz w:val="28"/>
          <w:szCs w:val="28"/>
          <w:lang w:val="en-US" w:eastAsia="zh-CN"/>
        </w:rPr>
        <w:t>237.49</w:t>
      </w:r>
      <w:r>
        <w:rPr>
          <w:rFonts w:hint="eastAsia" w:ascii="仿宋_GB2312" w:hAnsi="仿宋_GB2312" w:eastAsia="仿宋_GB2312" w:cs="仿宋_GB2312"/>
          <w:bCs/>
          <w:sz w:val="28"/>
          <w:szCs w:val="28"/>
        </w:rPr>
        <w:t>万</w:t>
      </w:r>
      <w:r>
        <w:rPr>
          <w:rFonts w:ascii="仿宋_GB2312" w:hAnsi="仿宋_GB2312" w:eastAsia="仿宋_GB2312" w:cs="仿宋_GB2312"/>
          <w:bCs/>
          <w:sz w:val="28"/>
          <w:szCs w:val="28"/>
        </w:rPr>
        <w:t>元。</w:t>
      </w:r>
      <w:r>
        <w:rPr>
          <w:rFonts w:hint="eastAsia" w:ascii="仿宋_GB2312" w:hAnsi="仿宋_GB2312" w:eastAsia="仿宋_GB2312" w:cs="仿宋_GB2312"/>
          <w:bCs/>
          <w:sz w:val="28"/>
          <w:szCs w:val="28"/>
        </w:rPr>
        <w:t>其中</w:t>
      </w:r>
      <w:r>
        <w:rPr>
          <w:rFonts w:ascii="仿宋_GB2312" w:hAnsi="仿宋_GB2312" w:eastAsia="仿宋_GB2312" w:cs="仿宋_GB2312"/>
          <w:bCs/>
          <w:sz w:val="28"/>
          <w:szCs w:val="28"/>
        </w:rPr>
        <w:t>行政运行经费</w:t>
      </w:r>
      <w:r>
        <w:rPr>
          <w:rFonts w:hint="eastAsia" w:ascii="仿宋_GB2312" w:hAnsi="仿宋_GB2312" w:eastAsia="仿宋_GB2312" w:cs="仿宋_GB2312"/>
          <w:bCs/>
          <w:sz w:val="28"/>
          <w:szCs w:val="28"/>
          <w:lang w:val="en-US" w:eastAsia="zh-CN"/>
        </w:rPr>
        <w:t>237.49</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一般公共服务支出</w:t>
      </w:r>
      <w:r>
        <w:rPr>
          <w:rFonts w:hint="eastAsia" w:ascii="仿宋_GB2312" w:hAnsi="仿宋_GB2312" w:eastAsia="仿宋_GB2312" w:cs="仿宋_GB2312"/>
          <w:bCs/>
          <w:sz w:val="28"/>
          <w:szCs w:val="28"/>
          <w:lang w:val="en-US" w:eastAsia="zh-CN"/>
        </w:rPr>
        <w:t>220.53</w:t>
      </w:r>
      <w:r>
        <w:rPr>
          <w:rFonts w:hint="eastAsia" w:ascii="仿宋_GB2312" w:hAnsi="仿宋_GB2312" w:eastAsia="仿宋_GB2312" w:cs="仿宋_GB2312"/>
          <w:bCs/>
          <w:sz w:val="28"/>
          <w:szCs w:val="28"/>
        </w:rPr>
        <w:t>万元，</w:t>
      </w:r>
      <w:r>
        <w:rPr>
          <w:rFonts w:ascii="仿宋_GB2312" w:hAnsi="仿宋_GB2312" w:eastAsia="仿宋_GB2312" w:cs="仿宋_GB2312"/>
          <w:bCs/>
          <w:sz w:val="28"/>
          <w:szCs w:val="28"/>
        </w:rPr>
        <w:t>社会保障和就业支出</w:t>
      </w:r>
      <w:r>
        <w:rPr>
          <w:rFonts w:hint="eastAsia" w:ascii="仿宋_GB2312" w:hAnsi="仿宋_GB2312" w:eastAsia="仿宋_GB2312" w:cs="仿宋_GB2312"/>
          <w:bCs/>
          <w:sz w:val="28"/>
          <w:szCs w:val="28"/>
          <w:lang w:val="en-US" w:eastAsia="zh-CN"/>
        </w:rPr>
        <w:t>4.98</w:t>
      </w:r>
      <w:r>
        <w:rPr>
          <w:rFonts w:ascii="仿宋_GB2312" w:hAnsi="仿宋_GB2312" w:eastAsia="仿宋_GB2312" w:cs="仿宋_GB2312"/>
          <w:bCs/>
          <w:sz w:val="28"/>
          <w:szCs w:val="28"/>
        </w:rPr>
        <w:t>万元，医疗卫生与计划生育支出</w:t>
      </w:r>
      <w:r>
        <w:rPr>
          <w:rFonts w:hint="eastAsia" w:ascii="仿宋_GB2312" w:hAnsi="仿宋_GB2312" w:eastAsia="仿宋_GB2312" w:cs="仿宋_GB2312"/>
          <w:bCs/>
          <w:sz w:val="28"/>
          <w:szCs w:val="28"/>
          <w:lang w:val="en-US" w:eastAsia="zh-CN"/>
        </w:rPr>
        <w:t>7.94</w:t>
      </w:r>
      <w:r>
        <w:rPr>
          <w:rFonts w:ascii="仿宋_GB2312" w:hAnsi="仿宋_GB2312" w:eastAsia="仿宋_GB2312" w:cs="仿宋_GB2312"/>
          <w:bCs/>
          <w:sz w:val="28"/>
          <w:szCs w:val="28"/>
        </w:rPr>
        <w:t>万元，住房保障支出</w:t>
      </w:r>
      <w:r>
        <w:rPr>
          <w:rFonts w:hint="eastAsia" w:ascii="仿宋_GB2312" w:hAnsi="仿宋_GB2312" w:eastAsia="仿宋_GB2312" w:cs="仿宋_GB2312"/>
          <w:bCs/>
          <w:sz w:val="28"/>
          <w:szCs w:val="28"/>
          <w:lang w:val="en-US" w:eastAsia="zh-CN"/>
        </w:rPr>
        <w:t>4.05</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br w:type="textWrapping"/>
      </w:r>
      <w:r>
        <w:rPr>
          <w:rFonts w:hint="eastAsia" w:ascii="仿宋_GB2312" w:hAnsi="仿宋_GB2312" w:eastAsia="仿宋_GB2312" w:cs="仿宋_GB2312"/>
          <w:bCs/>
          <w:sz w:val="28"/>
          <w:szCs w:val="28"/>
          <w:lang w:val="en-US" w:eastAsia="zh-CN"/>
        </w:rPr>
        <w:t xml:space="preserve">     </w:t>
      </w:r>
      <w:r>
        <w:rPr>
          <w:rFonts w:hint="eastAsia" w:ascii="黑体" w:hAnsi="宋体" w:eastAsia="黑体" w:cs="宋体"/>
          <w:color w:val="000000"/>
          <w:kern w:val="0"/>
          <w:sz w:val="32"/>
          <w:szCs w:val="32"/>
          <w:shd w:val="clear" w:color="auto" w:fill="FFFFFF"/>
        </w:rPr>
        <w:t>二、部门财政资金收支情况</w:t>
      </w:r>
    </w:p>
    <w:p>
      <w:pPr>
        <w:widowControl/>
        <w:numPr>
          <w:ilvl w:val="0"/>
          <w:numId w:val="4"/>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部门财政资金收入情况。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130.96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130.96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val="en-US" w:eastAsia="zh-CN"/>
        </w:rPr>
        <w:t>2020</w:t>
      </w:r>
      <w:r>
        <w:rPr>
          <w:rFonts w:hint="eastAsia" w:ascii="仿宋_GB2312" w:hAnsi="仿宋_GB2312" w:eastAsia="仿宋_GB2312" w:cs="仿宋_GB2312"/>
          <w:bCs/>
          <w:sz w:val="28"/>
          <w:szCs w:val="28"/>
        </w:rPr>
        <w:t>年支出明细</w:t>
      </w:r>
      <w:r>
        <w:rPr>
          <w:rFonts w:hint="eastAsia" w:ascii="仿宋_GB2312" w:hAnsi="仿宋_GB2312" w:eastAsia="仿宋_GB2312" w:cs="仿宋_GB2312"/>
          <w:bCs/>
          <w:sz w:val="28"/>
          <w:szCs w:val="28"/>
        </w:rPr>
        <w:br w:type="textWrapping"/>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2020</w:t>
      </w:r>
      <w:r>
        <w:rPr>
          <w:rFonts w:hint="eastAsia" w:ascii="仿宋_GB2312" w:hAnsi="仿宋_GB2312" w:eastAsia="仿宋_GB2312" w:cs="仿宋_GB2312"/>
          <w:bCs/>
          <w:sz w:val="28"/>
          <w:szCs w:val="28"/>
        </w:rPr>
        <w:t>年工资福利支出</w:t>
      </w:r>
      <w:r>
        <w:rPr>
          <w:rFonts w:hint="eastAsia" w:ascii="仿宋_GB2312" w:hAnsi="仿宋_GB2312" w:eastAsia="仿宋_GB2312" w:cs="仿宋_GB2312"/>
          <w:bCs/>
          <w:sz w:val="28"/>
          <w:szCs w:val="28"/>
          <w:lang w:val="en-US" w:eastAsia="zh-CN"/>
        </w:rPr>
        <w:t>61.13</w:t>
      </w:r>
      <w:r>
        <w:rPr>
          <w:rFonts w:hint="eastAsia" w:ascii="仿宋_GB2312" w:hAnsi="仿宋_GB2312" w:eastAsia="仿宋_GB2312" w:cs="仿宋_GB2312"/>
          <w:bCs/>
          <w:sz w:val="28"/>
          <w:szCs w:val="28"/>
        </w:rPr>
        <w:t>万元，商品和服务支出</w:t>
      </w:r>
      <w:r>
        <w:rPr>
          <w:rFonts w:hint="eastAsia" w:ascii="仿宋_GB2312" w:hAnsi="仿宋_GB2312" w:eastAsia="仿宋_GB2312" w:cs="仿宋_GB2312"/>
          <w:bCs/>
          <w:sz w:val="28"/>
          <w:szCs w:val="28"/>
          <w:lang w:val="en-US" w:eastAsia="zh-CN"/>
        </w:rPr>
        <w:t>45.27</w:t>
      </w:r>
      <w:r>
        <w:rPr>
          <w:rFonts w:hint="eastAsia" w:ascii="仿宋_GB2312" w:hAnsi="仿宋_GB2312" w:eastAsia="仿宋_GB2312" w:cs="仿宋_GB2312"/>
          <w:bCs/>
          <w:sz w:val="28"/>
          <w:szCs w:val="28"/>
        </w:rPr>
        <w:t>万元，对个人和家庭的补助</w:t>
      </w:r>
      <w:r>
        <w:rPr>
          <w:rFonts w:hint="eastAsia" w:ascii="仿宋_GB2312" w:hAnsi="仿宋_GB2312" w:eastAsia="仿宋_GB2312" w:cs="仿宋_GB2312"/>
          <w:bCs/>
          <w:sz w:val="28"/>
          <w:szCs w:val="28"/>
          <w:lang w:val="en-US" w:eastAsia="zh-CN"/>
        </w:rPr>
        <w:t>131.09</w:t>
      </w:r>
      <w:r>
        <w:rPr>
          <w:rFonts w:hint="eastAsia" w:ascii="仿宋_GB2312" w:hAnsi="仿宋_GB2312" w:eastAsia="仿宋_GB2312" w:cs="仿宋_GB2312"/>
          <w:bCs/>
          <w:sz w:val="28"/>
          <w:szCs w:val="28"/>
        </w:rPr>
        <w:t>万元。  基本支出：</w:t>
      </w:r>
      <w:r>
        <w:rPr>
          <w:rFonts w:hint="eastAsia" w:ascii="仿宋_GB2312" w:hAnsi="仿宋_GB2312" w:eastAsia="仿宋_GB2312" w:cs="仿宋_GB2312"/>
          <w:bCs/>
          <w:sz w:val="28"/>
          <w:szCs w:val="28"/>
          <w:lang w:val="en-US" w:eastAsia="zh-CN"/>
        </w:rPr>
        <w:t>2020</w:t>
      </w:r>
      <w:r>
        <w:rPr>
          <w:rFonts w:hint="eastAsia" w:ascii="仿宋_GB2312" w:hAnsi="仿宋_GB2312" w:eastAsia="仿宋_GB2312" w:cs="仿宋_GB2312"/>
          <w:bCs/>
          <w:sz w:val="28"/>
          <w:szCs w:val="28"/>
        </w:rPr>
        <w:t>年单位基本支出</w:t>
      </w:r>
      <w:r>
        <w:rPr>
          <w:rFonts w:hint="eastAsia" w:ascii="仿宋_GB2312" w:hAnsi="仿宋_GB2312" w:eastAsia="仿宋_GB2312" w:cs="仿宋_GB2312"/>
          <w:bCs/>
          <w:sz w:val="28"/>
          <w:szCs w:val="28"/>
          <w:lang w:val="en-US" w:eastAsia="zh-CN"/>
        </w:rPr>
        <w:t>128.96</w:t>
      </w:r>
      <w:r>
        <w:rPr>
          <w:rFonts w:hint="eastAsia" w:ascii="仿宋_GB2312" w:hAnsi="仿宋_GB2312" w:eastAsia="仿宋_GB2312" w:cs="仿宋_GB2312"/>
          <w:bCs/>
          <w:sz w:val="28"/>
          <w:szCs w:val="28"/>
        </w:rPr>
        <w:t>万元，其中人员经费支出</w:t>
      </w:r>
      <w:r>
        <w:rPr>
          <w:rFonts w:hint="eastAsia" w:ascii="仿宋_GB2312" w:hAnsi="仿宋_GB2312" w:eastAsia="仿宋_GB2312" w:cs="仿宋_GB2312"/>
          <w:bCs/>
          <w:sz w:val="28"/>
          <w:szCs w:val="28"/>
          <w:lang w:val="en-US" w:eastAsia="zh-CN"/>
        </w:rPr>
        <w:t>83.69</w:t>
      </w:r>
      <w:r>
        <w:rPr>
          <w:rFonts w:hint="eastAsia" w:ascii="仿宋_GB2312" w:hAnsi="仿宋_GB2312" w:eastAsia="仿宋_GB2312" w:cs="仿宋_GB2312"/>
          <w:bCs/>
          <w:sz w:val="28"/>
          <w:szCs w:val="28"/>
        </w:rPr>
        <w:t>，日常公用经费支出</w:t>
      </w:r>
      <w:r>
        <w:rPr>
          <w:rFonts w:hint="eastAsia" w:ascii="仿宋_GB2312" w:hAnsi="仿宋_GB2312" w:eastAsia="仿宋_GB2312" w:cs="仿宋_GB2312"/>
          <w:bCs/>
          <w:sz w:val="28"/>
          <w:szCs w:val="28"/>
          <w:lang w:val="en-US" w:eastAsia="zh-CN"/>
        </w:rPr>
        <w:t>45.27</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rPr>
        <w:br w:type="textWrapping"/>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2、专项资金管理情况分析</w:t>
      </w:r>
    </w:p>
    <w:p>
      <w:pPr>
        <w:widowControl/>
        <w:adjustRightInd w:val="0"/>
        <w:snapToGrid w:val="0"/>
        <w:spacing w:line="580" w:lineRule="exact"/>
        <w:ind w:firstLine="56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Cs/>
          <w:sz w:val="28"/>
          <w:szCs w:val="28"/>
        </w:rPr>
        <w:t>专项</w:t>
      </w:r>
      <w:r>
        <w:rPr>
          <w:rFonts w:ascii="仿宋_GB2312" w:hAnsi="仿宋_GB2312" w:eastAsia="仿宋_GB2312" w:cs="仿宋_GB2312"/>
          <w:bCs/>
          <w:sz w:val="28"/>
          <w:szCs w:val="28"/>
        </w:rPr>
        <w:t>经费按照项目实施进度安排，</w:t>
      </w:r>
      <w:r>
        <w:rPr>
          <w:rFonts w:hint="eastAsia" w:ascii="仿宋_GB2312" w:hAnsi="仿宋_GB2312" w:eastAsia="仿宋_GB2312" w:cs="仿宋_GB2312"/>
          <w:bCs/>
          <w:sz w:val="28"/>
          <w:szCs w:val="28"/>
        </w:rPr>
        <w:t>按照资金使用性质和用途，</w:t>
      </w:r>
      <w:r>
        <w:rPr>
          <w:rFonts w:ascii="仿宋_GB2312" w:hAnsi="仿宋_GB2312" w:eastAsia="仿宋_GB2312" w:cs="仿宋_GB2312"/>
          <w:bCs/>
          <w:sz w:val="28"/>
          <w:szCs w:val="28"/>
        </w:rPr>
        <w:t>按时足额到位。未出现截留、挤占、挪用等</w:t>
      </w:r>
      <w:r>
        <w:rPr>
          <w:rFonts w:hint="eastAsia" w:ascii="仿宋_GB2312" w:hAnsi="仿宋_GB2312" w:eastAsia="仿宋_GB2312" w:cs="仿宋_GB2312"/>
          <w:bCs/>
          <w:sz w:val="28"/>
          <w:szCs w:val="28"/>
        </w:rPr>
        <w:t>，严格遵守财经制度，实行专款专用。经费到达后，我局严格按项目计划和规定用途专款专用;建立健全会计核算制度，专项核算专项资金的使用情况。保证</w:t>
      </w:r>
      <w:r>
        <w:rPr>
          <w:rFonts w:ascii="仿宋_GB2312" w:hAnsi="仿宋_GB2312" w:eastAsia="仿宋_GB2312" w:cs="仿宋_GB2312"/>
          <w:bCs/>
          <w:sz w:val="28"/>
          <w:szCs w:val="28"/>
        </w:rPr>
        <w:t>了专项资金的使用安全。</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2020</w:t>
      </w:r>
      <w:r>
        <w:rPr>
          <w:rFonts w:hint="eastAsia" w:ascii="仿宋_GB2312" w:hAnsi="仿宋_GB2312" w:eastAsia="仿宋_GB2312" w:cs="仿宋_GB2312"/>
          <w:bCs/>
          <w:sz w:val="28"/>
          <w:szCs w:val="28"/>
        </w:rPr>
        <w:t>年度我局对专项工作高度重视，与全局中心工作同安排，同实施，做到每项工作有专人负责实施和督促完成。</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专项管理按照相关责任制度落实到人，资金方面严格按照财经制度和程序办理。保证了专项工作顺利实施和完成。</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从整体情况来看，我局严格按照年初预算进行部门整体支出。在支出过程中，能严格遵守各项规章制度，“三公经费”从严管理，认真执行财经制度。所有项目都详细制定了方案，严格按方案组织实施，并加强了监督。尤其是在专项经费支出上，按项目实施计划的进度情况进行资金拨付，无截留、无挪用等现象。我局一直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pPr>
        <w:widowControl/>
        <w:adjustRightInd w:val="0"/>
        <w:snapToGrid w:val="0"/>
        <w:spacing w:line="580" w:lineRule="exact"/>
        <w:ind w:firstLine="56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Cs/>
          <w:sz w:val="28"/>
          <w:szCs w:val="28"/>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三公”经费较好地控制在预算范围之内。</w:t>
      </w:r>
    </w:p>
    <w:p>
      <w:pPr>
        <w:widowControl/>
        <w:numPr>
          <w:ilvl w:val="0"/>
          <w:numId w:val="0"/>
        </w:numPr>
        <w:adjustRightInd w:val="0"/>
        <w:snapToGrid w:val="0"/>
        <w:spacing w:line="580" w:lineRule="exact"/>
        <w:ind w:firstLine="320" w:firstLineChars="1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1、资金使用计划需进一步细化。</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2、财政预算资金到位有点迟缓，各项目经费支付不能及时到位。</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lang w:val="zh-CN"/>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、财务人员专业技能还需进一步提升。</w:t>
      </w:r>
    </w:p>
    <w:p>
      <w:pPr>
        <w:widowControl/>
        <w:numPr>
          <w:ilvl w:val="0"/>
          <w:numId w:val="0"/>
        </w:numPr>
        <w:adjustRightInd w:val="0"/>
        <w:snapToGrid w:val="0"/>
        <w:spacing w:line="580" w:lineRule="exact"/>
        <w:ind w:firstLine="320" w:firstLineChars="1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1、进一步细化预算编制工作，认真做好预算的编制。进一步加强单位内部机构各股室的预算管理意识，严格按照预算编制的相关制度和要求进行预算编制。</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pPr>
        <w:widowControl/>
        <w:adjustRightInd w:val="0"/>
        <w:snapToGrid w:val="0"/>
        <w:spacing w:line="580" w:lineRule="exact"/>
        <w:ind w:firstLine="560" w:firstLineChars="200"/>
        <w:contextualSpacing/>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建议对相关人员加强培训，特别是针对《预算法》、《行政事业单位会计制度》等学习培训，规范部门预算收支核算，切实提高部门预算收支管理水平。</w:t>
      </w:r>
    </w:p>
    <w:p>
      <w:pPr>
        <w:widowControl/>
        <w:numPr>
          <w:ilvl w:val="0"/>
          <w:numId w:val="0"/>
        </w:numPr>
        <w:adjustRightInd w:val="0"/>
        <w:snapToGrid w:val="0"/>
        <w:spacing w:line="580" w:lineRule="exact"/>
        <w:contextualSpacing/>
        <w:jc w:val="left"/>
        <w:rPr>
          <w:rFonts w:hint="eastAsia"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hint="eastAsia" w:ascii="黑体" w:hAnsi="黑体" w:eastAsia="黑体" w:cs="黑体"/>
          <w:sz w:val="32"/>
          <w:szCs w:val="32"/>
        </w:rPr>
      </w:pPr>
      <w:bookmarkStart w:id="113" w:name="_Toc79163633"/>
      <w:bookmarkStart w:id="114" w:name="_Toc79163883"/>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bookmarkEnd w:id="113"/>
    <w:bookmarkEnd w:id="114"/>
    <w:p>
      <w:pPr>
        <w:spacing w:line="600" w:lineRule="exact"/>
        <w:jc w:val="center"/>
        <w:outlineLvl w:val="0"/>
        <w:rPr>
          <w:rStyle w:val="23"/>
          <w:rFonts w:ascii="黑体" w:hAnsi="黑体" w:eastAsia="黑体"/>
          <w:b w:val="0"/>
        </w:rPr>
      </w:pPr>
      <w:bookmarkStart w:id="115" w:name="_Toc15396618"/>
      <w:bookmarkStart w:id="116" w:name="_Toc79163635"/>
      <w:bookmarkStart w:id="117" w:name="_Toc79163885"/>
      <w:r>
        <w:rPr>
          <w:rFonts w:hint="eastAsia" w:ascii="黑体" w:hAnsi="黑体" w:eastAsia="黑体"/>
          <w:color w:val="000000"/>
          <w:sz w:val="44"/>
          <w:szCs w:val="44"/>
        </w:rPr>
        <w:t>第</w:t>
      </w:r>
      <w:r>
        <w:rPr>
          <w:rFonts w:hint="eastAsia" w:ascii="黑体" w:hAnsi="黑体" w:eastAsia="黑体"/>
          <w:color w:val="000000"/>
          <w:sz w:val="44"/>
          <w:szCs w:val="44"/>
          <w:lang w:eastAsia="zh-CN"/>
        </w:rPr>
        <w:t>五</w:t>
      </w:r>
      <w:r>
        <w:rPr>
          <w:rStyle w:val="23"/>
          <w:rFonts w:hint="eastAsia" w:ascii="黑体" w:hAnsi="黑体" w:eastAsia="黑体"/>
          <w:b w:val="0"/>
        </w:rPr>
        <w:t>部分</w:t>
      </w:r>
      <w:r>
        <w:rPr>
          <w:rStyle w:val="23"/>
          <w:rFonts w:ascii="黑体" w:hAnsi="黑体" w:eastAsia="黑体"/>
          <w:b w:val="0"/>
        </w:rPr>
        <w:t xml:space="preserve"> </w:t>
      </w:r>
      <w:r>
        <w:rPr>
          <w:rStyle w:val="23"/>
          <w:rFonts w:hint="eastAsia" w:ascii="黑体" w:hAnsi="黑体" w:eastAsia="黑体"/>
          <w:b w:val="0"/>
        </w:rPr>
        <w:t>附表</w:t>
      </w:r>
      <w:bookmarkEnd w:id="107"/>
      <w:bookmarkEnd w:id="115"/>
      <w:bookmarkEnd w:id="116"/>
      <w:bookmarkEnd w:id="117"/>
    </w:p>
    <w:p>
      <w:pPr>
        <w:pStyle w:val="3"/>
        <w:rPr>
          <w:rFonts w:ascii="仿宋" w:hAnsi="仿宋" w:eastAsia="仿宋"/>
          <w:color w:val="000000"/>
        </w:rPr>
      </w:pPr>
      <w:bookmarkStart w:id="118" w:name="_Toc15396619"/>
      <w:bookmarkStart w:id="119" w:name="_Toc79163636"/>
      <w:bookmarkStart w:id="120" w:name="_Toc79163886"/>
      <w:r>
        <w:rPr>
          <w:rFonts w:hint="eastAsia" w:ascii="仿宋" w:hAnsi="仿宋" w:eastAsia="仿宋"/>
          <w:b w:val="0"/>
          <w:color w:val="000000"/>
        </w:rPr>
        <w:t>一、收</w:t>
      </w:r>
      <w:r>
        <w:rPr>
          <w:rStyle w:val="24"/>
          <w:rFonts w:hint="eastAsia" w:ascii="仿宋" w:hAnsi="仿宋" w:eastAsia="仿宋"/>
          <w:b w:val="0"/>
          <w:bCs w:val="0"/>
        </w:rPr>
        <w:t>入支出决算总表</w:t>
      </w:r>
      <w:bookmarkEnd w:id="118"/>
      <w:bookmarkEnd w:id="119"/>
      <w:bookmarkEnd w:id="120"/>
    </w:p>
    <w:p>
      <w:pPr>
        <w:pStyle w:val="3"/>
        <w:rPr>
          <w:rFonts w:ascii="仿宋" w:hAnsi="仿宋" w:eastAsia="仿宋"/>
          <w:color w:val="000000"/>
        </w:rPr>
      </w:pPr>
      <w:bookmarkStart w:id="121" w:name="_Toc15396620"/>
      <w:bookmarkStart w:id="122" w:name="_Toc79163637"/>
      <w:bookmarkStart w:id="123" w:name="_Toc79163887"/>
      <w:r>
        <w:rPr>
          <w:rFonts w:hint="eastAsia" w:ascii="仿宋" w:hAnsi="仿宋" w:eastAsia="仿宋"/>
          <w:b w:val="0"/>
          <w:color w:val="000000"/>
        </w:rPr>
        <w:t>二、收</w:t>
      </w:r>
      <w:r>
        <w:rPr>
          <w:rStyle w:val="24"/>
          <w:rFonts w:hint="eastAsia" w:ascii="仿宋" w:hAnsi="仿宋" w:eastAsia="仿宋"/>
          <w:b w:val="0"/>
          <w:bCs w:val="0"/>
        </w:rPr>
        <w:t>入决算表</w:t>
      </w:r>
      <w:bookmarkEnd w:id="121"/>
      <w:bookmarkEnd w:id="122"/>
      <w:bookmarkEnd w:id="123"/>
    </w:p>
    <w:p>
      <w:pPr>
        <w:pStyle w:val="3"/>
        <w:rPr>
          <w:rFonts w:ascii="仿宋" w:hAnsi="仿宋" w:eastAsia="仿宋"/>
          <w:color w:val="000000"/>
        </w:rPr>
      </w:pPr>
      <w:bookmarkStart w:id="124" w:name="_Toc15396621"/>
      <w:bookmarkStart w:id="125" w:name="_Toc79163638"/>
      <w:bookmarkStart w:id="126" w:name="_Toc7916388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4"/>
      <w:bookmarkEnd w:id="125"/>
      <w:bookmarkEnd w:id="126"/>
    </w:p>
    <w:p>
      <w:pPr>
        <w:pStyle w:val="3"/>
        <w:rPr>
          <w:rFonts w:ascii="仿宋" w:hAnsi="仿宋" w:eastAsia="仿宋"/>
          <w:b w:val="0"/>
          <w:color w:val="000000"/>
        </w:rPr>
      </w:pPr>
      <w:bookmarkStart w:id="127" w:name="_Toc15396622"/>
      <w:bookmarkStart w:id="128" w:name="_Toc79163639"/>
      <w:bookmarkStart w:id="129" w:name="_Toc7916388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27"/>
      <w:bookmarkEnd w:id="128"/>
      <w:bookmarkEnd w:id="129"/>
    </w:p>
    <w:p>
      <w:pPr>
        <w:pStyle w:val="3"/>
        <w:rPr>
          <w:rStyle w:val="24"/>
          <w:rFonts w:ascii="仿宋" w:hAnsi="仿宋" w:eastAsia="仿宋"/>
          <w:b w:val="0"/>
          <w:bCs w:val="0"/>
        </w:rPr>
      </w:pPr>
      <w:bookmarkStart w:id="130" w:name="_Toc15396623"/>
      <w:bookmarkStart w:id="131" w:name="_Toc79163640"/>
      <w:bookmarkStart w:id="132"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0"/>
      <w:bookmarkEnd w:id="131"/>
      <w:bookmarkEnd w:id="132"/>
      <w:bookmarkStart w:id="133" w:name="_Toc15396624"/>
    </w:p>
    <w:p>
      <w:pPr>
        <w:pStyle w:val="3"/>
        <w:rPr>
          <w:rFonts w:ascii="仿宋" w:hAnsi="仿宋" w:eastAsia="仿宋"/>
          <w:color w:val="000000"/>
        </w:rPr>
      </w:pPr>
      <w:bookmarkStart w:id="134" w:name="_Toc79163641"/>
      <w:bookmarkStart w:id="135"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3"/>
      <w:bookmarkEnd w:id="134"/>
      <w:bookmarkEnd w:id="135"/>
    </w:p>
    <w:p>
      <w:pPr>
        <w:pStyle w:val="3"/>
        <w:rPr>
          <w:rFonts w:ascii="仿宋" w:hAnsi="仿宋" w:eastAsia="仿宋"/>
          <w:color w:val="000000"/>
        </w:rPr>
      </w:pPr>
      <w:bookmarkStart w:id="136" w:name="_Toc15396625"/>
      <w:bookmarkStart w:id="137" w:name="_Toc79163642"/>
      <w:bookmarkStart w:id="138" w:name="_Toc7916389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6"/>
      <w:bookmarkEnd w:id="137"/>
      <w:bookmarkEnd w:id="138"/>
    </w:p>
    <w:p>
      <w:pPr>
        <w:pStyle w:val="3"/>
        <w:rPr>
          <w:rFonts w:ascii="仿宋" w:hAnsi="仿宋" w:eastAsia="仿宋"/>
          <w:color w:val="000000"/>
        </w:rPr>
      </w:pPr>
      <w:bookmarkStart w:id="139" w:name="_Toc15396626"/>
      <w:bookmarkStart w:id="140" w:name="_Toc79163643"/>
      <w:bookmarkStart w:id="141" w:name="_Toc7916389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39"/>
      <w:bookmarkEnd w:id="140"/>
      <w:bookmarkEnd w:id="141"/>
    </w:p>
    <w:p>
      <w:pPr>
        <w:pStyle w:val="3"/>
        <w:rPr>
          <w:rFonts w:ascii="仿宋" w:hAnsi="仿宋" w:eastAsia="仿宋"/>
          <w:color w:val="000000"/>
        </w:rPr>
      </w:pPr>
      <w:bookmarkStart w:id="142" w:name="_Toc15396627"/>
      <w:bookmarkStart w:id="143" w:name="_Toc79163644"/>
      <w:bookmarkStart w:id="144" w:name="_Toc7916389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2"/>
      <w:bookmarkEnd w:id="143"/>
      <w:bookmarkEnd w:id="144"/>
    </w:p>
    <w:p>
      <w:pPr>
        <w:pStyle w:val="3"/>
        <w:rPr>
          <w:rFonts w:ascii="仿宋" w:hAnsi="仿宋" w:eastAsia="仿宋"/>
          <w:color w:val="000000"/>
        </w:rPr>
      </w:pPr>
      <w:bookmarkStart w:id="145" w:name="_Toc15396628"/>
      <w:bookmarkStart w:id="146" w:name="_Toc79163645"/>
      <w:bookmarkStart w:id="147" w:name="_Toc7916389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5"/>
      <w:bookmarkEnd w:id="146"/>
      <w:bookmarkEnd w:id="147"/>
    </w:p>
    <w:p>
      <w:pPr>
        <w:pStyle w:val="3"/>
        <w:rPr>
          <w:rFonts w:ascii="仿宋" w:hAnsi="仿宋" w:eastAsia="仿宋"/>
          <w:color w:val="000000"/>
        </w:rPr>
      </w:pPr>
      <w:bookmarkStart w:id="148" w:name="_Toc15396629"/>
      <w:bookmarkStart w:id="149" w:name="_Toc79163646"/>
      <w:bookmarkStart w:id="150" w:name="_Toc7916389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48"/>
      <w:bookmarkEnd w:id="149"/>
      <w:bookmarkEnd w:id="150"/>
    </w:p>
    <w:p>
      <w:pPr>
        <w:pStyle w:val="3"/>
        <w:rPr>
          <w:rFonts w:ascii="仿宋" w:hAnsi="仿宋" w:eastAsia="仿宋"/>
          <w:color w:val="000000"/>
        </w:rPr>
      </w:pPr>
      <w:bookmarkStart w:id="151" w:name="_Toc15396630"/>
      <w:bookmarkStart w:id="152" w:name="_Toc79163647"/>
      <w:bookmarkStart w:id="153" w:name="_Toc7916389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1"/>
      <w:bookmarkEnd w:id="152"/>
      <w:bookmarkEnd w:id="153"/>
    </w:p>
    <w:p>
      <w:pPr>
        <w:pStyle w:val="3"/>
        <w:rPr>
          <w:rStyle w:val="24"/>
          <w:rFonts w:ascii="仿宋" w:hAnsi="仿宋" w:eastAsia="仿宋"/>
          <w:b w:val="0"/>
          <w:bCs w:val="0"/>
        </w:rPr>
      </w:pPr>
      <w:bookmarkStart w:id="154" w:name="_Toc15396631"/>
      <w:bookmarkStart w:id="155" w:name="_Toc79163648"/>
      <w:bookmarkStart w:id="156" w:name="_Toc7916389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54"/>
      <w:bookmarkEnd w:id="155"/>
      <w:bookmarkEnd w:id="156"/>
    </w:p>
    <w:p>
      <w:pPr>
        <w:pStyle w:val="3"/>
        <w:rPr>
          <w:rStyle w:val="24"/>
          <w:rFonts w:ascii="仿宋" w:hAnsi="仿宋" w:eastAsia="仿宋"/>
          <w:b w:val="0"/>
          <w:bCs w:val="0"/>
        </w:rPr>
      </w:pPr>
      <w:bookmarkStart w:id="157" w:name="_Toc79163649"/>
      <w:bookmarkStart w:id="158" w:name="_Toc79163899"/>
      <w:r>
        <w:rPr>
          <w:rStyle w:val="24"/>
          <w:rFonts w:hint="eastAsia" w:ascii="仿宋" w:hAnsi="仿宋" w:eastAsia="仿宋"/>
          <w:b w:val="0"/>
          <w:bCs w:val="0"/>
        </w:rPr>
        <w:t>十四、国有资本经营预算财政拨款支出决算表</w:t>
      </w:r>
      <w:bookmarkEnd w:id="157"/>
      <w:bookmarkEnd w:id="15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663CA485"/>
    <w:multiLevelType w:val="singleLevel"/>
    <w:tmpl w:val="663CA485"/>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A2032A3"/>
    <w:rsid w:val="103F10D0"/>
    <w:rsid w:val="10C055FF"/>
    <w:rsid w:val="118107EC"/>
    <w:rsid w:val="15E86CF0"/>
    <w:rsid w:val="161625FA"/>
    <w:rsid w:val="16BB723D"/>
    <w:rsid w:val="16D018B4"/>
    <w:rsid w:val="1D155CEE"/>
    <w:rsid w:val="1F7F23C1"/>
    <w:rsid w:val="21F35D10"/>
    <w:rsid w:val="22116CD9"/>
    <w:rsid w:val="232128C4"/>
    <w:rsid w:val="23714A4D"/>
    <w:rsid w:val="23E8229D"/>
    <w:rsid w:val="240371BF"/>
    <w:rsid w:val="26592985"/>
    <w:rsid w:val="26670CF3"/>
    <w:rsid w:val="27093676"/>
    <w:rsid w:val="2980355F"/>
    <w:rsid w:val="29FD04D3"/>
    <w:rsid w:val="2AB0562C"/>
    <w:rsid w:val="2B7E1BAF"/>
    <w:rsid w:val="2D7243D4"/>
    <w:rsid w:val="2D9057C0"/>
    <w:rsid w:val="2E2B60B4"/>
    <w:rsid w:val="2F984CCE"/>
    <w:rsid w:val="31852596"/>
    <w:rsid w:val="319F7F4E"/>
    <w:rsid w:val="32217696"/>
    <w:rsid w:val="329D1E96"/>
    <w:rsid w:val="32B4740F"/>
    <w:rsid w:val="352970EE"/>
    <w:rsid w:val="35CC6A21"/>
    <w:rsid w:val="36A5261C"/>
    <w:rsid w:val="36CF29A0"/>
    <w:rsid w:val="38D018A7"/>
    <w:rsid w:val="39DC35C9"/>
    <w:rsid w:val="3A9D2AEA"/>
    <w:rsid w:val="3B980E01"/>
    <w:rsid w:val="3E0E7769"/>
    <w:rsid w:val="419149E4"/>
    <w:rsid w:val="42452B8D"/>
    <w:rsid w:val="44290430"/>
    <w:rsid w:val="447D5A4A"/>
    <w:rsid w:val="46506057"/>
    <w:rsid w:val="47F112DE"/>
    <w:rsid w:val="485E32E1"/>
    <w:rsid w:val="48733C40"/>
    <w:rsid w:val="49005BDA"/>
    <w:rsid w:val="4A4C16FD"/>
    <w:rsid w:val="4ECE2238"/>
    <w:rsid w:val="4FC842E9"/>
    <w:rsid w:val="500B7568"/>
    <w:rsid w:val="503C1316"/>
    <w:rsid w:val="56772883"/>
    <w:rsid w:val="5A395AE9"/>
    <w:rsid w:val="5A8B5772"/>
    <w:rsid w:val="5C680D74"/>
    <w:rsid w:val="5E8943C7"/>
    <w:rsid w:val="5F861650"/>
    <w:rsid w:val="5FE10E97"/>
    <w:rsid w:val="613D0CB2"/>
    <w:rsid w:val="62766303"/>
    <w:rsid w:val="627A4B10"/>
    <w:rsid w:val="6B007593"/>
    <w:rsid w:val="6BBB7F38"/>
    <w:rsid w:val="6C4A05C8"/>
    <w:rsid w:val="727254DB"/>
    <w:rsid w:val="72734D90"/>
    <w:rsid w:val="739F710F"/>
    <w:rsid w:val="74416C5D"/>
    <w:rsid w:val="7625382E"/>
    <w:rsid w:val="77287AAE"/>
    <w:rsid w:val="786D7712"/>
    <w:rsid w:val="7A5A6D5A"/>
    <w:rsid w:val="7AF02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unhideWhenUsed/>
    <w:qFormat/>
    <w:uiPriority w:val="99"/>
    <w:pPr>
      <w:spacing w:before="100" w:beforeAutospacing="1" w:after="100" w:afterAutospacing="1"/>
      <w:jc w:val="left"/>
    </w:pPr>
    <w:rPr>
      <w:kern w:val="0"/>
      <w:sz w:val="24"/>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字符"/>
    <w:basedOn w:val="20"/>
    <w:link w:val="2"/>
    <w:qFormat/>
    <w:locked/>
    <w:uiPriority w:val="9"/>
    <w:rPr>
      <w:rFonts w:ascii="Times New Roman" w:hAnsi="Times New Roman" w:cs="Times New Roman"/>
      <w:b/>
      <w:bCs/>
      <w:kern w:val="44"/>
      <w:sz w:val="44"/>
      <w:szCs w:val="44"/>
    </w:rPr>
  </w:style>
  <w:style w:type="character" w:customStyle="1" w:styleId="24">
    <w:name w:val="标题 2 字符"/>
    <w:basedOn w:val="20"/>
    <w:link w:val="3"/>
    <w:qFormat/>
    <w:locked/>
    <w:uiPriority w:val="9"/>
    <w:rPr>
      <w:rFonts w:ascii="Cambria" w:hAnsi="Cambria" w:eastAsia="宋体" w:cs="Times New Roman"/>
      <w:b/>
      <w:bCs/>
      <w:kern w:val="2"/>
      <w:sz w:val="32"/>
      <w:szCs w:val="32"/>
    </w:rPr>
  </w:style>
  <w:style w:type="character" w:customStyle="1" w:styleId="25">
    <w:name w:val="标题 3 字符"/>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字符"/>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字符"/>
    <w:link w:val="12"/>
    <w:semiHidden/>
    <w:qFormat/>
    <w:locked/>
    <w:uiPriority w:val="99"/>
    <w:rPr>
      <w:sz w:val="18"/>
    </w:rPr>
  </w:style>
  <w:style w:type="character" w:customStyle="1" w:styleId="31">
    <w:name w:val="页脚 字符"/>
    <w:link w:val="11"/>
    <w:qFormat/>
    <w:locked/>
    <w:uiPriority w:val="99"/>
    <w:rPr>
      <w:sz w:val="18"/>
    </w:rPr>
  </w:style>
  <w:style w:type="character" w:customStyle="1" w:styleId="32">
    <w:name w:val="正文文本 字符"/>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TotalTime>13</TotalTime>
  <ScaleCrop>false</ScaleCrop>
  <LinksUpToDate>false</LinksUpToDate>
  <CharactersWithSpaces>10536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2021-07-29T03:56:00Z</cp:lastPrinted>
  <dcterms:modified xsi:type="dcterms:W3CDTF">2021-09-15T00:54:30Z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7CD29283384A47FF8B6543FDC13CA661</vt:lpwstr>
  </property>
</Properties>
</file>