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3BD875">
      <w:pPr>
        <w:jc w:val="center"/>
        <w:rPr>
          <w:rFonts w:hint="eastAsia" w:asciiTheme="majorEastAsia" w:hAnsiTheme="majorEastAsia" w:eastAsiaTheme="majorEastAsia" w:cstheme="majorEastAsia"/>
          <w:b/>
          <w:bCs/>
          <w:sz w:val="44"/>
          <w:szCs w:val="44"/>
          <w:lang w:val="en-US" w:eastAsia="zh-CN"/>
        </w:rPr>
      </w:pPr>
      <w:r>
        <w:rPr>
          <w:rFonts w:hint="eastAsia" w:asciiTheme="majorEastAsia" w:hAnsiTheme="majorEastAsia" w:eastAsiaTheme="majorEastAsia" w:cstheme="majorEastAsia"/>
          <w:b/>
          <w:bCs/>
          <w:sz w:val="44"/>
          <w:szCs w:val="44"/>
          <w:lang w:val="en-US" w:eastAsia="zh-CN"/>
        </w:rPr>
        <w:t>九寨沟县信访局</w:t>
      </w:r>
    </w:p>
    <w:p w14:paraId="054417F6">
      <w:pPr>
        <w:jc w:val="center"/>
        <w:rPr>
          <w:rFonts w:hint="eastAsia" w:asciiTheme="majorEastAsia" w:hAnsiTheme="majorEastAsia" w:eastAsiaTheme="majorEastAsia" w:cstheme="majorEastAsia"/>
          <w:b/>
          <w:bCs/>
          <w:sz w:val="44"/>
          <w:szCs w:val="44"/>
          <w:lang w:val="en-US" w:eastAsia="zh-CN"/>
        </w:rPr>
      </w:pPr>
      <w:r>
        <w:rPr>
          <w:rFonts w:hint="eastAsia" w:asciiTheme="majorEastAsia" w:hAnsiTheme="majorEastAsia" w:eastAsiaTheme="majorEastAsia" w:cstheme="majorEastAsia"/>
          <w:b/>
          <w:bCs/>
          <w:sz w:val="44"/>
          <w:szCs w:val="44"/>
          <w:lang w:val="en-US" w:eastAsia="zh-CN"/>
        </w:rPr>
        <w:t>2025年部门预算编制说明</w:t>
      </w:r>
    </w:p>
    <w:p w14:paraId="1277C3AD">
      <w:pPr>
        <w:rPr>
          <w:rFonts w:hint="eastAsia" w:ascii="仿宋_GB2312" w:hAnsi="仿宋_GB2312" w:eastAsia="仿宋_GB2312" w:cs="仿宋_GB2312"/>
          <w:sz w:val="32"/>
          <w:szCs w:val="32"/>
        </w:rPr>
      </w:pPr>
    </w:p>
    <w:p w14:paraId="7A4BE7C0">
      <w:pPr>
        <w:numPr>
          <w:ilvl w:val="0"/>
          <w:numId w:val="1"/>
        </w:num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基本职能及主要工作</w:t>
      </w:r>
    </w:p>
    <w:p w14:paraId="436758C6">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九寨沟县信访局始终坚持以习近平新时代中国特色社会主义思想为指导，深入贯彻落实中央、省委和州委关于做好信访工作的决策部署，紧扣实施“全域发展、绿色崛起”总体战略，高质量推进信访维稳工作，努力探索出一条与县情、民情相适应的九寨信访模式，全县呈现出“信访秩序全面好转，信访办结率、停访息诉率、群众满意率三个提高，越级信访、重复信访、异常信访三个下降”的良好态势，总体部署主要工作职能是:</w:t>
      </w:r>
    </w:p>
    <w:p w14:paraId="35CE3B2A">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1.贯彻党和国家关于信访工作的方针、政策和规定及《国务院信访工作条例》，分析、研究、调查、汇报信访资料，为领导提供决策依据。</w:t>
      </w:r>
    </w:p>
    <w:p w14:paraId="156F8CC9">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2.负责处理县内外群众、境外人士、法人及其他组织通过信访渠道给县委、县政府及领导同志的来信来电，接待来访；承办州信访局及有关部门转送、交办的群众来信来电来访。</w:t>
      </w:r>
    </w:p>
    <w:p w14:paraId="06204DA7">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3.负责向县委、县政府反映来信来电来访中提出的重要建议、意见和问题；综合研判信访信息，开展调查研究，提出制定修改完善有关政策的建议。</w:t>
      </w:r>
    </w:p>
    <w:p w14:paraId="064C48FB">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4、承担督促检查有关指示件落实情况的责任，拟定信访督查制度并组织实施，承办省、州、县领导同志交办信访事项的落实；向各乡镇和部门转办、交办信访事项；督促检查重要信访事项的处理和落实。</w:t>
      </w:r>
    </w:p>
    <w:p w14:paraId="6F344426">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5、承担办理县联席办、信访局及有关部门转送、交办的群众信访事项。协调处理到州赴省进京集体访和进京非正常访的问题；综合协调处理跨地区、跨部门的重要信访问题。</w:t>
      </w:r>
    </w:p>
    <w:p w14:paraId="702D8C93">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6、协调指导全县信访工作。研究、起草全县有关信访工作的规范性文件；提出改进和加强信访工作的意见和建议；指导县内各部门的信访工作和乡镇的信访工作。</w:t>
      </w:r>
    </w:p>
    <w:p w14:paraId="31255626">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7.制定信访问题排查化解制度并组织实施；建立完善信访动态分析机制，指导全县信访信息系统建设和应用。</w:t>
      </w:r>
    </w:p>
    <w:p w14:paraId="354E7555">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8、承担县信访工作联席会议的日常工作；督促落实会议决定事项。</w:t>
      </w:r>
    </w:p>
    <w:p w14:paraId="7028F7CF">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9.负责全县信访工作的宣传和信息发布。</w:t>
      </w:r>
    </w:p>
    <w:p w14:paraId="3BABB745">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10.承办县委、县政府交办的其他事项。</w:t>
      </w:r>
    </w:p>
    <w:p w14:paraId="65E37A90">
      <w:pP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rPr>
        <w:t>　</w:t>
      </w:r>
      <w:r>
        <w:rPr>
          <w:rFonts w:hint="eastAsia" w:ascii="仿宋_GB2312" w:hAnsi="仿宋_GB2312" w:eastAsia="仿宋_GB2312" w:cs="仿宋_GB2312"/>
          <w:b/>
          <w:bCs/>
          <w:sz w:val="32"/>
          <w:szCs w:val="32"/>
          <w:lang w:val="en-US" w:eastAsia="zh-CN"/>
        </w:rPr>
        <w:t>二、部门预算单位构成</w:t>
      </w:r>
    </w:p>
    <w:p w14:paraId="415E8C00">
      <w:pPr>
        <w:ind w:firstLine="640" w:firstLineChars="200"/>
        <w:rPr>
          <w:rFonts w:hint="eastAsia" w:ascii="仿宋_GB2312" w:hAnsi="仿宋_GB2312" w:eastAsia="仿宋_GB2312" w:cs="仿宋_GB2312"/>
          <w:sz w:val="32"/>
          <w:szCs w:val="32"/>
        </w:rPr>
      </w:pPr>
      <w:bookmarkStart w:id="0" w:name="OLE_LINK1"/>
      <w:r>
        <w:rPr>
          <w:rFonts w:hint="eastAsia" w:ascii="仿宋_GB2312" w:hAnsi="仿宋_GB2312" w:eastAsia="仿宋_GB2312" w:cs="仿宋_GB2312"/>
          <w:sz w:val="32"/>
          <w:szCs w:val="32"/>
          <w:lang w:val="en-US" w:eastAsia="zh-CN"/>
        </w:rPr>
        <w:t>九寨沟县信访局</w:t>
      </w:r>
      <w:r>
        <w:rPr>
          <w:rFonts w:hint="eastAsia" w:ascii="仿宋_GB2312" w:hAnsi="仿宋_GB2312" w:eastAsia="仿宋_GB2312" w:cs="仿宋_GB2312"/>
          <w:color w:val="auto"/>
          <w:sz w:val="32"/>
          <w:szCs w:val="32"/>
          <w:lang w:val="en-US" w:eastAsia="zh-CN"/>
        </w:rPr>
        <w:t>是九寨沟县政府组成部门,</w:t>
      </w:r>
      <w:r>
        <w:rPr>
          <w:rFonts w:hint="eastAsia" w:ascii="仿宋_GB2312" w:hAnsi="仿宋_GB2312" w:eastAsia="仿宋_GB2312" w:cs="仿宋_GB2312"/>
          <w:color w:val="auto"/>
          <w:sz w:val="32"/>
          <w:szCs w:val="32"/>
        </w:rPr>
        <w:t>属</w:t>
      </w:r>
      <w:r>
        <w:rPr>
          <w:rFonts w:hint="eastAsia" w:ascii="仿宋_GB2312" w:hAnsi="仿宋_GB2312" w:eastAsia="仿宋_GB2312" w:cs="仿宋_GB2312"/>
          <w:sz w:val="32"/>
          <w:szCs w:val="32"/>
        </w:rPr>
        <w:t>于独立核算单位。</w:t>
      </w:r>
      <w:r>
        <w:rPr>
          <w:rFonts w:hint="eastAsia" w:ascii="仿宋_GB2312" w:hAnsi="仿宋_GB2312" w:eastAsia="仿宋_GB2312" w:cs="仿宋_GB2312"/>
          <w:sz w:val="32"/>
          <w:szCs w:val="32"/>
          <w:lang w:eastAsia="zh-CN"/>
        </w:rPr>
        <w:t>人员编制</w:t>
      </w:r>
      <w:r>
        <w:rPr>
          <w:rFonts w:hint="eastAsia" w:ascii="仿宋_GB2312" w:hAnsi="仿宋_GB2312" w:eastAsia="仿宋_GB2312" w:cs="仿宋_GB2312"/>
          <w:sz w:val="32"/>
          <w:szCs w:val="32"/>
          <w:lang w:val="en-US" w:eastAsia="zh-CN"/>
        </w:rPr>
        <w:t>9名，行政编制4名，</w:t>
      </w:r>
      <w:r>
        <w:rPr>
          <w:rFonts w:hint="eastAsia" w:ascii="仿宋_GB2312" w:hAnsi="仿宋_GB2312" w:eastAsia="仿宋_GB2312" w:cs="仿宋_GB2312"/>
          <w:sz w:val="32"/>
          <w:szCs w:val="32"/>
          <w:lang w:eastAsia="zh-CN"/>
        </w:rPr>
        <w:t>事业编制</w:t>
      </w:r>
      <w:r>
        <w:rPr>
          <w:rFonts w:hint="eastAsia" w:ascii="仿宋_GB2312" w:hAnsi="仿宋_GB2312" w:eastAsia="仿宋_GB2312" w:cs="仿宋_GB2312"/>
          <w:sz w:val="32"/>
          <w:szCs w:val="32"/>
          <w:lang w:val="en-US" w:eastAsia="zh-CN"/>
        </w:rPr>
        <w:t>5名</w:t>
      </w:r>
      <w:r>
        <w:rPr>
          <w:rFonts w:hint="eastAsia" w:ascii="仿宋_GB2312" w:hAnsi="仿宋_GB2312" w:eastAsia="仿宋_GB2312" w:cs="仿宋_GB2312"/>
          <w:sz w:val="32"/>
          <w:szCs w:val="32"/>
          <w:lang w:eastAsia="zh-CN"/>
        </w:rPr>
        <w:t>。内</w:t>
      </w:r>
      <w:r>
        <w:rPr>
          <w:rFonts w:hint="eastAsia" w:ascii="仿宋_GB2312" w:hAnsi="仿宋_GB2312" w:eastAsia="仿宋_GB2312" w:cs="仿宋_GB2312"/>
          <w:sz w:val="32"/>
          <w:szCs w:val="32"/>
        </w:rPr>
        <w:t>设办公室、</w:t>
      </w:r>
      <w:r>
        <w:rPr>
          <w:rFonts w:hint="eastAsia" w:ascii="仿宋_GB2312" w:hAnsi="仿宋_GB2312" w:eastAsia="仿宋_GB2312" w:cs="仿宋_GB2312"/>
          <w:sz w:val="32"/>
          <w:szCs w:val="32"/>
          <w:lang w:eastAsia="zh-CN"/>
        </w:rPr>
        <w:t>督查督办股。</w:t>
      </w:r>
    </w:p>
    <w:bookmarkEnd w:id="0"/>
    <w:p w14:paraId="5956D1EF">
      <w:pP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lang w:val="en-US" w:eastAsia="zh-CN"/>
        </w:rPr>
        <w:t>三、收支预算情况说明</w:t>
      </w:r>
    </w:p>
    <w:p w14:paraId="6CCFB92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按照综合预算的原则，</w:t>
      </w:r>
      <w:r>
        <w:rPr>
          <w:rFonts w:hint="eastAsia" w:ascii="仿宋_GB2312" w:hAnsi="仿宋_GB2312" w:eastAsia="仿宋_GB2312" w:cs="仿宋_GB2312"/>
          <w:sz w:val="32"/>
          <w:szCs w:val="32"/>
          <w:lang w:val="en-US" w:eastAsia="zh-CN"/>
        </w:rPr>
        <w:t>县信访局</w:t>
      </w:r>
      <w:r>
        <w:rPr>
          <w:rFonts w:hint="eastAsia" w:ascii="仿宋_GB2312" w:hAnsi="仿宋_GB2312" w:eastAsia="仿宋_GB2312" w:cs="仿宋_GB2312"/>
          <w:sz w:val="32"/>
          <w:szCs w:val="32"/>
        </w:rPr>
        <w:t>所有收入和支出均纳入部门预算管理。收入包括：一般公共预算拨款收入、上年结转；支出包括：一般公共服务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医疗卫生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社会保障和就业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县信访接待中心</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年收支总预算</w:t>
      </w:r>
      <w:r>
        <w:rPr>
          <w:rFonts w:hint="eastAsia" w:ascii="仿宋_GB2312" w:hAnsi="仿宋_GB2312" w:eastAsia="仿宋_GB2312" w:cs="仿宋_GB2312"/>
          <w:sz w:val="32"/>
          <w:szCs w:val="32"/>
          <w:lang w:val="en-US" w:eastAsia="zh-CN"/>
        </w:rPr>
        <w:t>210.13</w:t>
      </w:r>
      <w:r>
        <w:rPr>
          <w:rFonts w:hint="eastAsia" w:ascii="仿宋_GB2312" w:hAnsi="仿宋_GB2312" w:eastAsia="仿宋_GB2312" w:cs="仿宋_GB2312"/>
          <w:sz w:val="32"/>
          <w:szCs w:val="32"/>
        </w:rPr>
        <w:t>万元。</w:t>
      </w:r>
    </w:p>
    <w:p w14:paraId="4FE465C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（一）收入预算情况</w:t>
      </w:r>
    </w:p>
    <w:p w14:paraId="1BCC483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县信访局</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年收入预算</w:t>
      </w:r>
      <w:r>
        <w:rPr>
          <w:rFonts w:hint="eastAsia" w:ascii="仿宋_GB2312" w:hAnsi="仿宋_GB2312" w:eastAsia="仿宋_GB2312" w:cs="仿宋_GB2312"/>
          <w:sz w:val="32"/>
          <w:szCs w:val="32"/>
          <w:lang w:val="en-US" w:eastAsia="zh-CN"/>
        </w:rPr>
        <w:t>210.13</w:t>
      </w:r>
      <w:r>
        <w:rPr>
          <w:rFonts w:hint="eastAsia" w:ascii="仿宋_GB2312" w:hAnsi="仿宋_GB2312" w:eastAsia="仿宋_GB2312" w:cs="仿宋_GB2312"/>
          <w:sz w:val="32"/>
          <w:szCs w:val="32"/>
        </w:rPr>
        <w:t>万元，其中：上年结转</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万元；一般公共预算拨款收入</w:t>
      </w:r>
      <w:r>
        <w:rPr>
          <w:rFonts w:hint="eastAsia" w:ascii="仿宋_GB2312" w:hAnsi="仿宋_GB2312" w:eastAsia="仿宋_GB2312" w:cs="仿宋_GB2312"/>
          <w:sz w:val="32"/>
          <w:szCs w:val="32"/>
          <w:lang w:val="en-US" w:eastAsia="zh-CN"/>
        </w:rPr>
        <w:t>210.13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14:paraId="5BC2E4E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（二）支出预算情况</w:t>
      </w:r>
    </w:p>
    <w:p w14:paraId="36CFAF2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县信访局</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年支出预算</w:t>
      </w:r>
      <w:r>
        <w:rPr>
          <w:rFonts w:hint="eastAsia" w:ascii="仿宋_GB2312" w:hAnsi="仿宋_GB2312" w:eastAsia="仿宋_GB2312" w:cs="仿宋_GB2312"/>
          <w:sz w:val="32"/>
          <w:szCs w:val="32"/>
          <w:lang w:val="en-US" w:eastAsia="zh-CN"/>
        </w:rPr>
        <w:t>210.13</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185.13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88</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w:t>
      </w:r>
    </w:p>
    <w:p w14:paraId="57EE016D">
      <w:pP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w:t>
      </w:r>
      <w:r>
        <w:rPr>
          <w:rFonts w:hint="eastAsia" w:ascii="仿宋_GB2312" w:hAnsi="仿宋_GB2312" w:eastAsia="仿宋_GB2312" w:cs="仿宋_GB2312"/>
          <w:b/>
          <w:bCs/>
          <w:sz w:val="32"/>
          <w:szCs w:val="32"/>
          <w:lang w:val="en-US" w:eastAsia="zh-CN"/>
        </w:rPr>
        <w:t>四、财政拨款收支预算情况说明</w:t>
      </w:r>
    </w:p>
    <w:p w14:paraId="454AF57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县信访局</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年财政拨款收支总预算</w:t>
      </w:r>
      <w:r>
        <w:rPr>
          <w:rFonts w:hint="eastAsia" w:ascii="仿宋_GB2312" w:hAnsi="仿宋_GB2312" w:eastAsia="仿宋_GB2312" w:cs="仿宋_GB2312"/>
          <w:sz w:val="32"/>
          <w:szCs w:val="32"/>
          <w:lang w:val="en-US" w:eastAsia="zh-CN"/>
        </w:rPr>
        <w:t>210.13</w:t>
      </w:r>
      <w:r>
        <w:rPr>
          <w:rFonts w:hint="eastAsia" w:ascii="仿宋_GB2312" w:hAnsi="仿宋_GB2312" w:eastAsia="仿宋_GB2312" w:cs="仿宋_GB2312"/>
          <w:sz w:val="32"/>
          <w:szCs w:val="32"/>
        </w:rPr>
        <w:t>万元。收入包括：本年一般公共预算拨款收入</w:t>
      </w:r>
      <w:r>
        <w:rPr>
          <w:rFonts w:hint="eastAsia" w:ascii="仿宋_GB2312" w:hAnsi="仿宋_GB2312" w:eastAsia="仿宋_GB2312" w:cs="仿宋_GB2312"/>
          <w:sz w:val="32"/>
          <w:szCs w:val="32"/>
          <w:lang w:val="en-US" w:eastAsia="zh-CN"/>
        </w:rPr>
        <w:t>210.13</w:t>
      </w:r>
      <w:r>
        <w:rPr>
          <w:rFonts w:hint="eastAsia" w:ascii="仿宋_GB2312" w:hAnsi="仿宋_GB2312" w:eastAsia="仿宋_GB2312" w:cs="仿宋_GB2312"/>
          <w:sz w:val="32"/>
          <w:szCs w:val="32"/>
        </w:rPr>
        <w:t>万元、上年结转一般公共预算拨款收入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万元；支出包括：</w:t>
      </w:r>
      <w:r>
        <w:rPr>
          <w:rFonts w:hint="eastAsia" w:ascii="仿宋_GB2312" w:hAnsi="仿宋_GB2312" w:eastAsia="仿宋_GB2312" w:cs="仿宋_GB2312"/>
          <w:sz w:val="32"/>
          <w:szCs w:val="32"/>
          <w:lang w:eastAsia="zh-CN"/>
        </w:rPr>
        <w:t>基本支出：</w:t>
      </w:r>
      <w:r>
        <w:rPr>
          <w:rFonts w:hint="eastAsia" w:ascii="仿宋_GB2312" w:hAnsi="仿宋_GB2312" w:eastAsia="仿宋_GB2312" w:cs="仿宋_GB2312"/>
          <w:sz w:val="32"/>
          <w:szCs w:val="32"/>
          <w:lang w:val="en-US" w:eastAsia="zh-CN"/>
        </w:rPr>
        <w:t>185.13万元，项目支出25万元。</w:t>
      </w:r>
    </w:p>
    <w:p w14:paraId="634693D2">
      <w:pP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lang w:val="en-US" w:eastAsia="zh-CN"/>
        </w:rPr>
        <w:t>五、一般公共预算当年拨款情况说明</w:t>
      </w:r>
    </w:p>
    <w:p w14:paraId="28DA82D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（一）一般公共预算当年拨款规模变化情况</w:t>
      </w:r>
    </w:p>
    <w:p w14:paraId="4E22E2E1">
      <w:pPr>
        <w:ind w:firstLine="640" w:firstLineChars="200"/>
        <w:rPr>
          <w:rFonts w:hint="eastAsia" w:ascii="仿宋_GB2312" w:hAnsi="仿宋_GB2312" w:eastAsia="仿宋_GB2312" w:cs="仿宋_GB2312"/>
          <w:color w:val="FF0000"/>
          <w:sz w:val="32"/>
          <w:szCs w:val="32"/>
          <w:lang w:eastAsia="zh-CN"/>
        </w:rPr>
      </w:pPr>
      <w:r>
        <w:rPr>
          <w:rFonts w:hint="eastAsia" w:ascii="仿宋_GB2312" w:hAnsi="仿宋_GB2312" w:eastAsia="仿宋_GB2312" w:cs="仿宋_GB2312"/>
          <w:sz w:val="32"/>
          <w:szCs w:val="32"/>
          <w:lang w:val="en-US" w:eastAsia="zh-CN"/>
        </w:rPr>
        <w:t>县信访局</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年一般公共预算当年拨款</w:t>
      </w:r>
      <w:r>
        <w:rPr>
          <w:rFonts w:hint="eastAsia" w:ascii="仿宋_GB2312" w:hAnsi="仿宋_GB2312" w:eastAsia="仿宋_GB2312" w:cs="仿宋_GB2312"/>
          <w:sz w:val="32"/>
          <w:szCs w:val="32"/>
          <w:lang w:val="en-US" w:eastAsia="zh-CN"/>
        </w:rPr>
        <w:t>210.13</w:t>
      </w:r>
      <w:r>
        <w:rPr>
          <w:rFonts w:hint="eastAsia" w:ascii="仿宋_GB2312" w:hAnsi="仿宋_GB2312" w:eastAsia="仿宋_GB2312" w:cs="仿宋_GB2312"/>
          <w:sz w:val="32"/>
          <w:szCs w:val="32"/>
        </w:rPr>
        <w:t>万元，比20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年预算数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62.22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，增加原因：人员增加</w:t>
      </w:r>
      <w:r>
        <w:rPr>
          <w:rFonts w:hint="eastAsia" w:ascii="仿宋_GB2312" w:hAnsi="仿宋_GB2312" w:eastAsia="仿宋_GB2312" w:cs="仿宋_GB2312"/>
          <w:sz w:val="32"/>
          <w:szCs w:val="32"/>
        </w:rPr>
        <w:t>。</w:t>
      </w:r>
    </w:p>
    <w:p w14:paraId="2A9E5BD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（二）一般公共预算当年拨款结构情况</w:t>
      </w:r>
    </w:p>
    <w:p w14:paraId="16A7861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基本支出</w:t>
      </w:r>
      <w:r>
        <w:rPr>
          <w:rFonts w:hint="eastAsia" w:ascii="仿宋_GB2312" w:hAnsi="仿宋_GB2312" w:eastAsia="仿宋_GB2312" w:cs="仿宋_GB2312"/>
          <w:sz w:val="32"/>
          <w:szCs w:val="32"/>
          <w:lang w:val="en-US" w:eastAsia="zh-CN"/>
        </w:rPr>
        <w:t>185.13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w:t>
      </w:r>
    </w:p>
    <w:p w14:paraId="2F022B3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（三）一般公共预算当年拨款具体使用情况</w:t>
      </w:r>
    </w:p>
    <w:p w14:paraId="52B339B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 政府办公厅（室）及相关机构事务:20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210.13</w:t>
      </w:r>
      <w:r>
        <w:rPr>
          <w:rFonts w:hint="eastAsia" w:ascii="仿宋_GB2312" w:hAnsi="仿宋_GB2312" w:eastAsia="仿宋_GB2312" w:cs="仿宋_GB2312"/>
          <w:sz w:val="32"/>
          <w:szCs w:val="32"/>
        </w:rPr>
        <w:t>万元，主要用于：</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机关及管理事业单位正常运转的基本支出，包括基本工资、津贴补贴等人员经费以及办公费、印刷费、水电费等日常公用经费。</w:t>
      </w:r>
    </w:p>
    <w:p w14:paraId="084D2AAF">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.一般公共</w:t>
      </w:r>
      <w:r>
        <w:rPr>
          <w:rFonts w:hint="eastAsia" w:ascii="仿宋_GB2312" w:hAnsi="仿宋_GB2312" w:eastAsia="仿宋_GB2312" w:cs="仿宋_GB2312"/>
          <w:color w:val="000000" w:themeColor="text1"/>
          <w:sz w:val="32"/>
          <w:szCs w:val="32"/>
          <w:lang w:eastAsia="zh-CN"/>
          <w14:textFill>
            <w14:solidFill>
              <w14:schemeClr w14:val="tx1"/>
            </w14:solidFill>
          </w14:textFill>
        </w:rPr>
        <w:t>预算项目支出</w:t>
      </w:r>
      <w:r>
        <w:rPr>
          <w:rFonts w:hint="eastAsia" w:ascii="仿宋_GB2312" w:hAnsi="仿宋_GB2312" w:eastAsia="仿宋_GB2312" w:cs="仿宋_GB2312"/>
          <w:color w:val="000000" w:themeColor="text1"/>
          <w:sz w:val="32"/>
          <w:szCs w:val="32"/>
          <w14:textFill>
            <w14:solidFill>
              <w14:schemeClr w14:val="tx1"/>
            </w14:solidFill>
          </w14:textFill>
        </w:rPr>
        <w:t>:20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25</w:t>
      </w:r>
      <w:r>
        <w:rPr>
          <w:rFonts w:hint="eastAsia" w:ascii="仿宋_GB2312" w:hAnsi="仿宋_GB2312" w:eastAsia="仿宋_GB2312" w:cs="仿宋_GB2312"/>
          <w:color w:val="000000" w:themeColor="text1"/>
          <w:sz w:val="32"/>
          <w:szCs w:val="32"/>
          <w14:textFill>
            <w14:solidFill>
              <w14:schemeClr w14:val="tx1"/>
            </w14:solidFill>
          </w14:textFill>
        </w:rPr>
        <w:t>年预算数为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25</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7DB95FC4">
      <w:pP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.医疗卫生与计划生育（类）行政事业单位医疗（款）行政单位医疗（项）:20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25</w:t>
      </w:r>
      <w:r>
        <w:rPr>
          <w:rFonts w:hint="eastAsia" w:ascii="仿宋_GB2312" w:hAnsi="仿宋_GB2312" w:eastAsia="仿宋_GB2312" w:cs="仿宋_GB2312"/>
          <w:color w:val="000000" w:themeColor="text1"/>
          <w:sz w:val="32"/>
          <w:szCs w:val="32"/>
          <w14:textFill>
            <w14:solidFill>
              <w14:schemeClr w14:val="tx1"/>
            </w14:solidFill>
          </w14:textFill>
        </w:rPr>
        <w:t>年预算数为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11.08</w:t>
      </w:r>
      <w:r>
        <w:rPr>
          <w:rFonts w:hint="eastAsia" w:ascii="仿宋_GB2312" w:hAnsi="仿宋_GB2312" w:eastAsia="仿宋_GB2312" w:cs="仿宋_GB2312"/>
          <w:color w:val="000000" w:themeColor="text1"/>
          <w:sz w:val="32"/>
          <w:szCs w:val="32"/>
          <w14:textFill>
            <w14:solidFill>
              <w14:schemeClr w14:val="tx1"/>
            </w14:solidFill>
          </w14:textFill>
        </w:rPr>
        <w:t>万元，主要用于：</w:t>
      </w:r>
      <w:r>
        <w:rPr>
          <w:rFonts w:hint="eastAsia" w:ascii="仿宋_GB2312" w:hAnsi="仿宋_GB2312" w:eastAsia="仿宋_GB2312" w:cs="仿宋_GB2312"/>
          <w:color w:val="000000" w:themeColor="text1"/>
          <w:sz w:val="32"/>
          <w:szCs w:val="32"/>
          <w:lang w:eastAsia="zh-CN"/>
          <w14:textFill>
            <w14:solidFill>
              <w14:schemeClr w14:val="tx1"/>
            </w14:solidFill>
          </w14:textFill>
        </w:rPr>
        <w:t>局</w:t>
      </w:r>
      <w:r>
        <w:rPr>
          <w:rFonts w:hint="eastAsia" w:ascii="仿宋_GB2312" w:hAnsi="仿宋_GB2312" w:eastAsia="仿宋_GB2312" w:cs="仿宋_GB2312"/>
          <w:color w:val="000000" w:themeColor="text1"/>
          <w:sz w:val="32"/>
          <w:szCs w:val="32"/>
          <w14:textFill>
            <w14:solidFill>
              <w14:schemeClr w14:val="tx1"/>
            </w14:solidFill>
          </w14:textFill>
        </w:rPr>
        <w:t>机关及参公管理事业单位基本医疗保险缴费支出。</w:t>
      </w:r>
    </w:p>
    <w:p w14:paraId="14547694">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14:textFill>
            <w14:solidFill>
              <w14:schemeClr w14:val="tx1"/>
            </w14:solidFill>
          </w14:textFill>
        </w:rPr>
        <w:t>.住房保障（类）住房改革支出（款）住房公积金（项）:20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25</w:t>
      </w:r>
      <w:r>
        <w:rPr>
          <w:rFonts w:hint="eastAsia" w:ascii="仿宋_GB2312" w:hAnsi="仿宋_GB2312" w:eastAsia="仿宋_GB2312" w:cs="仿宋_GB2312"/>
          <w:color w:val="000000" w:themeColor="text1"/>
          <w:sz w:val="32"/>
          <w:szCs w:val="32"/>
          <w14:textFill>
            <w14:solidFill>
              <w14:schemeClr w14:val="tx1"/>
            </w14:solidFill>
          </w14:textFill>
        </w:rPr>
        <w:t>年预算数为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14.83</w:t>
      </w:r>
      <w:r>
        <w:rPr>
          <w:rFonts w:hint="eastAsia" w:ascii="仿宋_GB2312" w:hAnsi="仿宋_GB2312" w:eastAsia="仿宋_GB2312" w:cs="仿宋_GB2312"/>
          <w:color w:val="000000" w:themeColor="text1"/>
          <w:sz w:val="32"/>
          <w:szCs w:val="32"/>
          <w14:textFill>
            <w14:solidFill>
              <w14:schemeClr w14:val="tx1"/>
            </w14:solidFill>
          </w14:textFill>
        </w:rPr>
        <w:t>万元，主要用于：部门按人力资源和社会保障部、财政部规定的基本工资和津贴补贴以及规定比例为职工缴纳的住房公积金支出。</w:t>
      </w:r>
    </w:p>
    <w:p w14:paraId="639144DB">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5.社会保障和就业支出（类）行政事业单位离退休（款）机关事业单位基本养老保险缴费支出（项）2025年预算数为27.46万元，</w:t>
      </w:r>
      <w:r>
        <w:rPr>
          <w:rFonts w:hint="eastAsia" w:ascii="仿宋_GB2312" w:hAnsi="仿宋_GB2312" w:eastAsia="仿宋_GB2312" w:cs="仿宋_GB2312"/>
          <w:color w:val="000000" w:themeColor="text1"/>
          <w:sz w:val="32"/>
          <w:szCs w:val="32"/>
          <w14:textFill>
            <w14:solidFill>
              <w14:schemeClr w14:val="tx1"/>
            </w14:solidFill>
          </w14:textFill>
        </w:rPr>
        <w:t>主要用于局机关</w:t>
      </w:r>
      <w:r>
        <w:rPr>
          <w:rFonts w:hint="eastAsia" w:ascii="仿宋_GB2312" w:hAnsi="仿宋_GB2312" w:eastAsia="仿宋_GB2312" w:cs="仿宋_GB2312"/>
          <w:color w:val="000000" w:themeColor="text1"/>
          <w:sz w:val="32"/>
          <w:szCs w:val="32"/>
          <w:lang w:eastAsia="zh-CN"/>
          <w14:textFill>
            <w14:solidFill>
              <w14:schemeClr w14:val="tx1"/>
            </w14:solidFill>
          </w14:textFill>
        </w:rPr>
        <w:t>职工</w:t>
      </w:r>
      <w:r>
        <w:rPr>
          <w:rFonts w:hint="eastAsia" w:ascii="仿宋_GB2312" w:hAnsi="仿宋_GB2312" w:eastAsia="仿宋_GB2312" w:cs="仿宋_GB2312"/>
          <w:color w:val="000000" w:themeColor="text1"/>
          <w:sz w:val="32"/>
          <w:szCs w:val="32"/>
          <w14:textFill>
            <w14:solidFill>
              <w14:schemeClr w14:val="tx1"/>
            </w14:solidFill>
          </w14:textFill>
        </w:rPr>
        <w:t>基本</w:t>
      </w:r>
      <w:r>
        <w:rPr>
          <w:rFonts w:hint="eastAsia" w:ascii="仿宋_GB2312" w:hAnsi="仿宋_GB2312" w:eastAsia="仿宋_GB2312" w:cs="仿宋_GB2312"/>
          <w:color w:val="000000" w:themeColor="text1"/>
          <w:sz w:val="32"/>
          <w:szCs w:val="32"/>
          <w:lang w:eastAsia="zh-CN"/>
          <w14:textFill>
            <w14:solidFill>
              <w14:schemeClr w14:val="tx1"/>
            </w14:solidFill>
          </w14:textFill>
        </w:rPr>
        <w:t>养老</w:t>
      </w:r>
      <w:r>
        <w:rPr>
          <w:rFonts w:hint="eastAsia" w:ascii="仿宋_GB2312" w:hAnsi="仿宋_GB2312" w:eastAsia="仿宋_GB2312" w:cs="仿宋_GB2312"/>
          <w:color w:val="000000" w:themeColor="text1"/>
          <w:sz w:val="32"/>
          <w:szCs w:val="32"/>
          <w14:textFill>
            <w14:solidFill>
              <w14:schemeClr w14:val="tx1"/>
            </w14:solidFill>
          </w14:textFill>
        </w:rPr>
        <w:t>保险缴费支出。</w:t>
      </w:r>
    </w:p>
    <w:p w14:paraId="69CA7968">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lang w:val="en-US" w:eastAsia="zh-CN"/>
        </w:rPr>
        <w:t>六、一般公共预算基本支出情况说明</w:t>
      </w:r>
    </w:p>
    <w:p w14:paraId="7BCEB82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县信访局2025</w:t>
      </w:r>
      <w:r>
        <w:rPr>
          <w:rFonts w:hint="eastAsia" w:ascii="仿宋_GB2312" w:hAnsi="仿宋_GB2312" w:eastAsia="仿宋_GB2312" w:cs="仿宋_GB2312"/>
          <w:sz w:val="32"/>
          <w:szCs w:val="32"/>
        </w:rPr>
        <w:t>年一般公共预算基本支出</w:t>
      </w:r>
      <w:r>
        <w:rPr>
          <w:rFonts w:hint="eastAsia" w:ascii="仿宋_GB2312" w:hAnsi="仿宋_GB2312" w:eastAsia="仿宋_GB2312" w:cs="仿宋_GB2312"/>
          <w:sz w:val="32"/>
          <w:szCs w:val="32"/>
          <w:lang w:val="en-US" w:eastAsia="zh-CN"/>
        </w:rPr>
        <w:t>185.13</w:t>
      </w:r>
      <w:r>
        <w:rPr>
          <w:rFonts w:hint="eastAsia" w:ascii="仿宋_GB2312" w:hAnsi="仿宋_GB2312" w:eastAsia="仿宋_GB2312" w:cs="仿宋_GB2312"/>
          <w:sz w:val="32"/>
          <w:szCs w:val="32"/>
        </w:rPr>
        <w:t>万元，其中：</w:t>
      </w:r>
    </w:p>
    <w:p w14:paraId="31E711D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人员经费</w:t>
      </w:r>
      <w:r>
        <w:rPr>
          <w:rFonts w:hint="eastAsia" w:ascii="仿宋_GB2312" w:hAnsi="仿宋_GB2312" w:eastAsia="仿宋_GB2312" w:cs="仿宋_GB2312"/>
          <w:sz w:val="32"/>
          <w:szCs w:val="32"/>
          <w:lang w:val="en-US" w:eastAsia="zh-CN"/>
        </w:rPr>
        <w:t>163.75</w:t>
      </w:r>
      <w:r>
        <w:rPr>
          <w:rFonts w:hint="eastAsia" w:ascii="仿宋_GB2312" w:hAnsi="仿宋_GB2312" w:eastAsia="仿宋_GB2312" w:cs="仿宋_GB2312"/>
          <w:sz w:val="32"/>
          <w:szCs w:val="32"/>
        </w:rPr>
        <w:t>万元，主要包括：基本工资、津贴补贴、奖金、社会保险缴费、绩效工资、机关事业单位基本养老保险缴费、职业年金缴费、其他工资福利支出、离休费、住房公积金、其他对个人和家庭的补助支出。</w:t>
      </w:r>
    </w:p>
    <w:p w14:paraId="2DD49CA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公用经费</w:t>
      </w:r>
      <w:r>
        <w:rPr>
          <w:rFonts w:hint="eastAsia" w:ascii="仿宋_GB2312" w:hAnsi="仿宋_GB2312" w:eastAsia="仿宋_GB2312" w:cs="仿宋_GB2312"/>
          <w:sz w:val="32"/>
          <w:szCs w:val="32"/>
          <w:lang w:val="en-US" w:eastAsia="zh-CN"/>
        </w:rPr>
        <w:t>21.38</w:t>
      </w:r>
      <w:r>
        <w:rPr>
          <w:rFonts w:hint="eastAsia" w:ascii="仿宋_GB2312" w:hAnsi="仿宋_GB2312" w:eastAsia="仿宋_GB2312" w:cs="仿宋_GB2312"/>
          <w:sz w:val="32"/>
          <w:szCs w:val="32"/>
        </w:rPr>
        <w:t>万元，主要包括：办公费、印刷费、手续费、水费、电费、邮电费、差旅费、维修（护）费、会议费、培训费、劳务费、工会经费、福利费、其他交通费、其他商品和服务支出。</w:t>
      </w:r>
    </w:p>
    <w:p w14:paraId="0A9F885D">
      <w:pP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w:t>
      </w:r>
      <w:r>
        <w:rPr>
          <w:rFonts w:hint="eastAsia" w:ascii="仿宋_GB2312" w:hAnsi="仿宋_GB2312" w:eastAsia="仿宋_GB2312" w:cs="仿宋_GB2312"/>
          <w:b/>
          <w:bCs/>
          <w:sz w:val="32"/>
          <w:szCs w:val="32"/>
          <w:lang w:val="en-US" w:eastAsia="zh-CN"/>
        </w:rPr>
        <w:t>七、“三公”经费财政拨款预算安排情况说明</w:t>
      </w:r>
    </w:p>
    <w:p w14:paraId="7703750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县信访局</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年“三公”经费财政拨款预算数</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万元，其中：因公出国（境）经费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万元，公务接待费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万元，公务用车购置</w:t>
      </w:r>
      <w:r>
        <w:rPr>
          <w:rFonts w:hint="eastAsia" w:ascii="仿宋_GB2312" w:hAnsi="仿宋_GB2312" w:eastAsia="仿宋_GB2312" w:cs="仿宋_GB2312"/>
          <w:sz w:val="32"/>
          <w:szCs w:val="32"/>
          <w:lang w:eastAsia="zh-CN"/>
        </w:rPr>
        <w:t>费</w:t>
      </w:r>
      <w:r>
        <w:rPr>
          <w:rFonts w:hint="eastAsia" w:ascii="仿宋_GB2312" w:hAnsi="仿宋_GB2312" w:eastAsia="仿宋_GB2312" w:cs="仿宋_GB2312"/>
          <w:sz w:val="32"/>
          <w:szCs w:val="32"/>
          <w:lang w:val="en-US" w:eastAsia="zh-CN"/>
        </w:rPr>
        <w:t>0元，公务用车</w:t>
      </w:r>
      <w:r>
        <w:rPr>
          <w:rFonts w:hint="eastAsia" w:ascii="仿宋_GB2312" w:hAnsi="仿宋_GB2312" w:eastAsia="仿宋_GB2312" w:cs="仿宋_GB2312"/>
          <w:sz w:val="32"/>
          <w:szCs w:val="32"/>
        </w:rPr>
        <w:t>运行维护费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万元。</w:t>
      </w:r>
    </w:p>
    <w:p w14:paraId="719ED390">
      <w:pP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rPr>
        <w:t>　</w:t>
      </w:r>
      <w:r>
        <w:rPr>
          <w:rFonts w:hint="eastAsia" w:ascii="仿宋_GB2312" w:hAnsi="仿宋_GB2312" w:eastAsia="仿宋_GB2312" w:cs="仿宋_GB2312"/>
          <w:b/>
          <w:bCs/>
          <w:sz w:val="32"/>
          <w:szCs w:val="32"/>
          <w:lang w:val="en-US" w:eastAsia="zh-CN"/>
        </w:rPr>
        <w:t>八、政府性基金预算支出情况说明</w:t>
      </w:r>
    </w:p>
    <w:p w14:paraId="6448543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县信访局</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年没有使用政府性基金预算拨款安排的支出。</w:t>
      </w:r>
    </w:p>
    <w:p w14:paraId="5BB319E2">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w:t>
      </w:r>
      <w:r>
        <w:rPr>
          <w:rFonts w:hint="eastAsia" w:ascii="仿宋_GB2312" w:hAnsi="仿宋_GB2312" w:eastAsia="仿宋_GB2312" w:cs="仿宋_GB2312"/>
          <w:b/>
          <w:bCs/>
          <w:sz w:val="32"/>
          <w:szCs w:val="32"/>
          <w:lang w:val="en-US" w:eastAsia="zh-CN"/>
        </w:rPr>
        <w:t xml:space="preserve"> 九、其他重要事项的情况说明</w:t>
      </w:r>
    </w:p>
    <w:p w14:paraId="2A96A6D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（一）机关运行经费</w:t>
      </w:r>
    </w:p>
    <w:p w14:paraId="659768E5">
      <w:pP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color w:val="FF0000"/>
          <w:sz w:val="32"/>
          <w:szCs w:val="32"/>
          <w:lang w:val="en-US" w:eastAsia="zh-CN"/>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县信访局</w:t>
      </w:r>
      <w:r>
        <w:rPr>
          <w:rFonts w:hint="eastAsia" w:ascii="仿宋_GB2312" w:hAnsi="仿宋_GB2312" w:eastAsia="仿宋_GB2312" w:cs="仿宋_GB2312"/>
          <w:color w:val="auto"/>
          <w:sz w:val="32"/>
          <w:szCs w:val="32"/>
        </w:rPr>
        <w:t>机关运行经费财政拨款预算为</w:t>
      </w:r>
      <w:r>
        <w:rPr>
          <w:rFonts w:hint="eastAsia" w:ascii="仿宋_GB2312" w:hAnsi="仿宋_GB2312" w:eastAsia="仿宋_GB2312" w:cs="仿宋_GB2312"/>
          <w:color w:val="auto"/>
          <w:sz w:val="32"/>
          <w:szCs w:val="32"/>
          <w:lang w:val="en-US" w:eastAsia="zh-CN"/>
        </w:rPr>
        <w:t>21.38</w:t>
      </w:r>
      <w:r>
        <w:rPr>
          <w:rFonts w:hint="eastAsia" w:ascii="仿宋_GB2312" w:hAnsi="仿宋_GB2312" w:eastAsia="仿宋_GB2312" w:cs="仿宋_GB2312"/>
          <w:color w:val="auto"/>
          <w:sz w:val="32"/>
          <w:szCs w:val="32"/>
        </w:rPr>
        <w:t>万元，比20</w:t>
      </w:r>
      <w:r>
        <w:rPr>
          <w:rFonts w:hint="eastAsia" w:ascii="仿宋_GB2312" w:hAnsi="仿宋_GB2312" w:eastAsia="仿宋_GB2312" w:cs="仿宋_GB2312"/>
          <w:color w:val="auto"/>
          <w:sz w:val="32"/>
          <w:szCs w:val="32"/>
          <w:lang w:val="en-US" w:eastAsia="zh-CN"/>
        </w:rPr>
        <w:t>24</w:t>
      </w:r>
      <w:r>
        <w:rPr>
          <w:rFonts w:hint="eastAsia" w:ascii="仿宋_GB2312" w:hAnsi="仿宋_GB2312" w:eastAsia="仿宋_GB2312" w:cs="仿宋_GB2312"/>
          <w:color w:val="auto"/>
          <w:sz w:val="32"/>
          <w:szCs w:val="32"/>
        </w:rPr>
        <w:t>年预算</w:t>
      </w:r>
      <w:r>
        <w:rPr>
          <w:rFonts w:hint="eastAsia" w:ascii="仿宋_GB2312" w:hAnsi="仿宋_GB2312" w:eastAsia="仿宋_GB2312" w:cs="仿宋_GB2312"/>
          <w:color w:val="auto"/>
          <w:sz w:val="32"/>
          <w:szCs w:val="32"/>
          <w:lang w:eastAsia="zh-CN"/>
        </w:rPr>
        <w:t>增加</w:t>
      </w:r>
      <w:bookmarkStart w:id="1" w:name="_GoBack"/>
      <w:bookmarkEnd w:id="1"/>
      <w:r>
        <w:rPr>
          <w:rFonts w:hint="eastAsia" w:ascii="仿宋_GB2312" w:hAnsi="仿宋_GB2312" w:eastAsia="仿宋_GB2312" w:cs="仿宋_GB2312"/>
          <w:color w:val="auto"/>
          <w:sz w:val="32"/>
          <w:szCs w:val="32"/>
          <w:lang w:val="en-US" w:eastAsia="zh-CN"/>
        </w:rPr>
        <w:t>15.9</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上升</w:t>
      </w:r>
      <w:r>
        <w:rPr>
          <w:rFonts w:hint="eastAsia" w:ascii="仿宋_GB2312" w:hAnsi="仿宋_GB2312" w:eastAsia="仿宋_GB2312" w:cs="仿宋_GB2312"/>
          <w:color w:val="auto"/>
          <w:sz w:val="32"/>
          <w:szCs w:val="32"/>
          <w:lang w:val="en-US" w:eastAsia="zh-CN"/>
        </w:rPr>
        <w:t>0.74</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上升原因：人员增加。</w:t>
      </w:r>
    </w:p>
    <w:p w14:paraId="1163A060">
      <w:pP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（二）政府采购情况</w:t>
      </w:r>
    </w:p>
    <w:p w14:paraId="21D53EF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县信访局</w:t>
      </w:r>
      <w:r>
        <w:rPr>
          <w:rFonts w:hint="eastAsia" w:ascii="仿宋_GB2312" w:hAnsi="仿宋_GB2312" w:eastAsia="仿宋_GB2312" w:cs="仿宋_GB2312"/>
          <w:sz w:val="32"/>
          <w:szCs w:val="32"/>
          <w:lang w:eastAsia="zh-CN"/>
        </w:rPr>
        <w:t>未</w:t>
      </w:r>
      <w:r>
        <w:rPr>
          <w:rFonts w:hint="eastAsia" w:ascii="仿宋_GB2312" w:hAnsi="仿宋_GB2312" w:eastAsia="仿宋_GB2312" w:cs="仿宋_GB2312"/>
          <w:sz w:val="32"/>
          <w:szCs w:val="32"/>
        </w:rPr>
        <w:t>安排政府采购预算</w:t>
      </w:r>
      <w:r>
        <w:rPr>
          <w:rFonts w:hint="eastAsia" w:ascii="仿宋_GB2312" w:hAnsi="仿宋_GB2312" w:eastAsia="仿宋_GB2312" w:cs="仿宋_GB2312"/>
          <w:sz w:val="32"/>
          <w:szCs w:val="32"/>
          <w:lang w:eastAsia="zh-CN"/>
        </w:rPr>
        <w:t>。</w:t>
      </w:r>
    </w:p>
    <w:p w14:paraId="6CFF9EF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（三）国有资产占有使用情况</w:t>
      </w:r>
    </w:p>
    <w:p w14:paraId="4E070E4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截至20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年底，</w:t>
      </w:r>
      <w:r>
        <w:rPr>
          <w:rFonts w:hint="eastAsia" w:ascii="仿宋_GB2312" w:hAnsi="仿宋_GB2312" w:eastAsia="仿宋_GB2312" w:cs="仿宋_GB2312"/>
          <w:sz w:val="32"/>
          <w:szCs w:val="32"/>
          <w:lang w:val="en-US" w:eastAsia="zh-CN"/>
        </w:rPr>
        <w:t>县信访局</w:t>
      </w:r>
      <w:r>
        <w:rPr>
          <w:rFonts w:hint="eastAsia" w:ascii="仿宋_GB2312" w:hAnsi="仿宋_GB2312" w:eastAsia="仿宋_GB2312" w:cs="仿宋_GB2312"/>
          <w:sz w:val="32"/>
          <w:szCs w:val="32"/>
          <w:lang w:eastAsia="zh-CN"/>
        </w:rPr>
        <w:t>车编</w:t>
      </w:r>
      <w:r>
        <w:rPr>
          <w:rFonts w:hint="eastAsia" w:ascii="仿宋_GB2312" w:hAnsi="仿宋_GB2312" w:eastAsia="仿宋_GB2312" w:cs="仿宋_GB2312"/>
          <w:sz w:val="32"/>
          <w:szCs w:val="32"/>
          <w:lang w:val="en-US" w:eastAsia="zh-CN"/>
        </w:rPr>
        <w:t>1个</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没有</w:t>
      </w:r>
      <w:r>
        <w:rPr>
          <w:rFonts w:hint="eastAsia" w:ascii="仿宋_GB2312" w:hAnsi="仿宋_GB2312" w:eastAsia="仿宋_GB2312" w:cs="仿宋_GB2312"/>
          <w:sz w:val="32"/>
          <w:szCs w:val="32"/>
        </w:rPr>
        <w:t>价值200万元以上大型设备。</w:t>
      </w:r>
    </w:p>
    <w:p w14:paraId="0858431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年部门预算未安排购置车辆及单位价值200万元以上大型设备。</w:t>
      </w:r>
    </w:p>
    <w:p w14:paraId="6D3DE0E5">
      <w:pP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rPr>
        <w:t>　</w:t>
      </w:r>
      <w:r>
        <w:rPr>
          <w:rFonts w:hint="eastAsia" w:ascii="仿宋_GB2312" w:hAnsi="仿宋_GB2312" w:eastAsia="仿宋_GB2312" w:cs="仿宋_GB2312"/>
          <w:b/>
          <w:bCs/>
          <w:sz w:val="32"/>
          <w:szCs w:val="32"/>
          <w:lang w:val="en-US" w:eastAsia="zh-CN"/>
        </w:rPr>
        <w:t>十、绩效目标</w:t>
      </w:r>
    </w:p>
    <w:p w14:paraId="54C03E73">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绩效目标是预算编制的前提和基础，按照“费随事定”的原则，20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县信访局</w:t>
      </w:r>
      <w:r>
        <w:rPr>
          <w:rFonts w:hint="eastAsia" w:ascii="仿宋_GB2312" w:hAnsi="仿宋_GB2312" w:eastAsia="仿宋_GB2312" w:cs="仿宋_GB2312"/>
          <w:sz w:val="32"/>
          <w:szCs w:val="32"/>
        </w:rPr>
        <w:t>一般公共预算当年拨款</w:t>
      </w:r>
      <w:r>
        <w:rPr>
          <w:rFonts w:hint="eastAsia" w:ascii="仿宋_GB2312" w:hAnsi="仿宋_GB2312" w:eastAsia="仿宋_GB2312" w:cs="仿宋_GB2312"/>
          <w:sz w:val="32"/>
          <w:szCs w:val="32"/>
          <w:lang w:val="en-US" w:eastAsia="zh-CN"/>
        </w:rPr>
        <w:t>210.13</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lang w:val="en-US" w:eastAsia="zh-CN"/>
        </w:rPr>
        <w:t>每项经费均进行绩效目标,效果良好,预算执行率和完成率等目标值平均98%以上.</w:t>
      </w:r>
    </w:p>
    <w:p w14:paraId="5EF95140">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年度总体目标：</w:t>
      </w:r>
      <w:r>
        <w:rPr>
          <w:rFonts w:hint="eastAsia" w:ascii="仿宋_GB2312" w:hAnsi="仿宋_GB2312" w:eastAsia="仿宋_GB2312" w:cs="仿宋_GB2312"/>
          <w:sz w:val="32"/>
          <w:szCs w:val="32"/>
          <w:lang w:val="en-US" w:eastAsia="zh-CN"/>
        </w:rPr>
        <w:t>开展信访知识宣传，开展入户走访活动；围绕精准扶贫开展信访宣传，引导群众学会运用法律解决纠纷，维护自身合法权益。以“法律七进”为载体，抓重点节日点信访宣传，在“两会”“3.8”“3.15”等重要时间节点，围绕“九绵高速征地拆迁”“违建强拆”“依法规范管理景区秩序”等中心工作，集中开展各类信访法治宣传活动。全年开展信访宣传活动3场次，发放宣传资料1000余份。</w:t>
      </w:r>
    </w:p>
    <w:p w14:paraId="682B7432">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绩效指标</w:t>
      </w:r>
      <w:r>
        <w:rPr>
          <w:rFonts w:hint="eastAsia" w:ascii="仿宋_GB2312" w:hAnsi="仿宋_GB2312" w:eastAsia="仿宋_GB2312" w:cs="仿宋_GB2312"/>
          <w:sz w:val="32"/>
          <w:szCs w:val="32"/>
          <w:lang w:eastAsia="zh-CN"/>
        </w:rPr>
        <w:t>：</w:t>
      </w:r>
    </w:p>
    <w:p w14:paraId="02A5186C">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1、数量指标：</w:t>
      </w:r>
      <w:r>
        <w:rPr>
          <w:rFonts w:hint="eastAsia" w:ascii="仿宋_GB2312" w:hAnsi="仿宋_GB2312" w:eastAsia="仿宋_GB2312" w:cs="仿宋_GB2312"/>
          <w:sz w:val="32"/>
          <w:szCs w:val="32"/>
        </w:rPr>
        <w:t>开展</w:t>
      </w:r>
      <w:r>
        <w:rPr>
          <w:rFonts w:hint="eastAsia" w:ascii="仿宋_GB2312" w:hAnsi="仿宋_GB2312" w:eastAsia="仿宋_GB2312" w:cs="仿宋_GB2312"/>
          <w:sz w:val="32"/>
          <w:szCs w:val="32"/>
          <w:lang w:eastAsia="zh-CN"/>
        </w:rPr>
        <w:t>信访</w:t>
      </w:r>
      <w:r>
        <w:rPr>
          <w:rFonts w:hint="eastAsia" w:ascii="仿宋_GB2312" w:hAnsi="仿宋_GB2312" w:eastAsia="仿宋_GB2312" w:cs="仿宋_GB2312"/>
          <w:sz w:val="32"/>
          <w:szCs w:val="32"/>
        </w:rPr>
        <w:t>宣传</w:t>
      </w:r>
      <w:r>
        <w:rPr>
          <w:rFonts w:hint="eastAsia" w:ascii="仿宋_GB2312" w:hAnsi="仿宋_GB2312" w:eastAsia="仿宋_GB2312" w:cs="仿宋_GB2312"/>
          <w:sz w:val="32"/>
          <w:szCs w:val="32"/>
          <w:lang w:eastAsia="zh-CN"/>
        </w:rPr>
        <w:t>宣传资料发放</w:t>
      </w:r>
      <w:r>
        <w:rPr>
          <w:rFonts w:hint="eastAsia" w:ascii="仿宋_GB2312" w:hAnsi="仿宋_GB2312" w:eastAsia="仿宋_GB2312" w:cs="仿宋_GB2312"/>
          <w:sz w:val="32"/>
          <w:szCs w:val="32"/>
          <w:lang w:val="en-US" w:eastAsia="zh-CN"/>
        </w:rPr>
        <w:t>。</w:t>
      </w:r>
    </w:p>
    <w:p w14:paraId="7D127BF4">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2、质量指标：</w:t>
      </w:r>
      <w:r>
        <w:rPr>
          <w:rFonts w:hint="eastAsia" w:ascii="仿宋_GB2312" w:hAnsi="仿宋_GB2312" w:eastAsia="仿宋_GB2312" w:cs="仿宋_GB2312"/>
          <w:sz w:val="32"/>
          <w:szCs w:val="32"/>
        </w:rPr>
        <w:t>各项经济指标完成</w:t>
      </w:r>
      <w:r>
        <w:rPr>
          <w:rFonts w:hint="eastAsia" w:ascii="仿宋_GB2312" w:hAnsi="仿宋_GB2312" w:eastAsia="仿宋_GB2312" w:cs="仿宋_GB2312"/>
          <w:sz w:val="32"/>
          <w:szCs w:val="32"/>
          <w:lang w:eastAsia="zh-CN"/>
        </w:rPr>
        <w:t>率达</w:t>
      </w:r>
      <w:r>
        <w:rPr>
          <w:rFonts w:hint="eastAsia" w:ascii="仿宋_GB2312" w:hAnsi="仿宋_GB2312" w:eastAsia="仿宋_GB2312" w:cs="仿宋_GB2312"/>
          <w:sz w:val="32"/>
          <w:szCs w:val="32"/>
          <w:lang w:val="en-US" w:eastAsia="zh-CN"/>
        </w:rPr>
        <w:t>100%。</w:t>
      </w:r>
    </w:p>
    <w:p w14:paraId="48090916">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3、时效指标：</w:t>
      </w:r>
      <w:r>
        <w:rPr>
          <w:rFonts w:hint="eastAsia" w:ascii="仿宋_GB2312" w:hAnsi="仿宋_GB2312" w:eastAsia="仿宋_GB2312" w:cs="仿宋_GB2312"/>
          <w:sz w:val="32"/>
          <w:szCs w:val="32"/>
        </w:rPr>
        <w:t>规定时间内完成</w:t>
      </w:r>
      <w:r>
        <w:rPr>
          <w:rFonts w:hint="eastAsia" w:ascii="仿宋_GB2312" w:hAnsi="仿宋_GB2312" w:eastAsia="仿宋_GB2312" w:cs="仿宋_GB2312"/>
          <w:sz w:val="32"/>
          <w:szCs w:val="32"/>
          <w:lang w:eastAsia="zh-CN"/>
        </w:rPr>
        <w:t>各项指标</w:t>
      </w:r>
      <w:r>
        <w:rPr>
          <w:rFonts w:hint="eastAsia" w:ascii="仿宋_GB2312" w:hAnsi="仿宋_GB2312" w:eastAsia="仿宋_GB2312" w:cs="仿宋_GB2312"/>
          <w:sz w:val="32"/>
          <w:szCs w:val="32"/>
          <w:lang w:val="en-US" w:eastAsia="zh-CN"/>
        </w:rPr>
        <w:t>。</w:t>
      </w:r>
    </w:p>
    <w:p w14:paraId="51BEA1E1">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4、成本指标：</w:t>
      </w:r>
      <w:r>
        <w:rPr>
          <w:rFonts w:hint="eastAsia" w:ascii="仿宋_GB2312" w:hAnsi="仿宋_GB2312" w:eastAsia="仿宋_GB2312" w:cs="仿宋_GB2312"/>
          <w:sz w:val="32"/>
          <w:szCs w:val="32"/>
        </w:rPr>
        <w:t>人员经费支付率</w:t>
      </w:r>
      <w:r>
        <w:rPr>
          <w:rFonts w:hint="eastAsia" w:ascii="仿宋_GB2312" w:hAnsi="仿宋_GB2312" w:eastAsia="仿宋_GB2312" w:cs="仿宋_GB2312"/>
          <w:sz w:val="32"/>
          <w:szCs w:val="32"/>
          <w:lang w:eastAsia="zh-CN"/>
        </w:rPr>
        <w:t>完成</w:t>
      </w:r>
      <w:r>
        <w:rPr>
          <w:rFonts w:hint="eastAsia" w:ascii="仿宋_GB2312" w:hAnsi="仿宋_GB2312" w:eastAsia="仿宋_GB2312" w:cs="仿宋_GB2312"/>
          <w:sz w:val="32"/>
          <w:szCs w:val="32"/>
          <w:lang w:val="en-US" w:eastAsia="zh-CN"/>
        </w:rPr>
        <w:t>100%。</w:t>
      </w:r>
    </w:p>
    <w:p w14:paraId="0E0D971B">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5、社会效益指标：</w:t>
      </w:r>
      <w:r>
        <w:rPr>
          <w:rFonts w:hint="eastAsia" w:ascii="仿宋_GB2312" w:hAnsi="仿宋_GB2312" w:eastAsia="仿宋_GB2312" w:cs="仿宋_GB2312"/>
          <w:sz w:val="32"/>
          <w:szCs w:val="32"/>
        </w:rPr>
        <w:t>干部群众法治意识提升</w:t>
      </w:r>
      <w:r>
        <w:rPr>
          <w:rFonts w:hint="eastAsia" w:ascii="仿宋_GB2312" w:hAnsi="仿宋_GB2312" w:eastAsia="仿宋_GB2312" w:cs="仿宋_GB2312"/>
          <w:sz w:val="32"/>
          <w:szCs w:val="32"/>
          <w:lang w:val="en-US" w:eastAsia="zh-CN"/>
        </w:rPr>
        <w:t>。</w:t>
      </w:r>
    </w:p>
    <w:p w14:paraId="5DEE70C5">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6、可持续影响指标：长期有效</w:t>
      </w:r>
    </w:p>
    <w:p w14:paraId="1CF20EB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7、满意度指标：</w:t>
      </w:r>
      <w:r>
        <w:rPr>
          <w:rFonts w:hint="eastAsia" w:ascii="仿宋_GB2312" w:hAnsi="仿宋_GB2312" w:eastAsia="仿宋_GB2312" w:cs="仿宋_GB2312"/>
          <w:sz w:val="32"/>
          <w:szCs w:val="32"/>
        </w:rPr>
        <w:t>社会公众或服务对象满意度</w:t>
      </w:r>
      <w:r>
        <w:rPr>
          <w:rFonts w:hint="eastAsia" w:ascii="仿宋_GB2312" w:hAnsi="仿宋_GB2312" w:eastAsia="仿宋_GB2312" w:cs="仿宋_GB2312"/>
          <w:sz w:val="32"/>
          <w:szCs w:val="32"/>
          <w:lang w:eastAsia="zh-CN"/>
        </w:rPr>
        <w:t>达</w:t>
      </w:r>
      <w:r>
        <w:rPr>
          <w:rFonts w:hint="eastAsia" w:ascii="仿宋_GB2312" w:hAnsi="仿宋_GB2312" w:eastAsia="仿宋_GB2312" w:cs="仿宋_GB2312"/>
          <w:sz w:val="32"/>
          <w:szCs w:val="32"/>
          <w:lang w:val="en-US" w:eastAsia="zh-CN"/>
        </w:rPr>
        <w:t>100%</w:t>
      </w:r>
    </w:p>
    <w:p w14:paraId="203479D9">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十一、名词解释</w:t>
      </w:r>
    </w:p>
    <w:p w14:paraId="5927320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1.一般公共预算拨款收入：指省级财政当年拨付的资金。</w:t>
      </w:r>
    </w:p>
    <w:p w14:paraId="18E28F8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2.上年结转：指以前年度尚未完成，结转到本年仍按原规定用途继续使用的资金。</w:t>
      </w:r>
    </w:p>
    <w:p w14:paraId="29BE9A47">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3.机关事业单位基本养老保险缴费支出（类）208（款）05（项）05：指单位行政事业人员及长聘人员基本养老保险。</w:t>
      </w:r>
    </w:p>
    <w:p w14:paraId="2C689DD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.医疗卫生与计划生育（类）210（款）</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（项）01：指</w:t>
      </w:r>
      <w:r>
        <w:rPr>
          <w:rFonts w:hint="eastAsia" w:ascii="仿宋_GB2312" w:hAnsi="仿宋_GB2312" w:eastAsia="仿宋_GB2312" w:cs="仿宋_GB2312"/>
          <w:sz w:val="32"/>
          <w:szCs w:val="32"/>
          <w:lang w:eastAsia="zh-CN"/>
        </w:rPr>
        <w:t>行政单位医疗。</w:t>
      </w:r>
    </w:p>
    <w:p w14:paraId="7FDF707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.医疗卫生与计划生育（类）210（款）</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（项）0</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：指</w:t>
      </w:r>
      <w:r>
        <w:rPr>
          <w:rFonts w:hint="eastAsia" w:ascii="仿宋_GB2312" w:hAnsi="仿宋_GB2312" w:eastAsia="仿宋_GB2312" w:cs="仿宋_GB2312"/>
          <w:sz w:val="32"/>
          <w:szCs w:val="32"/>
          <w:lang w:eastAsia="zh-CN"/>
        </w:rPr>
        <w:t>公务员医疗补助。</w:t>
      </w:r>
    </w:p>
    <w:p w14:paraId="36C5960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.医疗卫生与计划生育（类）210（款）</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（项）</w:t>
      </w:r>
      <w:r>
        <w:rPr>
          <w:rFonts w:hint="eastAsia" w:ascii="仿宋_GB2312" w:hAnsi="仿宋_GB2312" w:eastAsia="仿宋_GB2312" w:cs="仿宋_GB2312"/>
          <w:sz w:val="32"/>
          <w:szCs w:val="32"/>
          <w:lang w:val="en-US" w:eastAsia="zh-CN"/>
        </w:rPr>
        <w:t>99</w:t>
      </w:r>
      <w:r>
        <w:rPr>
          <w:rFonts w:hint="eastAsia" w:ascii="仿宋_GB2312" w:hAnsi="仿宋_GB2312" w:eastAsia="仿宋_GB2312" w:cs="仿宋_GB2312"/>
          <w:sz w:val="32"/>
          <w:szCs w:val="32"/>
        </w:rPr>
        <w:t>：指</w:t>
      </w:r>
      <w:r>
        <w:rPr>
          <w:rFonts w:hint="eastAsia" w:ascii="仿宋_GB2312" w:hAnsi="仿宋_GB2312" w:eastAsia="仿宋_GB2312" w:cs="仿宋_GB2312"/>
          <w:sz w:val="32"/>
          <w:szCs w:val="32"/>
          <w:lang w:eastAsia="zh-CN"/>
        </w:rPr>
        <w:t>其他行政事业单位医疗支出。</w:t>
      </w:r>
    </w:p>
    <w:p w14:paraId="376C3CA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.住房保障（类）</w:t>
      </w:r>
      <w:r>
        <w:rPr>
          <w:rFonts w:hint="eastAsia" w:ascii="仿宋_GB2312" w:hAnsi="仿宋_GB2312" w:eastAsia="仿宋_GB2312" w:cs="仿宋_GB2312"/>
          <w:sz w:val="32"/>
          <w:szCs w:val="32"/>
          <w:lang w:val="en-US" w:eastAsia="zh-CN"/>
        </w:rPr>
        <w:t>221</w:t>
      </w:r>
      <w:r>
        <w:rPr>
          <w:rFonts w:hint="eastAsia" w:ascii="仿宋_GB2312" w:hAnsi="仿宋_GB2312" w:eastAsia="仿宋_GB2312" w:cs="仿宋_GB2312"/>
          <w:sz w:val="32"/>
          <w:szCs w:val="32"/>
        </w:rPr>
        <w:t>住房改革支出（款）</w:t>
      </w:r>
      <w:r>
        <w:rPr>
          <w:rFonts w:hint="eastAsia" w:ascii="仿宋_GB2312" w:hAnsi="仿宋_GB2312" w:eastAsia="仿宋_GB2312" w:cs="仿宋_GB2312"/>
          <w:sz w:val="32"/>
          <w:szCs w:val="32"/>
          <w:lang w:val="en-US" w:eastAsia="zh-CN"/>
        </w:rPr>
        <w:t>02</w:t>
      </w:r>
      <w:r>
        <w:rPr>
          <w:rFonts w:hint="eastAsia" w:ascii="仿宋_GB2312" w:hAnsi="仿宋_GB2312" w:eastAsia="仿宋_GB2312" w:cs="仿宋_GB2312"/>
          <w:sz w:val="32"/>
          <w:szCs w:val="32"/>
        </w:rPr>
        <w:t>住房公积金（项）</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rPr>
        <w:t>：指按照《住房公积金管理条例》的规定，由单位及其在职职工缴存的长期住房储金。</w:t>
      </w:r>
    </w:p>
    <w:p w14:paraId="3F939DD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.基本支出：指为保证机构正常运转，完成日常工作任务而发生的人员支出和公用支出。</w:t>
      </w:r>
    </w:p>
    <w:p w14:paraId="524F36F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.项目支出：指在基本支出之外为完成特定行政任务和事业发展目标所发生的支出。</w:t>
      </w:r>
    </w:p>
    <w:p w14:paraId="74ED5F7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621D83F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58F0128">
      <w:pPr>
        <w:rPr>
          <w:rFonts w:hint="eastAsia" w:ascii="仿宋_GB2312" w:hAnsi="仿宋_GB2312" w:eastAsia="仿宋_GB2312" w:cs="仿宋_GB2312"/>
          <w:sz w:val="32"/>
          <w:szCs w:val="32"/>
        </w:rPr>
      </w:pPr>
    </w:p>
    <w:p w14:paraId="78D5DABD">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附件：2025年部门预算公开表</w:t>
      </w:r>
    </w:p>
    <w:p w14:paraId="79F93C4A">
      <w:pPr>
        <w:rPr>
          <w:rFonts w:hint="eastAsia" w:ascii="仿宋_GB2312" w:hAnsi="仿宋_GB2312" w:eastAsia="仿宋_GB2312" w:cs="仿宋_GB2312"/>
          <w:sz w:val="32"/>
          <w:szCs w:val="32"/>
        </w:rPr>
      </w:pPr>
    </w:p>
    <w:p w14:paraId="1CE84566">
      <w:pPr>
        <w:ind w:firstLine="4800" w:firstLineChars="15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九寨沟县信访局</w:t>
      </w:r>
    </w:p>
    <w:p w14:paraId="718EE062">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2025年1月24日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AFD555"/>
    <w:multiLevelType w:val="singleLevel"/>
    <w:tmpl w:val="A1AFD55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3YWFlOTM3NmI4YTgxMjMzN2QwZjZjOGFjYmFmMWUifQ=="/>
  </w:docVars>
  <w:rsids>
    <w:rsidRoot w:val="00084F40"/>
    <w:rsid w:val="00084F40"/>
    <w:rsid w:val="00787A82"/>
    <w:rsid w:val="0112719D"/>
    <w:rsid w:val="01EF1036"/>
    <w:rsid w:val="01F54787"/>
    <w:rsid w:val="02690DED"/>
    <w:rsid w:val="0342362F"/>
    <w:rsid w:val="04633C3D"/>
    <w:rsid w:val="04660A5F"/>
    <w:rsid w:val="05220725"/>
    <w:rsid w:val="05292193"/>
    <w:rsid w:val="053E2EED"/>
    <w:rsid w:val="05646C6D"/>
    <w:rsid w:val="06BA05B0"/>
    <w:rsid w:val="08982B91"/>
    <w:rsid w:val="097056F7"/>
    <w:rsid w:val="0A2E5117"/>
    <w:rsid w:val="0A866D17"/>
    <w:rsid w:val="0E0C1691"/>
    <w:rsid w:val="0E460DCC"/>
    <w:rsid w:val="0FB72D03"/>
    <w:rsid w:val="10D5068C"/>
    <w:rsid w:val="11656447"/>
    <w:rsid w:val="11673929"/>
    <w:rsid w:val="12372273"/>
    <w:rsid w:val="124E6280"/>
    <w:rsid w:val="126D6927"/>
    <w:rsid w:val="12BB1744"/>
    <w:rsid w:val="130A4CC1"/>
    <w:rsid w:val="13D90EAC"/>
    <w:rsid w:val="14B13EB5"/>
    <w:rsid w:val="15747C0B"/>
    <w:rsid w:val="17880B05"/>
    <w:rsid w:val="1792552B"/>
    <w:rsid w:val="17A3412C"/>
    <w:rsid w:val="1A4A57A0"/>
    <w:rsid w:val="1AB569EB"/>
    <w:rsid w:val="1CF83997"/>
    <w:rsid w:val="1D083BD3"/>
    <w:rsid w:val="1ECF7D68"/>
    <w:rsid w:val="1F171460"/>
    <w:rsid w:val="1F5F0455"/>
    <w:rsid w:val="1F76384E"/>
    <w:rsid w:val="203B65F8"/>
    <w:rsid w:val="204B4B1A"/>
    <w:rsid w:val="20FE1E68"/>
    <w:rsid w:val="24205A88"/>
    <w:rsid w:val="242D0519"/>
    <w:rsid w:val="255F6785"/>
    <w:rsid w:val="27C92FC2"/>
    <w:rsid w:val="28182D52"/>
    <w:rsid w:val="2A63565F"/>
    <w:rsid w:val="2ABF1B0F"/>
    <w:rsid w:val="2BC2762A"/>
    <w:rsid w:val="2CC41854"/>
    <w:rsid w:val="2D9A0E77"/>
    <w:rsid w:val="2E265A70"/>
    <w:rsid w:val="2E920DB9"/>
    <w:rsid w:val="2EDA3BD7"/>
    <w:rsid w:val="2F062FA4"/>
    <w:rsid w:val="2FCB09A6"/>
    <w:rsid w:val="31A4251D"/>
    <w:rsid w:val="32AF227A"/>
    <w:rsid w:val="32F018E2"/>
    <w:rsid w:val="34556E85"/>
    <w:rsid w:val="34BF2BBB"/>
    <w:rsid w:val="34D2640A"/>
    <w:rsid w:val="359D3E09"/>
    <w:rsid w:val="36D1631D"/>
    <w:rsid w:val="39BE0CA0"/>
    <w:rsid w:val="3BB447F2"/>
    <w:rsid w:val="3DA42034"/>
    <w:rsid w:val="3DAB1A9D"/>
    <w:rsid w:val="3F5A5546"/>
    <w:rsid w:val="3F8F6D73"/>
    <w:rsid w:val="4054251C"/>
    <w:rsid w:val="40575B8C"/>
    <w:rsid w:val="40E54C8B"/>
    <w:rsid w:val="41BE3E77"/>
    <w:rsid w:val="424A5E06"/>
    <w:rsid w:val="42ED6E1A"/>
    <w:rsid w:val="43571B0B"/>
    <w:rsid w:val="453F4726"/>
    <w:rsid w:val="456F03B7"/>
    <w:rsid w:val="45DA21F5"/>
    <w:rsid w:val="46CC17BE"/>
    <w:rsid w:val="470E5CFA"/>
    <w:rsid w:val="4A434219"/>
    <w:rsid w:val="4B810772"/>
    <w:rsid w:val="4C404B2D"/>
    <w:rsid w:val="4DA80F52"/>
    <w:rsid w:val="4E156EE8"/>
    <w:rsid w:val="512E7715"/>
    <w:rsid w:val="538D64C9"/>
    <w:rsid w:val="53A249FB"/>
    <w:rsid w:val="552513E4"/>
    <w:rsid w:val="56625735"/>
    <w:rsid w:val="56E11E32"/>
    <w:rsid w:val="57447CB4"/>
    <w:rsid w:val="59C07D72"/>
    <w:rsid w:val="59FE4FE2"/>
    <w:rsid w:val="5A404366"/>
    <w:rsid w:val="5ACF6B7D"/>
    <w:rsid w:val="5AF5429C"/>
    <w:rsid w:val="5B707553"/>
    <w:rsid w:val="5D9D5D96"/>
    <w:rsid w:val="5E6F5D6C"/>
    <w:rsid w:val="5F4D34BA"/>
    <w:rsid w:val="5FE27D40"/>
    <w:rsid w:val="60EB72C0"/>
    <w:rsid w:val="60FD7934"/>
    <w:rsid w:val="61093985"/>
    <w:rsid w:val="61F70B12"/>
    <w:rsid w:val="620F7D47"/>
    <w:rsid w:val="63A446D9"/>
    <w:rsid w:val="670800B1"/>
    <w:rsid w:val="67180307"/>
    <w:rsid w:val="67C03DC2"/>
    <w:rsid w:val="689A2590"/>
    <w:rsid w:val="68DB25D9"/>
    <w:rsid w:val="6ABE3684"/>
    <w:rsid w:val="6B112570"/>
    <w:rsid w:val="6CC83812"/>
    <w:rsid w:val="6CFB189D"/>
    <w:rsid w:val="6D8D0501"/>
    <w:rsid w:val="6DE3160B"/>
    <w:rsid w:val="6DE87940"/>
    <w:rsid w:val="6EEC0501"/>
    <w:rsid w:val="70214BB6"/>
    <w:rsid w:val="7153638C"/>
    <w:rsid w:val="71B20DD6"/>
    <w:rsid w:val="72531DE6"/>
    <w:rsid w:val="72A16BCA"/>
    <w:rsid w:val="72C1473B"/>
    <w:rsid w:val="76884381"/>
    <w:rsid w:val="78EB5403"/>
    <w:rsid w:val="791A7B96"/>
    <w:rsid w:val="7A105668"/>
    <w:rsid w:val="7C1505F9"/>
    <w:rsid w:val="7C2A32BF"/>
    <w:rsid w:val="7C675065"/>
    <w:rsid w:val="7DF86702"/>
    <w:rsid w:val="7E2A4820"/>
    <w:rsid w:val="7F4B3D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autoRedefine/>
    <w:unhideWhenUsed/>
    <w:qFormat/>
    <w:uiPriority w:val="1"/>
  </w:style>
  <w:style w:type="table" w:default="1" w:styleId="3">
    <w:name w:val="Normal Table"/>
    <w:autoRedefine/>
    <w:unhideWhenUsed/>
    <w:qFormat/>
    <w:uiPriority w:val="99"/>
    <w:tblPr>
      <w:tblCellMar>
        <w:top w:w="0" w:type="dxa"/>
        <w:left w:w="108" w:type="dxa"/>
        <w:bottom w:w="0" w:type="dxa"/>
        <w:right w:w="108" w:type="dxa"/>
      </w:tblCellMar>
    </w:tblPr>
  </w:style>
  <w:style w:type="paragraph" w:styleId="2">
    <w:name w:val="Normal (Web)"/>
    <w:basedOn w:val="1"/>
    <w:autoRedefine/>
    <w:qFormat/>
    <w:uiPriority w:val="0"/>
    <w:pPr>
      <w:spacing w:before="100" w:beforeAutospacing="1" w:after="100" w:afterAutospacing="1"/>
      <w:jc w:val="left"/>
    </w:pPr>
    <w:rPr>
      <w:rFonts w:ascii="Calibri" w:hAnsi="Calibri"/>
      <w:kern w:val="0"/>
      <w:sz w:val="24"/>
    </w:rPr>
  </w:style>
  <w:style w:type="character" w:styleId="5">
    <w:name w:val="Strong"/>
    <w:basedOn w:val="4"/>
    <w:autoRedefine/>
    <w:qFormat/>
    <w:uiPriority w:val="22"/>
    <w:rPr>
      <w:b/>
      <w:bCs/>
    </w:rPr>
  </w:style>
  <w:style w:type="character" w:customStyle="1" w:styleId="6">
    <w:name w:val="apple-converted-space"/>
    <w:basedOn w:val="4"/>
    <w:autoRedefine/>
    <w:qFormat/>
    <w:uiPriority w:val="0"/>
  </w:style>
  <w:style w:type="paragraph" w:customStyle="1" w:styleId="7">
    <w:name w:val="Default"/>
    <w:autoRedefine/>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3275</Words>
  <Characters>3533</Characters>
  <Lines>52</Lines>
  <Paragraphs>14</Paragraphs>
  <TotalTime>141</TotalTime>
  <ScaleCrop>false</ScaleCrop>
  <LinksUpToDate>false</LinksUpToDate>
  <CharactersWithSpaces>3637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2017-10-25T13:08:00Z</dcterms:created>
  <dc:creator>null,null,总收发</dc:creator>
  <cp:lastModifiedBy>LAN</cp:lastModifiedBy>
  <dcterms:modified xsi:type="dcterms:W3CDTF">2025-01-22T02:43:34Z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72AB3D698F0E4784BA30DBA0B4F1538F_13</vt:lpwstr>
  </property>
  <property fmtid="{D5CDD505-2E9C-101B-9397-08002B2CF9AE}" pid="4" name="KSOTemplateDocerSaveRecord">
    <vt:lpwstr>eyJoZGlkIjoiNDU3YWFlOTM3NmI4YTgxMjMzN2QwZjZjOGFjYmFmMWUiLCJ1c2VySWQiOiI0OTY5MTU2NzMifQ==</vt:lpwstr>
  </property>
</Properties>
</file>