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54175C">
      <w:pPr>
        <w:pStyle w:val="8"/>
        <w:spacing w:before="93"/>
        <w:rPr>
          <w:rFonts w:ascii="Times New Roman" w:eastAsia="方正小标宋简体"/>
          <w:kern w:val="2"/>
          <w:sz w:val="72"/>
          <w:szCs w:val="72"/>
        </w:rPr>
      </w:pPr>
      <w:bookmarkStart w:id="0" w:name="_Toc15378441"/>
      <w:bookmarkStart w:id="1" w:name="_Toc15396597"/>
      <w:bookmarkStart w:id="2" w:name="_Toc15377425"/>
      <w:bookmarkStart w:id="3" w:name="_Toc15396475"/>
      <w:bookmarkStart w:id="4" w:name="_Toc15306267"/>
      <w:bookmarkStart w:id="5" w:name="_Toc15377193"/>
    </w:p>
    <w:p w14:paraId="78BC3DFB">
      <w:pPr>
        <w:pStyle w:val="8"/>
        <w:spacing w:before="93"/>
        <w:rPr>
          <w:rFonts w:ascii="Times New Roman" w:eastAsia="方正小标宋简体"/>
          <w:kern w:val="2"/>
          <w:sz w:val="72"/>
          <w:szCs w:val="72"/>
        </w:rPr>
      </w:pPr>
    </w:p>
    <w:p w14:paraId="383D9C9B">
      <w:pPr>
        <w:pStyle w:val="8"/>
        <w:spacing w:before="93"/>
        <w:rPr>
          <w:rFonts w:ascii="Times New Roman" w:eastAsia="方正小标宋简体"/>
          <w:kern w:val="2"/>
          <w:sz w:val="72"/>
          <w:szCs w:val="72"/>
        </w:rPr>
      </w:pPr>
      <w:bookmarkStart w:id="62" w:name="_GoBack"/>
      <w:bookmarkEnd w:id="62"/>
    </w:p>
    <w:p w14:paraId="1D60AB72">
      <w:pPr>
        <w:pStyle w:val="8"/>
        <w:spacing w:before="93"/>
        <w:jc w:val="center"/>
        <w:rPr>
          <w:rFonts w:ascii="Times New Roman" w:eastAsia="方正小标宋简体"/>
          <w:kern w:val="2"/>
          <w:sz w:val="44"/>
          <w:szCs w:val="44"/>
        </w:rPr>
        <w:sectPr>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r>
        <w:rPr>
          <w:rFonts w:ascii="Times New Roman" w:eastAsia="方正小标宋简体"/>
          <w:kern w:val="2"/>
          <w:sz w:val="44"/>
          <w:szCs w:val="44"/>
        </w:rPr>
        <w:t>2024</w:t>
      </w:r>
      <w:r>
        <w:rPr>
          <w:rFonts w:hint="eastAsia" w:ascii="Times New Roman" w:eastAsia="方正小标宋简体"/>
          <w:kern w:val="2"/>
          <w:sz w:val="44"/>
          <w:szCs w:val="44"/>
        </w:rPr>
        <w:t>年度四川省九寨沟县信访局决算</w:t>
      </w:r>
    </w:p>
    <w:p w14:paraId="0F61398B">
      <w:pPr>
        <w:pStyle w:val="8"/>
        <w:spacing w:before="93"/>
        <w:rPr>
          <w:rFonts w:ascii="Times New Roman" w:eastAsia="方正小标宋简体"/>
          <w:kern w:val="2"/>
          <w:sz w:val="44"/>
          <w:szCs w:val="44"/>
        </w:rPr>
      </w:pPr>
    </w:p>
    <w:bookmarkEnd w:id="0"/>
    <w:bookmarkEnd w:id="1"/>
    <w:bookmarkEnd w:id="2"/>
    <w:bookmarkEnd w:id="3"/>
    <w:bookmarkEnd w:id="4"/>
    <w:bookmarkEnd w:id="5"/>
    <w:p w14:paraId="386D4E5B">
      <w:pPr>
        <w:widowControl/>
        <w:jc w:val="center"/>
        <w:rPr>
          <w:rFonts w:eastAsia="黑体"/>
          <w:sz w:val="48"/>
          <w:szCs w:val="48"/>
        </w:rPr>
      </w:pPr>
      <w:r>
        <w:rPr>
          <w:rFonts w:hint="eastAsia" w:eastAsia="黑体"/>
          <w:sz w:val="48"/>
          <w:szCs w:val="48"/>
        </w:rPr>
        <w:t>目录</w:t>
      </w:r>
    </w:p>
    <w:p w14:paraId="49D45644">
      <w:pPr>
        <w:widowControl/>
        <w:jc w:val="center"/>
        <w:rPr>
          <w:rFonts w:eastAsia="黑体"/>
          <w:sz w:val="28"/>
          <w:szCs w:val="28"/>
        </w:rPr>
      </w:pPr>
    </w:p>
    <w:p w14:paraId="6382A0F2">
      <w:pPr>
        <w:pStyle w:val="13"/>
        <w:rPr>
          <w:rFonts w:ascii="Times New Roman" w:hAnsi="Times New Roman" w:eastAsia="仿宋_GB2312" w:cs="仿宋_GB2312"/>
          <w:sz w:val="32"/>
          <w:szCs w:val="32"/>
        </w:rPr>
      </w:pPr>
      <w:r>
        <w:rPr>
          <w:rFonts w:hint="eastAsia" w:ascii="Times New Roman" w:hAnsi="Times New Roman" w:eastAsia="仿宋_GB2312" w:cs="仿宋_GB2312"/>
          <w:sz w:val="32"/>
          <w:szCs w:val="32"/>
        </w:rPr>
        <w:t>公开时间：</w:t>
      </w:r>
      <w:r>
        <w:rPr>
          <w:rFonts w:ascii="Times New Roman" w:hAnsi="Times New Roman" w:eastAsia="仿宋_GB2312" w:cs="仿宋_GB2312"/>
          <w:sz w:val="32"/>
          <w:szCs w:val="32"/>
        </w:rPr>
        <w:t>2024</w:t>
      </w:r>
      <w:r>
        <w:rPr>
          <w:rFonts w:hint="eastAsia" w:ascii="Times New Roman" w:hAnsi="Times New Roman" w:eastAsia="仿宋_GB2312" w:cs="仿宋_GB2312"/>
          <w:sz w:val="32"/>
          <w:szCs w:val="32"/>
        </w:rPr>
        <w:t>年</w:t>
      </w:r>
      <w:r>
        <w:rPr>
          <w:rFonts w:ascii="Times New Roman" w:hAnsi="Times New Roman" w:eastAsia="仿宋_GB2312" w:cs="仿宋_GB2312"/>
          <w:sz w:val="32"/>
          <w:szCs w:val="32"/>
        </w:rPr>
        <w:t xml:space="preserve"> 10 </w:t>
      </w:r>
      <w:r>
        <w:rPr>
          <w:rFonts w:hint="eastAsia" w:ascii="Times New Roman" w:hAnsi="Times New Roman" w:eastAsia="仿宋_GB2312" w:cs="仿宋_GB2312"/>
          <w:sz w:val="32"/>
          <w:szCs w:val="32"/>
        </w:rPr>
        <w:t>月</w:t>
      </w:r>
      <w:r>
        <w:rPr>
          <w:rFonts w:ascii="Times New Roman" w:hAnsi="Times New Roman" w:eastAsia="仿宋_GB2312" w:cs="仿宋_GB2312"/>
          <w:sz w:val="32"/>
          <w:szCs w:val="32"/>
        </w:rPr>
        <w:t xml:space="preserve"> 1</w:t>
      </w:r>
      <w:r>
        <w:rPr>
          <w:rFonts w:hint="eastAsia" w:ascii="Times New Roman" w:hAnsi="Times New Roman" w:eastAsia="仿宋_GB2312" w:cs="仿宋_GB2312"/>
          <w:sz w:val="32"/>
          <w:szCs w:val="32"/>
        </w:rPr>
        <w:t>7日</w:t>
      </w:r>
    </w:p>
    <w:p w14:paraId="069DE3D0"/>
    <w:p w14:paraId="2B565CF8">
      <w:pPr>
        <w:pStyle w:val="13"/>
        <w:tabs>
          <w:tab w:val="right" w:leader="middleDot" w:pos="7350"/>
        </w:tabs>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第一部分</w:t>
      </w:r>
      <w:r>
        <w:rPr>
          <w:rFonts w:ascii="Times New Roman" w:hAnsi="Times New Roman" w:eastAsia="黑体" w:cs="黑体"/>
          <w:sz w:val="32"/>
          <w:szCs w:val="32"/>
        </w:rPr>
        <w:t xml:space="preserve"> </w:t>
      </w:r>
      <w:r>
        <w:rPr>
          <w:rFonts w:hint="eastAsia" w:ascii="Times New Roman" w:hAnsi="Times New Roman" w:eastAsia="黑体" w:cs="黑体"/>
          <w:sz w:val="32"/>
          <w:szCs w:val="32"/>
        </w:rPr>
        <w:t>部门概况</w:t>
      </w:r>
      <w:r>
        <w:rPr>
          <w:rFonts w:hint="eastAsia" w:ascii="Times New Roman" w:hAnsi="Times New Roman" w:eastAsia="黑体" w:cs="黑体"/>
          <w:sz w:val="32"/>
          <w:szCs w:val="32"/>
        </w:rPr>
        <w:tab/>
      </w:r>
      <w:r>
        <w:rPr>
          <w:rFonts w:hint="eastAsia" w:ascii="Times New Roman" w:hAnsi="Times New Roman" w:eastAsia="黑体" w:cs="黑体"/>
          <w:sz w:val="32"/>
          <w:szCs w:val="32"/>
        </w:rPr>
        <w:t>1</w:t>
      </w:r>
    </w:p>
    <w:p w14:paraId="3CF63454">
      <w:pPr>
        <w:pStyle w:val="14"/>
        <w:tabs>
          <w:tab w:val="right" w:leader="middleDot" w:pos="735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一、部门职责</w:t>
      </w:r>
      <w:r>
        <w:rPr>
          <w:rFonts w:hint="eastAsia" w:eastAsia="仿宋_GB2312" w:cs="仿宋_GB2312"/>
          <w:sz w:val="32"/>
          <w:szCs w:val="32"/>
        </w:rPr>
        <w:tab/>
      </w:r>
      <w:r>
        <w:rPr>
          <w:rFonts w:hint="eastAsia" w:eastAsia="仿宋_GB2312" w:cs="仿宋_GB2312"/>
          <w:sz w:val="32"/>
          <w:szCs w:val="32"/>
        </w:rPr>
        <w:t>1</w:t>
      </w:r>
    </w:p>
    <w:p w14:paraId="7FCE0ADD">
      <w:pPr>
        <w:pStyle w:val="14"/>
        <w:tabs>
          <w:tab w:val="right" w:leader="middleDot" w:pos="735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二、机构设置</w:t>
      </w:r>
      <w:r>
        <w:rPr>
          <w:rFonts w:hint="eastAsia" w:eastAsia="仿宋_GB2312" w:cs="仿宋_GB2312"/>
          <w:sz w:val="32"/>
          <w:szCs w:val="32"/>
        </w:rPr>
        <w:tab/>
      </w:r>
      <w:r>
        <w:rPr>
          <w:rFonts w:hint="eastAsia" w:eastAsia="仿宋_GB2312" w:cs="仿宋_GB2312"/>
          <w:sz w:val="32"/>
          <w:szCs w:val="32"/>
        </w:rPr>
        <w:t>2</w:t>
      </w:r>
    </w:p>
    <w:p w14:paraId="3904A28B">
      <w:pPr>
        <w:pStyle w:val="13"/>
        <w:tabs>
          <w:tab w:val="right" w:leader="middleDot" w:pos="7350"/>
        </w:tabs>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第二部分</w:t>
      </w:r>
      <w:r>
        <w:rPr>
          <w:rFonts w:ascii="Times New Roman" w:hAnsi="Times New Roman" w:eastAsia="黑体" w:cs="黑体"/>
          <w:sz w:val="32"/>
          <w:szCs w:val="32"/>
        </w:rPr>
        <w:t xml:space="preserve"> 2024</w:t>
      </w:r>
      <w:r>
        <w:rPr>
          <w:rFonts w:hint="eastAsia" w:ascii="Times New Roman" w:hAnsi="Times New Roman" w:eastAsia="黑体" w:cs="黑体"/>
          <w:sz w:val="32"/>
          <w:szCs w:val="32"/>
        </w:rPr>
        <w:t>年度部门决算情况说明</w:t>
      </w:r>
      <w:r>
        <w:rPr>
          <w:rFonts w:hint="eastAsia" w:ascii="Times New Roman" w:hAnsi="Times New Roman" w:eastAsia="黑体" w:cs="黑体"/>
          <w:sz w:val="32"/>
          <w:szCs w:val="32"/>
        </w:rPr>
        <w:tab/>
      </w:r>
      <w:r>
        <w:rPr>
          <w:rFonts w:hint="eastAsia" w:ascii="Times New Roman" w:hAnsi="Times New Roman" w:eastAsia="黑体" w:cs="黑体"/>
          <w:sz w:val="32"/>
          <w:szCs w:val="32"/>
        </w:rPr>
        <w:t>3</w:t>
      </w:r>
    </w:p>
    <w:p w14:paraId="41F5537C">
      <w:pPr>
        <w:pStyle w:val="14"/>
        <w:tabs>
          <w:tab w:val="right" w:leader="middleDot" w:pos="735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一、收入支出决算总体情况说明</w:t>
      </w:r>
      <w:r>
        <w:rPr>
          <w:rFonts w:hint="eastAsia" w:eastAsia="仿宋_GB2312" w:cs="仿宋_GB2312"/>
          <w:sz w:val="32"/>
          <w:szCs w:val="32"/>
        </w:rPr>
        <w:tab/>
      </w:r>
      <w:r>
        <w:rPr>
          <w:rFonts w:hint="eastAsia" w:eastAsia="仿宋_GB2312" w:cs="仿宋_GB2312"/>
          <w:sz w:val="32"/>
          <w:szCs w:val="32"/>
        </w:rPr>
        <w:t>3</w:t>
      </w:r>
    </w:p>
    <w:p w14:paraId="0D24125D">
      <w:pPr>
        <w:pStyle w:val="14"/>
        <w:tabs>
          <w:tab w:val="right" w:leader="middleDot" w:pos="735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二、收入决算情况说明</w:t>
      </w:r>
      <w:r>
        <w:rPr>
          <w:rFonts w:hint="eastAsia" w:eastAsia="仿宋_GB2312" w:cs="仿宋_GB2312"/>
          <w:sz w:val="32"/>
          <w:szCs w:val="32"/>
        </w:rPr>
        <w:tab/>
      </w:r>
      <w:r>
        <w:rPr>
          <w:rFonts w:hint="eastAsia" w:eastAsia="仿宋_GB2312" w:cs="仿宋_GB2312"/>
          <w:sz w:val="32"/>
          <w:szCs w:val="32"/>
        </w:rPr>
        <w:t>3</w:t>
      </w:r>
    </w:p>
    <w:p w14:paraId="77C7FFDC">
      <w:pPr>
        <w:pStyle w:val="14"/>
        <w:tabs>
          <w:tab w:val="right" w:leader="middleDot" w:pos="735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三、支出决算情况说明</w:t>
      </w:r>
      <w:r>
        <w:rPr>
          <w:rFonts w:hint="eastAsia" w:eastAsia="仿宋_GB2312" w:cs="仿宋_GB2312"/>
          <w:sz w:val="32"/>
          <w:szCs w:val="32"/>
        </w:rPr>
        <w:tab/>
      </w:r>
      <w:r>
        <w:rPr>
          <w:rFonts w:hint="eastAsia" w:eastAsia="仿宋_GB2312" w:cs="仿宋_GB2312"/>
          <w:sz w:val="32"/>
          <w:szCs w:val="32"/>
        </w:rPr>
        <w:t>3</w:t>
      </w:r>
    </w:p>
    <w:p w14:paraId="11096D54">
      <w:pPr>
        <w:pStyle w:val="14"/>
        <w:tabs>
          <w:tab w:val="right" w:leader="middleDot" w:pos="735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四、财政拨款收入支出决算总体情况说明</w:t>
      </w:r>
      <w:r>
        <w:rPr>
          <w:rFonts w:hint="eastAsia" w:eastAsia="仿宋_GB2312" w:cs="仿宋_GB2312"/>
          <w:sz w:val="32"/>
          <w:szCs w:val="32"/>
        </w:rPr>
        <w:tab/>
      </w:r>
      <w:r>
        <w:rPr>
          <w:rFonts w:hint="eastAsia" w:eastAsia="仿宋_GB2312" w:cs="仿宋_GB2312"/>
          <w:sz w:val="32"/>
          <w:szCs w:val="32"/>
        </w:rPr>
        <w:t>3</w:t>
      </w:r>
    </w:p>
    <w:p w14:paraId="08F8A722">
      <w:pPr>
        <w:pStyle w:val="14"/>
        <w:tabs>
          <w:tab w:val="right" w:leader="middleDot" w:pos="735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五、一般公共预算财政拨款支出决算情况说明</w:t>
      </w:r>
      <w:r>
        <w:rPr>
          <w:rFonts w:hint="eastAsia" w:eastAsia="仿宋_GB2312" w:cs="仿宋_GB2312"/>
          <w:sz w:val="32"/>
          <w:szCs w:val="32"/>
        </w:rPr>
        <w:tab/>
      </w:r>
      <w:r>
        <w:rPr>
          <w:rFonts w:hint="eastAsia" w:eastAsia="仿宋_GB2312" w:cs="仿宋_GB2312"/>
          <w:sz w:val="32"/>
          <w:szCs w:val="32"/>
        </w:rPr>
        <w:t>4</w:t>
      </w:r>
    </w:p>
    <w:p w14:paraId="63D96150">
      <w:pPr>
        <w:pStyle w:val="14"/>
        <w:tabs>
          <w:tab w:val="right" w:leader="middleDot" w:pos="735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六、一般公共预算财政拨款基本支出决算情况说明5</w:t>
      </w:r>
    </w:p>
    <w:p w14:paraId="206B815F">
      <w:pPr>
        <w:pStyle w:val="14"/>
        <w:tabs>
          <w:tab w:val="right" w:leader="middleDot" w:pos="735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七、财政拨款“三公”经费支出决算情况说明</w:t>
      </w:r>
      <w:r>
        <w:rPr>
          <w:rFonts w:hint="eastAsia" w:eastAsia="仿宋_GB2312" w:cs="仿宋_GB2312"/>
          <w:sz w:val="32"/>
          <w:szCs w:val="32"/>
        </w:rPr>
        <w:tab/>
      </w:r>
      <w:r>
        <w:rPr>
          <w:rFonts w:hint="eastAsia" w:eastAsia="仿宋_GB2312" w:cs="仿宋_GB2312"/>
          <w:sz w:val="32"/>
          <w:szCs w:val="32"/>
        </w:rPr>
        <w:t>5</w:t>
      </w:r>
    </w:p>
    <w:p w14:paraId="2CFF6731">
      <w:pPr>
        <w:pStyle w:val="14"/>
        <w:tabs>
          <w:tab w:val="right" w:leader="middleDot" w:pos="735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八、政府性基金预算支出决算情况说明</w:t>
      </w:r>
      <w:r>
        <w:rPr>
          <w:rFonts w:hint="eastAsia" w:eastAsia="仿宋_GB2312" w:cs="仿宋_GB2312"/>
          <w:sz w:val="32"/>
          <w:szCs w:val="32"/>
        </w:rPr>
        <w:tab/>
      </w:r>
      <w:r>
        <w:rPr>
          <w:rFonts w:hint="eastAsia" w:eastAsia="仿宋_GB2312" w:cs="仿宋_GB2312"/>
          <w:sz w:val="32"/>
          <w:szCs w:val="32"/>
        </w:rPr>
        <w:t>6</w:t>
      </w:r>
    </w:p>
    <w:p w14:paraId="68BF7751">
      <w:pPr>
        <w:pStyle w:val="14"/>
        <w:tabs>
          <w:tab w:val="right" w:leader="middleDot" w:pos="7350"/>
        </w:tabs>
        <w:adjustRightInd w:val="0"/>
        <w:snapToGrid w:val="0"/>
        <w:spacing w:line="560" w:lineRule="exact"/>
        <w:ind w:left="0" w:leftChars="0"/>
        <w:jc w:val="left"/>
        <w:rPr>
          <w:rFonts w:hint="eastAsia" w:eastAsia="仿宋_GB2312" w:cs="仿宋_GB2312"/>
          <w:sz w:val="32"/>
          <w:szCs w:val="32"/>
          <w:lang w:val="en-US" w:eastAsia="zh-CN"/>
        </w:rPr>
      </w:pPr>
      <w:r>
        <w:rPr>
          <w:rFonts w:hint="eastAsia" w:eastAsia="仿宋_GB2312" w:cs="仿宋_GB2312"/>
          <w:sz w:val="32"/>
          <w:szCs w:val="32"/>
        </w:rPr>
        <w:t>九、国有资本经营预算支出决算情况说明</w:t>
      </w:r>
      <w:r>
        <w:rPr>
          <w:rFonts w:hint="eastAsia" w:eastAsia="仿宋_GB2312" w:cs="仿宋_GB2312"/>
          <w:sz w:val="32"/>
          <w:szCs w:val="32"/>
        </w:rPr>
        <w:tab/>
      </w:r>
      <w:r>
        <w:rPr>
          <w:rFonts w:hint="eastAsia" w:eastAsia="仿宋_GB2312" w:cs="仿宋_GB2312"/>
          <w:sz w:val="32"/>
          <w:szCs w:val="32"/>
          <w:lang w:val="en-US" w:eastAsia="zh-CN"/>
        </w:rPr>
        <w:t>6</w:t>
      </w:r>
    </w:p>
    <w:p w14:paraId="69D604C2">
      <w:pPr>
        <w:pStyle w:val="14"/>
        <w:tabs>
          <w:tab w:val="right" w:leader="middleDot" w:pos="735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十、其他重要事项的情况说明</w:t>
      </w:r>
      <w:r>
        <w:rPr>
          <w:rFonts w:hint="eastAsia" w:eastAsia="仿宋_GB2312" w:cs="仿宋_GB2312"/>
          <w:sz w:val="32"/>
          <w:szCs w:val="32"/>
        </w:rPr>
        <w:tab/>
      </w:r>
      <w:r>
        <w:rPr>
          <w:rFonts w:hint="eastAsia" w:eastAsia="仿宋_GB2312" w:cs="仿宋_GB2312"/>
          <w:sz w:val="32"/>
          <w:szCs w:val="32"/>
        </w:rPr>
        <w:t>7</w:t>
      </w:r>
    </w:p>
    <w:p w14:paraId="1F2634D1">
      <w:pPr>
        <w:pStyle w:val="13"/>
        <w:tabs>
          <w:tab w:val="right" w:leader="middleDot" w:pos="7350"/>
        </w:tabs>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第三部分</w:t>
      </w:r>
      <w:r>
        <w:rPr>
          <w:rFonts w:ascii="Times New Roman" w:hAnsi="Times New Roman" w:eastAsia="黑体" w:cs="黑体"/>
          <w:sz w:val="32"/>
          <w:szCs w:val="32"/>
        </w:rPr>
        <w:t xml:space="preserve"> </w:t>
      </w:r>
      <w:r>
        <w:rPr>
          <w:rFonts w:hint="eastAsia" w:ascii="Times New Roman" w:hAnsi="Times New Roman" w:eastAsia="黑体" w:cs="黑体"/>
          <w:sz w:val="32"/>
          <w:szCs w:val="32"/>
        </w:rPr>
        <w:t>名词解释</w:t>
      </w:r>
      <w:r>
        <w:rPr>
          <w:rFonts w:hint="eastAsia" w:ascii="Times New Roman" w:hAnsi="Times New Roman" w:eastAsia="黑体" w:cs="黑体"/>
          <w:sz w:val="32"/>
          <w:szCs w:val="32"/>
        </w:rPr>
        <w:tab/>
      </w:r>
      <w:r>
        <w:rPr>
          <w:rFonts w:hint="eastAsia" w:ascii="Times New Roman" w:hAnsi="Times New Roman" w:eastAsia="黑体" w:cs="黑体"/>
          <w:sz w:val="32"/>
          <w:szCs w:val="32"/>
        </w:rPr>
        <w:t>9</w:t>
      </w:r>
    </w:p>
    <w:p w14:paraId="058B1623">
      <w:pPr>
        <w:pStyle w:val="13"/>
        <w:tabs>
          <w:tab w:val="right" w:leader="middleDot" w:pos="7350"/>
        </w:tabs>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第四部分</w:t>
      </w:r>
      <w:r>
        <w:rPr>
          <w:rFonts w:ascii="Times New Roman" w:hAnsi="Times New Roman" w:eastAsia="黑体" w:cs="黑体"/>
          <w:sz w:val="32"/>
          <w:szCs w:val="32"/>
        </w:rPr>
        <w:t xml:space="preserve"> </w:t>
      </w:r>
      <w:r>
        <w:rPr>
          <w:rFonts w:hint="eastAsia" w:ascii="Times New Roman" w:hAnsi="Times New Roman" w:eastAsia="黑体" w:cs="黑体"/>
          <w:sz w:val="32"/>
          <w:szCs w:val="32"/>
        </w:rPr>
        <w:t>附件</w:t>
      </w:r>
      <w:r>
        <w:rPr>
          <w:rFonts w:hint="eastAsia" w:ascii="Times New Roman" w:hAnsi="Times New Roman" w:eastAsia="黑体" w:cs="黑体"/>
          <w:sz w:val="32"/>
          <w:szCs w:val="32"/>
        </w:rPr>
        <w:tab/>
      </w:r>
      <w:r>
        <w:rPr>
          <w:rFonts w:hint="eastAsia" w:ascii="Times New Roman" w:hAnsi="Times New Roman" w:eastAsia="黑体" w:cs="黑体"/>
          <w:sz w:val="32"/>
          <w:szCs w:val="32"/>
        </w:rPr>
        <w:t>12</w:t>
      </w:r>
    </w:p>
    <w:p w14:paraId="190E5BD7">
      <w:pPr>
        <w:pStyle w:val="13"/>
        <w:tabs>
          <w:tab w:val="right" w:leader="middleDot" w:pos="7350"/>
        </w:tabs>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第五部分</w:t>
      </w:r>
      <w:r>
        <w:rPr>
          <w:rFonts w:ascii="Times New Roman" w:hAnsi="Times New Roman" w:eastAsia="黑体" w:cs="黑体"/>
          <w:sz w:val="32"/>
          <w:szCs w:val="32"/>
        </w:rPr>
        <w:t xml:space="preserve"> </w:t>
      </w:r>
      <w:r>
        <w:rPr>
          <w:rFonts w:hint="eastAsia" w:ascii="Times New Roman" w:hAnsi="Times New Roman" w:eastAsia="黑体" w:cs="黑体"/>
          <w:sz w:val="32"/>
          <w:szCs w:val="32"/>
        </w:rPr>
        <w:t>附表</w:t>
      </w:r>
      <w:r>
        <w:rPr>
          <w:rFonts w:hint="eastAsia" w:ascii="Times New Roman" w:hAnsi="Times New Roman" w:eastAsia="黑体" w:cs="黑体"/>
          <w:sz w:val="32"/>
          <w:szCs w:val="32"/>
        </w:rPr>
        <w:tab/>
      </w:r>
      <w:r>
        <w:rPr>
          <w:rFonts w:hint="eastAsia" w:ascii="Times New Roman" w:hAnsi="Times New Roman" w:eastAsia="黑体" w:cs="黑体"/>
          <w:sz w:val="32"/>
          <w:szCs w:val="32"/>
        </w:rPr>
        <w:t>21</w:t>
      </w:r>
    </w:p>
    <w:p w14:paraId="102A9522">
      <w:pPr>
        <w:pStyle w:val="14"/>
        <w:tabs>
          <w:tab w:val="right" w:leader="middleDot" w:pos="735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一、收入支出决算总表</w:t>
      </w:r>
      <w:r>
        <w:rPr>
          <w:rFonts w:hint="eastAsia" w:eastAsia="仿宋_GB2312" w:cs="仿宋_GB2312"/>
          <w:sz w:val="32"/>
          <w:szCs w:val="32"/>
        </w:rPr>
        <w:tab/>
      </w:r>
      <w:r>
        <w:rPr>
          <w:rFonts w:hint="eastAsia" w:eastAsia="仿宋_GB2312" w:cs="仿宋_GB2312"/>
          <w:sz w:val="32"/>
          <w:szCs w:val="32"/>
        </w:rPr>
        <w:t>21</w:t>
      </w:r>
    </w:p>
    <w:p w14:paraId="7D765147">
      <w:pPr>
        <w:pStyle w:val="14"/>
        <w:tabs>
          <w:tab w:val="right" w:leader="middleDot" w:pos="735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二、收入决算表</w:t>
      </w:r>
      <w:r>
        <w:rPr>
          <w:rFonts w:hint="eastAsia" w:eastAsia="仿宋_GB2312" w:cs="仿宋_GB2312"/>
          <w:sz w:val="32"/>
          <w:szCs w:val="32"/>
        </w:rPr>
        <w:tab/>
      </w:r>
      <w:r>
        <w:rPr>
          <w:rFonts w:hint="eastAsia" w:eastAsia="仿宋_GB2312" w:cs="仿宋_GB2312"/>
          <w:sz w:val="32"/>
          <w:szCs w:val="32"/>
        </w:rPr>
        <w:t>21</w:t>
      </w:r>
    </w:p>
    <w:p w14:paraId="68F9616F">
      <w:pPr>
        <w:pStyle w:val="14"/>
        <w:tabs>
          <w:tab w:val="right" w:leader="middleDot" w:pos="735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三、支出决算表</w:t>
      </w:r>
      <w:r>
        <w:rPr>
          <w:rFonts w:hint="eastAsia" w:eastAsia="仿宋_GB2312" w:cs="仿宋_GB2312"/>
          <w:sz w:val="32"/>
          <w:szCs w:val="32"/>
        </w:rPr>
        <w:tab/>
      </w:r>
      <w:r>
        <w:rPr>
          <w:rFonts w:hint="eastAsia" w:eastAsia="仿宋_GB2312" w:cs="仿宋_GB2312"/>
          <w:sz w:val="32"/>
          <w:szCs w:val="32"/>
        </w:rPr>
        <w:t>21</w:t>
      </w:r>
    </w:p>
    <w:p w14:paraId="795786D2">
      <w:pPr>
        <w:pStyle w:val="14"/>
        <w:tabs>
          <w:tab w:val="right" w:leader="middleDot" w:pos="735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四、财政拨款收入支出决算总表</w:t>
      </w:r>
      <w:r>
        <w:rPr>
          <w:rFonts w:hint="eastAsia" w:eastAsia="仿宋_GB2312" w:cs="仿宋_GB2312"/>
          <w:sz w:val="32"/>
          <w:szCs w:val="32"/>
        </w:rPr>
        <w:tab/>
      </w:r>
      <w:r>
        <w:rPr>
          <w:rFonts w:hint="eastAsia" w:eastAsia="仿宋_GB2312" w:cs="仿宋_GB2312"/>
          <w:sz w:val="32"/>
          <w:szCs w:val="32"/>
        </w:rPr>
        <w:t>21</w:t>
      </w:r>
    </w:p>
    <w:p w14:paraId="0FFF5D54">
      <w:pPr>
        <w:pStyle w:val="14"/>
        <w:tabs>
          <w:tab w:val="right" w:leader="middleDot" w:pos="735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五、财政拨款支出决算明细表</w:t>
      </w:r>
      <w:r>
        <w:rPr>
          <w:rFonts w:hint="eastAsia" w:eastAsia="仿宋_GB2312" w:cs="仿宋_GB2312"/>
          <w:sz w:val="32"/>
          <w:szCs w:val="32"/>
        </w:rPr>
        <w:tab/>
      </w:r>
      <w:r>
        <w:rPr>
          <w:rFonts w:hint="eastAsia" w:eastAsia="仿宋_GB2312" w:cs="仿宋_GB2312"/>
          <w:sz w:val="32"/>
          <w:szCs w:val="32"/>
        </w:rPr>
        <w:t>21</w:t>
      </w:r>
    </w:p>
    <w:p w14:paraId="11550909">
      <w:pPr>
        <w:pStyle w:val="14"/>
        <w:tabs>
          <w:tab w:val="right" w:leader="middleDot" w:pos="735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六、一般公共预算财政拨款支出决算表</w:t>
      </w:r>
      <w:r>
        <w:rPr>
          <w:rFonts w:hint="eastAsia" w:eastAsia="仿宋_GB2312" w:cs="仿宋_GB2312"/>
          <w:sz w:val="32"/>
          <w:szCs w:val="32"/>
        </w:rPr>
        <w:tab/>
      </w:r>
      <w:r>
        <w:rPr>
          <w:rFonts w:hint="eastAsia" w:eastAsia="仿宋_GB2312" w:cs="仿宋_GB2312"/>
          <w:sz w:val="32"/>
          <w:szCs w:val="32"/>
        </w:rPr>
        <w:t>21</w:t>
      </w:r>
    </w:p>
    <w:p w14:paraId="10F55EBD">
      <w:pPr>
        <w:pStyle w:val="14"/>
        <w:tabs>
          <w:tab w:val="right" w:leader="middleDot" w:pos="735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七、一般公共预算财政拨款支出决算明细表</w:t>
      </w:r>
      <w:r>
        <w:rPr>
          <w:rFonts w:hint="eastAsia" w:eastAsia="仿宋_GB2312" w:cs="仿宋_GB2312"/>
          <w:sz w:val="32"/>
          <w:szCs w:val="32"/>
        </w:rPr>
        <w:tab/>
      </w:r>
      <w:r>
        <w:rPr>
          <w:rFonts w:hint="eastAsia" w:eastAsia="仿宋_GB2312" w:cs="仿宋_GB2312"/>
          <w:sz w:val="32"/>
          <w:szCs w:val="32"/>
        </w:rPr>
        <w:t>21</w:t>
      </w:r>
    </w:p>
    <w:p w14:paraId="410B44D9">
      <w:pPr>
        <w:pStyle w:val="14"/>
        <w:tabs>
          <w:tab w:val="right" w:leader="middleDot" w:pos="735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八、一般公共预算财政拨款基本支出决算明细表</w:t>
      </w:r>
      <w:r>
        <w:rPr>
          <w:rFonts w:hint="eastAsia" w:eastAsia="仿宋_GB2312" w:cs="仿宋_GB2312"/>
          <w:sz w:val="32"/>
          <w:szCs w:val="32"/>
        </w:rPr>
        <w:tab/>
      </w:r>
      <w:r>
        <w:rPr>
          <w:rFonts w:hint="eastAsia" w:eastAsia="仿宋_GB2312" w:cs="仿宋_GB2312"/>
          <w:sz w:val="32"/>
          <w:szCs w:val="32"/>
        </w:rPr>
        <w:t>21</w:t>
      </w:r>
    </w:p>
    <w:p w14:paraId="57E4F62D">
      <w:pPr>
        <w:pStyle w:val="14"/>
        <w:tabs>
          <w:tab w:val="right" w:leader="middleDot" w:pos="735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九、一般公共预算财政拨款项目支出决算表</w:t>
      </w:r>
      <w:r>
        <w:rPr>
          <w:rFonts w:hint="eastAsia" w:eastAsia="仿宋_GB2312" w:cs="仿宋_GB2312"/>
          <w:sz w:val="32"/>
          <w:szCs w:val="32"/>
        </w:rPr>
        <w:tab/>
      </w:r>
      <w:r>
        <w:rPr>
          <w:rFonts w:hint="eastAsia" w:eastAsia="仿宋_GB2312" w:cs="仿宋_GB2312"/>
          <w:sz w:val="32"/>
          <w:szCs w:val="32"/>
        </w:rPr>
        <w:t>21</w:t>
      </w:r>
    </w:p>
    <w:p w14:paraId="09435FC4">
      <w:pPr>
        <w:pStyle w:val="14"/>
        <w:tabs>
          <w:tab w:val="right" w:leader="middleDot" w:pos="735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十、政府性基金预算财政拨款收入支出决算表</w:t>
      </w:r>
      <w:r>
        <w:rPr>
          <w:rFonts w:hint="eastAsia" w:eastAsia="仿宋_GB2312" w:cs="仿宋_GB2312"/>
          <w:sz w:val="32"/>
          <w:szCs w:val="32"/>
        </w:rPr>
        <w:tab/>
      </w:r>
      <w:r>
        <w:rPr>
          <w:rFonts w:hint="eastAsia" w:eastAsia="仿宋_GB2312" w:cs="仿宋_GB2312"/>
          <w:sz w:val="32"/>
          <w:szCs w:val="32"/>
        </w:rPr>
        <w:t>21</w:t>
      </w:r>
    </w:p>
    <w:p w14:paraId="4086AF1B">
      <w:pPr>
        <w:pStyle w:val="14"/>
        <w:tabs>
          <w:tab w:val="right" w:leader="middleDot" w:pos="735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十一、国有资本经营预算财政拨款收入支出决算表21</w:t>
      </w:r>
    </w:p>
    <w:p w14:paraId="2DDFA722">
      <w:pPr>
        <w:pStyle w:val="14"/>
        <w:tabs>
          <w:tab w:val="right" w:leader="middleDot" w:pos="735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十二、国有资本经营预算财政拨款支出决算表</w:t>
      </w:r>
      <w:r>
        <w:rPr>
          <w:rFonts w:hint="eastAsia" w:eastAsia="仿宋_GB2312" w:cs="仿宋_GB2312"/>
          <w:sz w:val="32"/>
          <w:szCs w:val="32"/>
        </w:rPr>
        <w:tab/>
      </w:r>
      <w:r>
        <w:rPr>
          <w:rFonts w:hint="eastAsia" w:eastAsia="仿宋_GB2312" w:cs="仿宋_GB2312"/>
          <w:sz w:val="32"/>
          <w:szCs w:val="32"/>
        </w:rPr>
        <w:t>21</w:t>
      </w:r>
    </w:p>
    <w:p w14:paraId="17F0A3EB">
      <w:pPr>
        <w:pStyle w:val="14"/>
        <w:tabs>
          <w:tab w:val="right" w:leader="middleDot" w:pos="7350"/>
        </w:tabs>
        <w:adjustRightInd w:val="0"/>
        <w:snapToGrid w:val="0"/>
        <w:spacing w:line="560" w:lineRule="exact"/>
        <w:ind w:left="0" w:leftChars="0"/>
        <w:jc w:val="left"/>
        <w:rPr>
          <w:rFonts w:eastAsia="仿宋_GB2312" w:cs="仿宋_GB2312"/>
          <w:sz w:val="32"/>
          <w:szCs w:val="32"/>
        </w:rPr>
      </w:pPr>
      <w:r>
        <w:rPr>
          <w:rFonts w:hint="eastAsia" w:eastAsia="仿宋_GB2312" w:cs="仿宋_GB2312"/>
          <w:sz w:val="32"/>
          <w:szCs w:val="32"/>
        </w:rPr>
        <w:t>十三、财政拨款“三公”经费支出决算表</w:t>
      </w:r>
      <w:r>
        <w:rPr>
          <w:rFonts w:hint="eastAsia" w:eastAsia="仿宋_GB2312" w:cs="仿宋_GB2312"/>
          <w:sz w:val="32"/>
          <w:szCs w:val="32"/>
        </w:rPr>
        <w:tab/>
      </w:r>
      <w:r>
        <w:rPr>
          <w:rFonts w:hint="eastAsia" w:eastAsia="仿宋_GB2312" w:cs="仿宋_GB2312"/>
          <w:sz w:val="32"/>
          <w:szCs w:val="32"/>
        </w:rPr>
        <w:t>21</w:t>
      </w:r>
    </w:p>
    <w:p w14:paraId="1BEA5D54">
      <w:pPr>
        <w:widowControl/>
        <w:spacing w:line="560" w:lineRule="exact"/>
        <w:jc w:val="left"/>
        <w:rPr>
          <w:rFonts w:eastAsia="仿宋_GB2312" w:cs="仿宋_GB2312"/>
          <w:b/>
          <w:sz w:val="32"/>
          <w:szCs w:val="32"/>
        </w:rPr>
      </w:pPr>
      <w:bookmarkStart w:id="6" w:name="_Toc15377196"/>
      <w:bookmarkStart w:id="7" w:name="_Toc15396599"/>
    </w:p>
    <w:p w14:paraId="466F2A7B">
      <w:pPr>
        <w:pStyle w:val="2"/>
      </w:pPr>
    </w:p>
    <w:p w14:paraId="260346C0">
      <w:pPr>
        <w:pStyle w:val="3"/>
        <w:ind w:left="420"/>
      </w:pPr>
    </w:p>
    <w:p w14:paraId="68451395">
      <w:pPr>
        <w:pStyle w:val="3"/>
        <w:ind w:left="420"/>
      </w:pPr>
    </w:p>
    <w:p w14:paraId="032B891F">
      <w:pPr>
        <w:pStyle w:val="3"/>
        <w:ind w:left="420"/>
      </w:pPr>
    </w:p>
    <w:p w14:paraId="71870EE2">
      <w:pPr>
        <w:pStyle w:val="3"/>
        <w:ind w:left="420"/>
      </w:pPr>
    </w:p>
    <w:p w14:paraId="20B697BE">
      <w:pPr>
        <w:pStyle w:val="3"/>
        <w:ind w:left="420"/>
      </w:pPr>
    </w:p>
    <w:p w14:paraId="50A0098C">
      <w:pPr>
        <w:pStyle w:val="3"/>
        <w:ind w:left="420"/>
      </w:pPr>
    </w:p>
    <w:p w14:paraId="562FC498">
      <w:pPr>
        <w:pStyle w:val="3"/>
        <w:ind w:left="420"/>
      </w:pPr>
    </w:p>
    <w:p w14:paraId="4EB63516">
      <w:pPr>
        <w:pStyle w:val="3"/>
        <w:ind w:left="420"/>
      </w:pPr>
    </w:p>
    <w:p w14:paraId="07BC1FBA">
      <w:pPr>
        <w:pStyle w:val="3"/>
        <w:ind w:left="420"/>
      </w:pPr>
    </w:p>
    <w:p w14:paraId="1DA82AD2">
      <w:pPr>
        <w:pStyle w:val="3"/>
        <w:ind w:left="420"/>
      </w:pPr>
    </w:p>
    <w:p w14:paraId="3A523BC9">
      <w:pPr>
        <w:pStyle w:val="3"/>
        <w:ind w:left="420"/>
        <w:sectPr>
          <w:footerReference r:id="rId6" w:type="first"/>
          <w:footerReference r:id="rId5" w:type="default"/>
          <w:pgSz w:w="11906" w:h="16838"/>
          <w:pgMar w:top="1440" w:right="1800" w:bottom="1440" w:left="1800" w:header="851" w:footer="992" w:gutter="0"/>
          <w:pgNumType w:fmt="numberInDash" w:start="1" w:chapStyle="1"/>
          <w:cols w:space="425" w:num="1"/>
          <w:docGrid w:type="lines" w:linePitch="312" w:charSpace="0"/>
        </w:sectPr>
      </w:pPr>
    </w:p>
    <w:p w14:paraId="7E4CEFDD">
      <w:pPr>
        <w:pStyle w:val="3"/>
        <w:ind w:left="420"/>
      </w:pPr>
    </w:p>
    <w:p w14:paraId="3EEDBC57">
      <w:pPr>
        <w:pStyle w:val="5"/>
        <w:jc w:val="center"/>
        <w:rPr>
          <w:rFonts w:eastAsia="方正小标宋简体" w:cs="方正小标宋简体"/>
          <w:bCs w:val="0"/>
        </w:rPr>
      </w:pPr>
      <w:r>
        <w:rPr>
          <w:rFonts w:hint="eastAsia" w:eastAsia="方正小标宋简体" w:cs="方正小标宋简体"/>
          <w:b w:val="0"/>
        </w:rPr>
        <w:t>第一部分</w:t>
      </w:r>
      <w:r>
        <w:rPr>
          <w:rFonts w:eastAsia="方正小标宋简体" w:cs="方正小标宋简体"/>
          <w:b w:val="0"/>
        </w:rPr>
        <w:t xml:space="preserve">  </w:t>
      </w:r>
      <w:r>
        <w:rPr>
          <w:rStyle w:val="19"/>
          <w:rFonts w:hint="eastAsia" w:eastAsia="方正小标宋简体" w:cs="方正小标宋简体"/>
          <w:b w:val="0"/>
          <w:bCs w:val="0"/>
        </w:rPr>
        <w:t>部门概况</w:t>
      </w:r>
      <w:bookmarkEnd w:id="6"/>
      <w:bookmarkEnd w:id="7"/>
    </w:p>
    <w:p w14:paraId="4FFF1899">
      <w:pPr>
        <w:pStyle w:val="6"/>
        <w:numPr>
          <w:ilvl w:val="0"/>
          <w:numId w:val="1"/>
        </w:numPr>
        <w:rPr>
          <w:rFonts w:ascii="Times New Roman" w:hAnsi="Times New Roman" w:eastAsia="黑体"/>
          <w:b w:val="0"/>
        </w:rPr>
      </w:pPr>
      <w:r>
        <w:rPr>
          <w:rFonts w:hint="eastAsia" w:ascii="Times New Roman" w:hAnsi="Times New Roman" w:eastAsia="黑体"/>
          <w:b w:val="0"/>
        </w:rPr>
        <w:t>部门职责</w:t>
      </w:r>
    </w:p>
    <w:p w14:paraId="4E0504CD">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202</w:t>
      </w:r>
      <w:r>
        <w:rPr>
          <w:rFonts w:hint="eastAsia" w:ascii="仿宋_GB2312" w:hAnsi="仿宋_GB2312" w:eastAsia="仿宋_GB2312" w:cs="仿宋_GB2312"/>
          <w:sz w:val="32"/>
          <w:szCs w:val="32"/>
        </w:rPr>
        <w:t>4年九寨沟县信访局始终坚持以习近平新时代中国特色社会主义思想为指导，深入贯彻落实中央、省委和州委关于做好信访工作的决策部署，紧扣实施“全域发展、绿色崛起”总体战略，高质量推进信访维稳工作，努力探索出一条与县情、民情相适应的九寨信访模式，全县呈现出“信访秩序全面好转，信访办结率、停访息诉率、群众满意率三个提高，越级信访、重复信访、异常信访三个下降”的良好态势，总体部署主要工作职能是</w:t>
      </w:r>
      <w:r>
        <w:rPr>
          <w:rFonts w:ascii="仿宋_GB2312" w:hAnsi="仿宋_GB2312" w:eastAsia="仿宋_GB2312" w:cs="仿宋_GB2312"/>
          <w:sz w:val="32"/>
          <w:szCs w:val="32"/>
        </w:rPr>
        <w:t>:</w:t>
      </w:r>
    </w:p>
    <w:p w14:paraId="68D050EB">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贯彻党和国家关于信访工作的方针、政策和规定及《国务院信访工作条例》，分析、研究、调查、汇报信访资料，为领导提供决策依据。</w:t>
      </w:r>
    </w:p>
    <w:p w14:paraId="1FC1F62B">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负责处理县内外群众、境外人士、法人及其他组织通过信访渠道给县委、县政府及领导同志的来信来电，接待来访；承办州信访局及有关部门转送、交办的群众来信来电来访。</w:t>
      </w:r>
    </w:p>
    <w:p w14:paraId="0969FCC1">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负责向县委、县政府反映来信来电来访中提出的重要建议、意见和问题；综合研判信访信息，开展调查研究，提出制定修改完善有关政策的建议。</w:t>
      </w:r>
    </w:p>
    <w:p w14:paraId="1A26FECA">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、承担督促检查有关指示件落实情况的责任，拟定信访督查制度并组织实施，承办省、州、县领导同志交办信访事项的落实；向各乡镇和部门转办、交办信访事项；督促检查重要信访事项的处理和落实。</w:t>
      </w:r>
    </w:p>
    <w:p w14:paraId="0039A7F5">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、承担办理县联席办、信访局及有关部门转送、交办的群众信访事项。协调处理到州赴省进京集体访和进京非正常访的问题；综合协调处理跨地区、跨部门的重要信访问题。</w:t>
      </w:r>
    </w:p>
    <w:p w14:paraId="3E4C3842">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6</w:t>
      </w:r>
      <w:r>
        <w:rPr>
          <w:rFonts w:hint="eastAsia" w:ascii="仿宋_GB2312" w:hAnsi="仿宋_GB2312" w:eastAsia="仿宋_GB2312" w:cs="仿宋_GB2312"/>
          <w:sz w:val="32"/>
          <w:szCs w:val="32"/>
        </w:rPr>
        <w:t>、协调指导全县信访工作。研究、起草全县有关信访工作的规范性文件；提出改进和加强信访工作的意见和建议；指导县内各部门的信访工作和乡镇的信访工作。</w:t>
      </w:r>
    </w:p>
    <w:p w14:paraId="637BF927">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7.</w:t>
      </w:r>
      <w:r>
        <w:rPr>
          <w:rFonts w:hint="eastAsia" w:ascii="仿宋_GB2312" w:hAnsi="仿宋_GB2312" w:eastAsia="仿宋_GB2312" w:cs="仿宋_GB2312"/>
          <w:sz w:val="32"/>
          <w:szCs w:val="32"/>
        </w:rPr>
        <w:t>制定信访问题排查化解制度并组织实施；建立完善信访动态分析机制，指导全县信访信息系统建设和应用。</w:t>
      </w:r>
    </w:p>
    <w:p w14:paraId="042C3228">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8</w:t>
      </w:r>
      <w:r>
        <w:rPr>
          <w:rFonts w:hint="eastAsia" w:ascii="仿宋_GB2312" w:hAnsi="仿宋_GB2312" w:eastAsia="仿宋_GB2312" w:cs="仿宋_GB2312"/>
          <w:sz w:val="32"/>
          <w:szCs w:val="32"/>
        </w:rPr>
        <w:t>、承担县信访工作联席会议的日常工作；督促落实会议决定事项。</w:t>
      </w:r>
    </w:p>
    <w:p w14:paraId="38C22632">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9.</w:t>
      </w:r>
      <w:r>
        <w:rPr>
          <w:rFonts w:hint="eastAsia" w:ascii="仿宋_GB2312" w:hAnsi="仿宋_GB2312" w:eastAsia="仿宋_GB2312" w:cs="仿宋_GB2312"/>
          <w:sz w:val="32"/>
          <w:szCs w:val="32"/>
        </w:rPr>
        <w:t>负责全县信访工作的宣传和信息发布。</w:t>
      </w:r>
    </w:p>
    <w:p w14:paraId="2EBAFF99">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10.</w:t>
      </w:r>
      <w:r>
        <w:rPr>
          <w:rFonts w:hint="eastAsia" w:ascii="仿宋_GB2312" w:hAnsi="仿宋_GB2312" w:eastAsia="仿宋_GB2312" w:cs="仿宋_GB2312"/>
          <w:sz w:val="32"/>
          <w:szCs w:val="32"/>
        </w:rPr>
        <w:t>承办县委、县政府交办的其他事项。</w:t>
      </w:r>
    </w:p>
    <w:p w14:paraId="79CAB116">
      <w:pPr>
        <w:pStyle w:val="6"/>
        <w:rPr>
          <w:rStyle w:val="20"/>
          <w:rFonts w:ascii="Times New Roman" w:hAnsi="Times New Roman"/>
          <w:b w:val="0"/>
          <w:bCs w:val="0"/>
        </w:rPr>
      </w:pPr>
      <w:bookmarkStart w:id="8" w:name="_Toc15377200"/>
      <w:bookmarkStart w:id="9" w:name="_Toc15396601"/>
      <w:r>
        <w:rPr>
          <w:rFonts w:hint="eastAsia" w:ascii="Times New Roman" w:hAnsi="Times New Roman" w:eastAsia="黑体"/>
          <w:b w:val="0"/>
        </w:rPr>
        <w:t>二、机</w:t>
      </w:r>
      <w:r>
        <w:rPr>
          <w:rStyle w:val="20"/>
          <w:rFonts w:hint="eastAsia" w:ascii="Times New Roman" w:hAnsi="Times New Roman" w:eastAsia="黑体"/>
          <w:b w:val="0"/>
          <w:bCs w:val="0"/>
        </w:rPr>
        <w:t>构设置</w:t>
      </w:r>
      <w:bookmarkEnd w:id="8"/>
      <w:bookmarkEnd w:id="9"/>
    </w:p>
    <w:p w14:paraId="0340A9A0">
      <w:pPr>
        <w:spacing w:line="560" w:lineRule="exact"/>
        <w:ind w:firstLine="640" w:firstLineChars="200"/>
        <w:rPr>
          <w:rFonts w:ascii="仿宋_GB2312" w:hAnsi="仿宋_GB2312" w:eastAsia="仿宋_GB2312" w:cs="仿宋_GB2312"/>
          <w:sz w:val="32"/>
          <w:szCs w:val="32"/>
        </w:rPr>
      </w:pPr>
      <w:bookmarkStart w:id="10" w:name="OLE_LINK1"/>
      <w:r>
        <w:rPr>
          <w:rFonts w:hint="eastAsia" w:ascii="仿宋_GB2312" w:hAnsi="仿宋_GB2312" w:eastAsia="仿宋_GB2312" w:cs="仿宋_GB2312"/>
          <w:sz w:val="32"/>
          <w:szCs w:val="32"/>
        </w:rPr>
        <w:t>县信访局是县人民政府工作部门</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为正科级，由中共九寨沟县委社会工作部统一领导。内设两个办公室：综合办公室、督查督办股。公务员编制4名，事业编制</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名。年末实有人数9人。</w:t>
      </w:r>
    </w:p>
    <w:bookmarkEnd w:id="10"/>
    <w:p w14:paraId="527D2E91">
      <w:pPr>
        <w:widowControl/>
        <w:jc w:val="left"/>
        <w:rPr>
          <w:rFonts w:eastAsia="仿宋"/>
          <w:kern w:val="0"/>
          <w:sz w:val="32"/>
          <w:szCs w:val="32"/>
        </w:rPr>
      </w:pPr>
    </w:p>
    <w:p w14:paraId="118FD12C">
      <w:pPr>
        <w:pStyle w:val="5"/>
        <w:jc w:val="center"/>
        <w:rPr>
          <w:rFonts w:eastAsia="方正小标宋简体" w:cs="方正小标宋简体"/>
          <w:b w:val="0"/>
        </w:rPr>
      </w:pPr>
      <w:bookmarkStart w:id="11" w:name="_Toc15396602"/>
      <w:bookmarkStart w:id="12" w:name="_Toc15377204"/>
      <w:r>
        <w:rPr>
          <w:rFonts w:hint="eastAsia" w:eastAsia="方正小标宋简体" w:cs="方正小标宋简体"/>
          <w:b w:val="0"/>
        </w:rPr>
        <w:t>第二部分</w:t>
      </w:r>
      <w:r>
        <w:rPr>
          <w:rFonts w:eastAsia="方正小标宋简体" w:cs="方正小标宋简体"/>
          <w:b w:val="0"/>
        </w:rPr>
        <w:t xml:space="preserve">  2024</w:t>
      </w:r>
      <w:r>
        <w:rPr>
          <w:rFonts w:hint="eastAsia" w:eastAsia="方正小标宋简体" w:cs="方正小标宋简体"/>
          <w:b w:val="0"/>
        </w:rPr>
        <w:t>年度部门决算情况说明</w:t>
      </w:r>
      <w:bookmarkEnd w:id="11"/>
      <w:bookmarkEnd w:id="12"/>
    </w:p>
    <w:p w14:paraId="1560E3C2"/>
    <w:p w14:paraId="65796C49">
      <w:pPr>
        <w:pStyle w:val="34"/>
        <w:spacing w:line="600" w:lineRule="exact"/>
        <w:ind w:firstLine="640"/>
        <w:outlineLvl w:val="1"/>
        <w:rPr>
          <w:rStyle w:val="20"/>
          <w:rFonts w:ascii="Times New Roman" w:hAnsi="Times New Roman" w:eastAsia="黑体"/>
          <w:b w:val="0"/>
        </w:rPr>
      </w:pPr>
      <w:bookmarkStart w:id="13" w:name="_Toc15396603"/>
      <w:bookmarkStart w:id="14" w:name="_Toc15377205"/>
      <w:r>
        <w:rPr>
          <w:rFonts w:hint="eastAsia" w:eastAsia="黑体"/>
          <w:sz w:val="32"/>
          <w:szCs w:val="32"/>
        </w:rPr>
        <w:t>一、收</w:t>
      </w:r>
      <w:r>
        <w:rPr>
          <w:rStyle w:val="20"/>
          <w:rFonts w:hint="eastAsia" w:ascii="Times New Roman" w:hAnsi="Times New Roman" w:eastAsia="黑体"/>
          <w:b w:val="0"/>
        </w:rPr>
        <w:t>入支出决算总体情况说明</w:t>
      </w:r>
      <w:bookmarkEnd w:id="13"/>
      <w:bookmarkEnd w:id="14"/>
    </w:p>
    <w:p w14:paraId="6B1EAE9C">
      <w:pPr>
        <w:pStyle w:val="34"/>
        <w:spacing w:line="600" w:lineRule="exact"/>
        <w:ind w:firstLine="640"/>
        <w:outlineLvl w:val="1"/>
        <w:rPr>
          <w:rFonts w:eastAsia="仿宋_GB2312" w:cs="仿宋_GB2312"/>
          <w:sz w:val="32"/>
          <w:szCs w:val="32"/>
        </w:rPr>
      </w:pPr>
      <w:r>
        <w:rPr>
          <w:rFonts w:eastAsia="仿宋_GB2312" w:cs="仿宋_GB2312"/>
          <w:sz w:val="32"/>
          <w:szCs w:val="32"/>
        </w:rPr>
        <w:t>2024</w:t>
      </w:r>
      <w:r>
        <w:rPr>
          <w:rFonts w:hint="eastAsia" w:eastAsia="仿宋_GB2312" w:cs="仿宋_GB2312"/>
          <w:sz w:val="32"/>
          <w:szCs w:val="32"/>
        </w:rPr>
        <w:t>年度收入、支出总计均为</w:t>
      </w:r>
      <w:r>
        <w:rPr>
          <w:rFonts w:ascii="仿宋_GB2312" w:hAnsi="仿宋_GB2312" w:eastAsia="仿宋_GB2312" w:cs="仿宋_GB2312"/>
          <w:sz w:val="32"/>
          <w:szCs w:val="32"/>
        </w:rPr>
        <w:t>204.87</w:t>
      </w:r>
      <w:r>
        <w:rPr>
          <w:rFonts w:hint="eastAsia" w:eastAsia="仿宋_GB2312" w:cs="仿宋_GB2312"/>
          <w:sz w:val="32"/>
          <w:szCs w:val="32"/>
        </w:rPr>
        <w:t>万元。与</w:t>
      </w:r>
      <w:r>
        <w:rPr>
          <w:rFonts w:eastAsia="仿宋_GB2312" w:cs="仿宋_GB2312"/>
          <w:sz w:val="32"/>
          <w:szCs w:val="32"/>
        </w:rPr>
        <w:t>2023</w:t>
      </w:r>
      <w:r>
        <w:rPr>
          <w:rFonts w:hint="eastAsia" w:eastAsia="仿宋_GB2312" w:cs="仿宋_GB2312"/>
          <w:sz w:val="32"/>
          <w:szCs w:val="32"/>
        </w:rPr>
        <w:t>年度相比，收入、支出总计减少5.06万元，下降2.4</w:t>
      </w:r>
      <w:r>
        <w:rPr>
          <w:rFonts w:eastAsia="仿宋_GB2312" w:cs="仿宋_GB2312"/>
          <w:sz w:val="32"/>
          <w:szCs w:val="32"/>
        </w:rPr>
        <w:t>%</w:t>
      </w:r>
      <w:r>
        <w:rPr>
          <w:rFonts w:hint="eastAsia" w:eastAsia="仿宋_GB2312" w:cs="仿宋_GB2312"/>
          <w:sz w:val="32"/>
          <w:szCs w:val="32"/>
        </w:rPr>
        <w:t>。主要变动原因是项目支出减少。</w:t>
      </w:r>
    </w:p>
    <w:p w14:paraId="60527567">
      <w:pPr>
        <w:pStyle w:val="34"/>
        <w:spacing w:line="600" w:lineRule="exact"/>
        <w:ind w:firstLine="640"/>
        <w:outlineLvl w:val="1"/>
        <w:rPr>
          <w:rFonts w:eastAsia="黑体"/>
          <w:sz w:val="32"/>
          <w:szCs w:val="32"/>
        </w:rPr>
      </w:pPr>
      <w:bookmarkStart w:id="15" w:name="_Toc15377206"/>
      <w:bookmarkStart w:id="16" w:name="_Toc15396604"/>
      <w:r>
        <w:rPr>
          <w:rFonts w:hint="eastAsia" w:eastAsia="黑体"/>
          <w:sz w:val="32"/>
          <w:szCs w:val="32"/>
        </w:rPr>
        <w:t>二、收入决算情况说明</w:t>
      </w:r>
      <w:bookmarkEnd w:id="15"/>
      <w:bookmarkEnd w:id="16"/>
    </w:p>
    <w:p w14:paraId="071A840C">
      <w:pPr>
        <w:pStyle w:val="34"/>
        <w:spacing w:line="600" w:lineRule="exact"/>
        <w:ind w:firstLine="640"/>
        <w:jc w:val="left"/>
        <w:outlineLvl w:val="1"/>
        <w:rPr>
          <w:rFonts w:eastAsia="仿宋_GB2312" w:cs="仿宋_GB2312"/>
          <w:b/>
          <w:bCs/>
          <w:sz w:val="32"/>
          <w:szCs w:val="32"/>
        </w:rPr>
      </w:pPr>
      <w:r>
        <w:rPr>
          <w:rFonts w:ascii="仿宋_GB2312" w:hAnsi="仿宋_GB2312" w:eastAsia="仿宋_GB2312" w:cs="仿宋_GB2312"/>
          <w:sz w:val="32"/>
          <w:szCs w:val="32"/>
        </w:rPr>
        <w:t>2024</w:t>
      </w:r>
      <w:r>
        <w:rPr>
          <w:rFonts w:hint="eastAsia" w:ascii="仿宋_GB2312" w:hAnsi="仿宋_GB2312" w:eastAsia="仿宋_GB2312" w:cs="仿宋_GB2312"/>
          <w:sz w:val="32"/>
          <w:szCs w:val="32"/>
        </w:rPr>
        <w:t>年度本年收入合计</w:t>
      </w:r>
      <w:r>
        <w:rPr>
          <w:rFonts w:ascii="仿宋_GB2312" w:hAnsi="仿宋_GB2312" w:eastAsia="仿宋_GB2312" w:cs="仿宋_GB2312"/>
          <w:sz w:val="32"/>
          <w:szCs w:val="32"/>
        </w:rPr>
        <w:t>196.13</w:t>
      </w:r>
      <w:r>
        <w:rPr>
          <w:rFonts w:hint="eastAsia" w:ascii="仿宋_GB2312" w:hAnsi="仿宋_GB2312" w:eastAsia="仿宋_GB2312" w:cs="仿宋_GB2312"/>
          <w:sz w:val="32"/>
          <w:szCs w:val="32"/>
        </w:rPr>
        <w:t>万元，其中：一般公共预算财政拨款收入</w:t>
      </w:r>
      <w:r>
        <w:rPr>
          <w:rFonts w:ascii="仿宋_GB2312" w:hAnsi="仿宋_GB2312" w:eastAsia="仿宋_GB2312" w:cs="仿宋_GB2312"/>
          <w:sz w:val="32"/>
          <w:szCs w:val="32"/>
        </w:rPr>
        <w:t>196.13</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；政府性基金预算财政拨款收入</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；国有资本经营预算财政拨款收入</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；上级补助收入</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；事业收入</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；经营收入</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；附属单位上缴收入</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；其他收入</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w:t>
      </w:r>
    </w:p>
    <w:p w14:paraId="1E838E7E">
      <w:pPr>
        <w:pStyle w:val="34"/>
        <w:spacing w:line="600" w:lineRule="exact"/>
        <w:ind w:firstLine="640"/>
        <w:outlineLvl w:val="1"/>
        <w:rPr>
          <w:rStyle w:val="20"/>
          <w:rFonts w:ascii="Times New Roman" w:hAnsi="Times New Roman" w:eastAsia="黑体"/>
          <w:b w:val="0"/>
        </w:rPr>
      </w:pPr>
      <w:bookmarkStart w:id="17" w:name="_Toc15396605"/>
      <w:bookmarkStart w:id="18" w:name="_Toc15377207"/>
      <w:r>
        <w:rPr>
          <w:rFonts w:hint="eastAsia" w:eastAsia="黑体"/>
          <w:sz w:val="32"/>
          <w:szCs w:val="32"/>
        </w:rPr>
        <w:t>三、支</w:t>
      </w:r>
      <w:r>
        <w:rPr>
          <w:rStyle w:val="20"/>
          <w:rFonts w:hint="eastAsia" w:ascii="Times New Roman" w:hAnsi="Times New Roman" w:eastAsia="黑体"/>
          <w:b w:val="0"/>
        </w:rPr>
        <w:t>出决算情况说明</w:t>
      </w:r>
      <w:bookmarkEnd w:id="17"/>
      <w:bookmarkEnd w:id="18"/>
    </w:p>
    <w:p w14:paraId="1CDD7DD2">
      <w:pPr>
        <w:pStyle w:val="34"/>
        <w:spacing w:line="600" w:lineRule="exact"/>
        <w:ind w:firstLine="640"/>
        <w:jc w:val="left"/>
        <w:outlineLvl w:val="1"/>
        <w:rPr>
          <w:rFonts w:eastAsia="仿宋_GB2312" w:cs="仿宋_GB2312"/>
          <w:sz w:val="32"/>
          <w:szCs w:val="32"/>
        </w:rPr>
      </w:pPr>
      <w:r>
        <w:rPr>
          <w:rFonts w:ascii="仿宋_GB2312" w:hAnsi="仿宋_GB2312" w:eastAsia="仿宋_GB2312" w:cs="仿宋_GB2312"/>
          <w:sz w:val="32"/>
          <w:szCs w:val="32"/>
        </w:rPr>
        <w:t>2024</w:t>
      </w:r>
      <w:r>
        <w:rPr>
          <w:rFonts w:hint="eastAsia" w:ascii="仿宋_GB2312" w:hAnsi="仿宋_GB2312" w:eastAsia="仿宋_GB2312" w:cs="仿宋_GB2312"/>
          <w:sz w:val="32"/>
          <w:szCs w:val="32"/>
        </w:rPr>
        <w:t>年度本年支出合计</w:t>
      </w:r>
      <w:r>
        <w:rPr>
          <w:rFonts w:ascii="仿宋_GB2312" w:hAnsi="仿宋_GB2312" w:eastAsia="仿宋_GB2312" w:cs="仿宋_GB2312"/>
          <w:sz w:val="32"/>
          <w:szCs w:val="32"/>
        </w:rPr>
        <w:t>204.87</w:t>
      </w:r>
      <w:r>
        <w:rPr>
          <w:rFonts w:hint="eastAsia" w:ascii="仿宋_GB2312" w:hAnsi="仿宋_GB2312" w:eastAsia="仿宋_GB2312" w:cs="仿宋_GB2312"/>
          <w:sz w:val="32"/>
          <w:szCs w:val="32"/>
        </w:rPr>
        <w:t>万元，其中：基本支出</w:t>
      </w:r>
      <w:r>
        <w:rPr>
          <w:rFonts w:ascii="仿宋_GB2312" w:hAnsi="仿宋_GB2312" w:eastAsia="仿宋_GB2312" w:cs="仿宋_GB2312"/>
          <w:sz w:val="32"/>
          <w:szCs w:val="32"/>
        </w:rPr>
        <w:t>202.87</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99.02%</w:t>
      </w:r>
      <w:r>
        <w:rPr>
          <w:rFonts w:hint="eastAsia" w:ascii="仿宋_GB2312" w:hAnsi="仿宋_GB2312" w:eastAsia="仿宋_GB2312" w:cs="仿宋_GB2312"/>
          <w:sz w:val="32"/>
          <w:szCs w:val="32"/>
        </w:rPr>
        <w:t>；项目支出</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0.97%</w:t>
      </w:r>
      <w:r>
        <w:rPr>
          <w:rFonts w:hint="eastAsia" w:ascii="仿宋_GB2312" w:hAnsi="仿宋_GB2312" w:eastAsia="仿宋_GB2312" w:cs="仿宋_GB2312"/>
          <w:sz w:val="32"/>
          <w:szCs w:val="32"/>
        </w:rPr>
        <w:t>；上缴上级支出</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；经营支出</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；对附属单位补助支出</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w:t>
      </w:r>
    </w:p>
    <w:p w14:paraId="08DB3BB7">
      <w:pPr>
        <w:spacing w:line="600" w:lineRule="exact"/>
        <w:ind w:firstLine="640" w:firstLineChars="200"/>
        <w:outlineLvl w:val="1"/>
        <w:rPr>
          <w:rStyle w:val="20"/>
          <w:rFonts w:ascii="Times New Roman" w:hAnsi="Times New Roman" w:eastAsia="黑体"/>
          <w:b w:val="0"/>
        </w:rPr>
      </w:pPr>
      <w:bookmarkStart w:id="19" w:name="_Toc15396606"/>
      <w:bookmarkStart w:id="20" w:name="_Toc15377208"/>
      <w:r>
        <w:rPr>
          <w:rFonts w:hint="eastAsia" w:eastAsia="黑体"/>
          <w:sz w:val="32"/>
          <w:szCs w:val="32"/>
        </w:rPr>
        <w:t>四、财</w:t>
      </w:r>
      <w:r>
        <w:rPr>
          <w:rStyle w:val="20"/>
          <w:rFonts w:hint="eastAsia" w:ascii="Times New Roman" w:hAnsi="Times New Roman" w:eastAsia="黑体"/>
          <w:b w:val="0"/>
        </w:rPr>
        <w:t>政拨款收入支出决算总体情况说明</w:t>
      </w:r>
      <w:bookmarkEnd w:id="19"/>
      <w:bookmarkEnd w:id="20"/>
    </w:p>
    <w:p w14:paraId="376D3330">
      <w:pPr>
        <w:spacing w:line="600" w:lineRule="exact"/>
        <w:ind w:firstLine="640"/>
        <w:rPr>
          <w:rFonts w:eastAsia="仿宋_GB2312" w:cs="仿宋_GB2312"/>
          <w:sz w:val="32"/>
          <w:szCs w:val="32"/>
        </w:rPr>
      </w:pPr>
      <w:r>
        <w:rPr>
          <w:rFonts w:eastAsia="仿宋_GB2312" w:cs="仿宋_GB2312"/>
          <w:sz w:val="32"/>
          <w:szCs w:val="32"/>
        </w:rPr>
        <w:t>2024</w:t>
      </w:r>
      <w:r>
        <w:rPr>
          <w:rFonts w:hint="eastAsia" w:eastAsia="仿宋_GB2312" w:cs="仿宋_GB2312"/>
          <w:sz w:val="32"/>
          <w:szCs w:val="32"/>
        </w:rPr>
        <w:t>年度财政拨款收入、支出总计均为</w:t>
      </w:r>
      <w:r>
        <w:rPr>
          <w:rFonts w:ascii="仿宋_GB2312" w:hAnsi="仿宋_GB2312" w:eastAsia="仿宋_GB2312" w:cs="仿宋_GB2312"/>
          <w:sz w:val="32"/>
          <w:szCs w:val="32"/>
        </w:rPr>
        <w:t>204.87</w:t>
      </w:r>
      <w:r>
        <w:rPr>
          <w:rFonts w:hint="eastAsia" w:eastAsia="仿宋_GB2312" w:cs="仿宋_GB2312"/>
          <w:sz w:val="32"/>
          <w:szCs w:val="32"/>
        </w:rPr>
        <w:t>万元。与</w:t>
      </w:r>
      <w:r>
        <w:rPr>
          <w:rFonts w:eastAsia="仿宋_GB2312" w:cs="仿宋_GB2312"/>
          <w:sz w:val="32"/>
          <w:szCs w:val="32"/>
        </w:rPr>
        <w:t>2023</w:t>
      </w:r>
      <w:r>
        <w:rPr>
          <w:rFonts w:hint="eastAsia" w:eastAsia="仿宋_GB2312" w:cs="仿宋_GB2312"/>
          <w:sz w:val="32"/>
          <w:szCs w:val="32"/>
        </w:rPr>
        <w:t>年度相比，财政拨款收入总计、支出总计减少5.06万元，下降2.4</w:t>
      </w:r>
      <w:r>
        <w:rPr>
          <w:rFonts w:eastAsia="仿宋_GB2312" w:cs="仿宋_GB2312"/>
          <w:sz w:val="32"/>
          <w:szCs w:val="32"/>
        </w:rPr>
        <w:t>%</w:t>
      </w:r>
      <w:r>
        <w:rPr>
          <w:rFonts w:hint="eastAsia" w:eastAsia="仿宋_GB2312" w:cs="仿宋_GB2312"/>
          <w:sz w:val="32"/>
          <w:szCs w:val="32"/>
        </w:rPr>
        <w:t>。主要变动原因是项目支出减少。</w:t>
      </w:r>
    </w:p>
    <w:p w14:paraId="62CF1D1F">
      <w:pPr>
        <w:spacing w:line="600" w:lineRule="exact"/>
        <w:ind w:firstLine="640" w:firstLineChars="200"/>
        <w:outlineLvl w:val="1"/>
        <w:rPr>
          <w:rStyle w:val="20"/>
          <w:rFonts w:ascii="Times New Roman" w:hAnsi="Times New Roman" w:eastAsia="黑体"/>
          <w:b w:val="0"/>
        </w:rPr>
      </w:pPr>
      <w:bookmarkStart w:id="21" w:name="_Toc15396607"/>
      <w:bookmarkStart w:id="22" w:name="_Toc15377209"/>
      <w:r>
        <w:rPr>
          <w:rFonts w:hint="eastAsia" w:eastAsia="黑体"/>
          <w:sz w:val="32"/>
          <w:szCs w:val="32"/>
        </w:rPr>
        <w:t>五、</w:t>
      </w:r>
      <w:r>
        <w:rPr>
          <w:rFonts w:hint="eastAsia" w:eastAsia="黑体"/>
          <w:b/>
          <w:sz w:val="32"/>
          <w:szCs w:val="32"/>
        </w:rPr>
        <w:t>一</w:t>
      </w:r>
      <w:r>
        <w:rPr>
          <w:rStyle w:val="20"/>
          <w:rFonts w:hint="eastAsia" w:ascii="Times New Roman" w:hAnsi="Times New Roman" w:eastAsia="黑体"/>
          <w:b w:val="0"/>
        </w:rPr>
        <w:t>般公共预算财政拨款支出决算情况说明</w:t>
      </w:r>
      <w:bookmarkEnd w:id="21"/>
      <w:bookmarkEnd w:id="22"/>
    </w:p>
    <w:p w14:paraId="58414704">
      <w:pPr>
        <w:spacing w:line="600" w:lineRule="exact"/>
        <w:ind w:firstLine="643" w:firstLineChars="200"/>
        <w:outlineLvl w:val="2"/>
        <w:rPr>
          <w:rFonts w:eastAsia="楷体_GB2312" w:cs="楷体_GB2312"/>
          <w:b/>
          <w:sz w:val="32"/>
          <w:szCs w:val="32"/>
        </w:rPr>
      </w:pPr>
      <w:bookmarkStart w:id="23" w:name="_Toc15377210"/>
      <w:r>
        <w:rPr>
          <w:rFonts w:hint="eastAsia" w:eastAsia="楷体_GB2312" w:cs="楷体_GB2312"/>
          <w:b/>
          <w:sz w:val="32"/>
          <w:szCs w:val="32"/>
        </w:rPr>
        <w:t>（一）一般公共预算财政拨款支出决算总体情况</w:t>
      </w:r>
      <w:bookmarkEnd w:id="23"/>
    </w:p>
    <w:p w14:paraId="5ABED83C">
      <w:pPr>
        <w:spacing w:line="600" w:lineRule="exact"/>
        <w:ind w:firstLine="640"/>
        <w:rPr>
          <w:rFonts w:eastAsia="仿宋_GB2312" w:cs="仿宋_GB2312"/>
          <w:sz w:val="32"/>
          <w:szCs w:val="32"/>
        </w:rPr>
      </w:pPr>
      <w:r>
        <w:rPr>
          <w:rFonts w:ascii="仿宋_GB2312" w:hAnsi="仿宋_GB2312" w:eastAsia="仿宋_GB2312" w:cs="仿宋_GB2312"/>
          <w:sz w:val="32"/>
          <w:szCs w:val="32"/>
        </w:rPr>
        <w:t>2024</w:t>
      </w:r>
      <w:r>
        <w:rPr>
          <w:rFonts w:hint="eastAsia" w:ascii="仿宋_GB2312" w:hAnsi="仿宋_GB2312" w:eastAsia="仿宋_GB2312" w:cs="仿宋_GB2312"/>
          <w:sz w:val="32"/>
          <w:szCs w:val="32"/>
        </w:rPr>
        <w:t>年度一般公共预算财政拨款支出</w:t>
      </w:r>
      <w:r>
        <w:rPr>
          <w:rFonts w:ascii="仿宋_GB2312" w:hAnsi="仿宋_GB2312" w:eastAsia="仿宋_GB2312" w:cs="仿宋_GB2312"/>
          <w:sz w:val="32"/>
          <w:szCs w:val="32"/>
        </w:rPr>
        <w:t>204.87</w:t>
      </w:r>
      <w:r>
        <w:rPr>
          <w:rFonts w:hint="eastAsia" w:ascii="仿宋_GB2312" w:hAnsi="仿宋_GB2312" w:eastAsia="仿宋_GB2312" w:cs="仿宋_GB2312"/>
          <w:sz w:val="32"/>
          <w:szCs w:val="32"/>
        </w:rPr>
        <w:t>万元，占本年支出合计的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。与</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年度相比，一般公共预算财政拨款支出减少5.06万元，下降2.4</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。主要变动原因是</w:t>
      </w:r>
      <w:r>
        <w:rPr>
          <w:rFonts w:hint="eastAsia" w:eastAsia="仿宋_GB2312" w:cs="仿宋_GB2312"/>
          <w:sz w:val="32"/>
          <w:szCs w:val="32"/>
        </w:rPr>
        <w:t>项目支出减少。</w:t>
      </w:r>
    </w:p>
    <w:p w14:paraId="2B9E40D4">
      <w:pPr>
        <w:spacing w:line="600" w:lineRule="exact"/>
        <w:ind w:firstLine="643" w:firstLineChars="200"/>
        <w:outlineLvl w:val="2"/>
        <w:rPr>
          <w:rFonts w:eastAsia="楷体_GB2312" w:cs="楷体_GB2312"/>
          <w:b/>
          <w:sz w:val="32"/>
          <w:szCs w:val="32"/>
        </w:rPr>
      </w:pPr>
      <w:bookmarkStart w:id="24" w:name="_Toc15377211"/>
      <w:r>
        <w:rPr>
          <w:rFonts w:hint="eastAsia" w:eastAsia="楷体_GB2312" w:cs="楷体_GB2312"/>
          <w:b/>
          <w:sz w:val="32"/>
          <w:szCs w:val="32"/>
        </w:rPr>
        <w:t>（二）一般公共预算财政拨款支出决算结构情况</w:t>
      </w:r>
      <w:bookmarkEnd w:id="24"/>
    </w:p>
    <w:p w14:paraId="32802A7A">
      <w:pPr>
        <w:spacing w:line="600" w:lineRule="exact"/>
        <w:ind w:firstLine="640"/>
        <w:rPr>
          <w:rFonts w:eastAsia="仿宋_GB2312" w:cs="仿宋_GB2312"/>
          <w:sz w:val="32"/>
          <w:szCs w:val="32"/>
        </w:rPr>
      </w:pPr>
      <w:r>
        <w:rPr>
          <w:rFonts w:eastAsia="仿宋_GB2312" w:cs="仿宋_GB2312"/>
          <w:sz w:val="32"/>
          <w:szCs w:val="32"/>
        </w:rPr>
        <w:t>2024</w:t>
      </w:r>
      <w:r>
        <w:rPr>
          <w:rFonts w:hint="eastAsia" w:eastAsia="仿宋_GB2312" w:cs="仿宋_GB2312"/>
          <w:sz w:val="32"/>
          <w:szCs w:val="32"/>
        </w:rPr>
        <w:t>年度一般公共预算财政拨款支出</w:t>
      </w:r>
      <w:r>
        <w:rPr>
          <w:rFonts w:ascii="仿宋_GB2312" w:hAnsi="仿宋_GB2312" w:eastAsia="仿宋_GB2312" w:cs="仿宋_GB2312"/>
          <w:sz w:val="32"/>
          <w:szCs w:val="32"/>
        </w:rPr>
        <w:t>204.87</w:t>
      </w:r>
      <w:r>
        <w:rPr>
          <w:rFonts w:hint="eastAsia" w:ascii="仿宋_GB2312" w:hAnsi="仿宋_GB2312" w:eastAsia="仿宋_GB2312" w:cs="仿宋_GB2312"/>
          <w:sz w:val="32"/>
          <w:szCs w:val="32"/>
        </w:rPr>
        <w:t>万元</w:t>
      </w:r>
      <w:r>
        <w:rPr>
          <w:rFonts w:hint="eastAsia" w:eastAsia="仿宋_GB2312" w:cs="仿宋_GB2312"/>
          <w:sz w:val="32"/>
          <w:szCs w:val="32"/>
        </w:rPr>
        <w:t>，主要用于以下方面：一般公共服务支出159.44万元，占78</w:t>
      </w:r>
      <w:r>
        <w:rPr>
          <w:rFonts w:eastAsia="仿宋_GB2312" w:cs="仿宋_GB2312"/>
          <w:sz w:val="32"/>
          <w:szCs w:val="32"/>
        </w:rPr>
        <w:t>%</w:t>
      </w:r>
      <w:r>
        <w:rPr>
          <w:rFonts w:hint="eastAsia" w:eastAsia="仿宋_GB2312" w:cs="仿宋_GB2312"/>
          <w:sz w:val="32"/>
          <w:szCs w:val="32"/>
        </w:rPr>
        <w:t>；教育支出0万元，占0</w:t>
      </w:r>
      <w:r>
        <w:rPr>
          <w:rFonts w:eastAsia="仿宋_GB2312" w:cs="仿宋_GB2312"/>
          <w:sz w:val="32"/>
          <w:szCs w:val="32"/>
        </w:rPr>
        <w:t>%</w:t>
      </w:r>
      <w:r>
        <w:rPr>
          <w:rFonts w:hint="eastAsia" w:eastAsia="仿宋_GB2312" w:cs="仿宋_GB2312"/>
          <w:sz w:val="32"/>
          <w:szCs w:val="32"/>
        </w:rPr>
        <w:t>；科学技术支出0万元，占0</w:t>
      </w:r>
      <w:r>
        <w:rPr>
          <w:rFonts w:eastAsia="仿宋_GB2312" w:cs="仿宋_GB2312"/>
          <w:sz w:val="32"/>
          <w:szCs w:val="32"/>
        </w:rPr>
        <w:t>%</w:t>
      </w:r>
      <w:r>
        <w:rPr>
          <w:rFonts w:hint="eastAsia" w:eastAsia="仿宋_GB2312" w:cs="仿宋_GB2312"/>
          <w:sz w:val="32"/>
          <w:szCs w:val="32"/>
        </w:rPr>
        <w:t>；文化旅游体育与传媒支出0万元，占0</w:t>
      </w:r>
      <w:r>
        <w:rPr>
          <w:rFonts w:eastAsia="仿宋_GB2312" w:cs="仿宋_GB2312"/>
          <w:sz w:val="32"/>
          <w:szCs w:val="32"/>
        </w:rPr>
        <w:t>%</w:t>
      </w:r>
      <w:r>
        <w:rPr>
          <w:rFonts w:hint="eastAsia" w:eastAsia="仿宋_GB2312" w:cs="仿宋_GB2312"/>
          <w:sz w:val="32"/>
          <w:szCs w:val="32"/>
        </w:rPr>
        <w:t>；社会保障和就业支出25.75万元，占13</w:t>
      </w:r>
      <w:r>
        <w:rPr>
          <w:rFonts w:eastAsia="仿宋_GB2312" w:cs="仿宋_GB2312"/>
          <w:sz w:val="32"/>
          <w:szCs w:val="32"/>
        </w:rPr>
        <w:t>%</w:t>
      </w:r>
      <w:r>
        <w:rPr>
          <w:rFonts w:hint="eastAsia" w:eastAsia="仿宋_GB2312" w:cs="仿宋_GB2312"/>
          <w:sz w:val="32"/>
          <w:szCs w:val="32"/>
        </w:rPr>
        <w:t>；卫生健康支出8.35万元，占4</w:t>
      </w:r>
      <w:r>
        <w:rPr>
          <w:rFonts w:eastAsia="仿宋_GB2312" w:cs="仿宋_GB2312"/>
          <w:sz w:val="32"/>
          <w:szCs w:val="32"/>
        </w:rPr>
        <w:t>%</w:t>
      </w:r>
      <w:r>
        <w:rPr>
          <w:rFonts w:hint="eastAsia" w:eastAsia="仿宋_GB2312" w:cs="仿宋_GB2312"/>
          <w:sz w:val="32"/>
          <w:szCs w:val="32"/>
        </w:rPr>
        <w:t>；住房保障支出11.32万元，占5</w:t>
      </w:r>
      <w:r>
        <w:rPr>
          <w:rFonts w:eastAsia="仿宋_GB2312" w:cs="仿宋_GB2312"/>
          <w:sz w:val="32"/>
          <w:szCs w:val="32"/>
        </w:rPr>
        <w:t>%</w:t>
      </w:r>
      <w:r>
        <w:rPr>
          <w:rFonts w:hint="eastAsia" w:eastAsia="仿宋_GB2312" w:cs="仿宋_GB2312"/>
          <w:sz w:val="32"/>
          <w:szCs w:val="32"/>
        </w:rPr>
        <w:t>；</w:t>
      </w:r>
      <w:r>
        <w:rPr>
          <w:rFonts w:eastAsia="仿宋_GB2312" w:cs="仿宋_GB2312"/>
          <w:sz w:val="32"/>
          <w:szCs w:val="32"/>
        </w:rPr>
        <w:t xml:space="preserve"> </w:t>
      </w:r>
    </w:p>
    <w:p w14:paraId="5B54A926">
      <w:pPr>
        <w:spacing w:line="600" w:lineRule="exact"/>
        <w:ind w:firstLine="643" w:firstLineChars="200"/>
        <w:outlineLvl w:val="2"/>
        <w:rPr>
          <w:rFonts w:eastAsia="楷体_GB2312" w:cs="楷体_GB2312"/>
          <w:b/>
          <w:sz w:val="32"/>
          <w:szCs w:val="32"/>
        </w:rPr>
      </w:pPr>
      <w:bookmarkStart w:id="25" w:name="_Toc15377212"/>
      <w:r>
        <w:rPr>
          <w:rFonts w:hint="eastAsia" w:eastAsia="楷体_GB2312" w:cs="楷体_GB2312"/>
          <w:b/>
          <w:sz w:val="32"/>
          <w:szCs w:val="32"/>
        </w:rPr>
        <w:t>（三）一般公共预算财政拨款支出决算具体情况</w:t>
      </w:r>
      <w:bookmarkEnd w:id="25"/>
    </w:p>
    <w:p w14:paraId="283BA882">
      <w:pPr>
        <w:spacing w:line="600" w:lineRule="exact"/>
        <w:ind w:firstLine="640"/>
        <w:rPr>
          <w:rFonts w:eastAsia="仿宋_GB2312" w:cs="仿宋_GB2312"/>
          <w:sz w:val="32"/>
          <w:szCs w:val="32"/>
        </w:rPr>
      </w:pPr>
      <w:bookmarkStart w:id="26" w:name="_Toc15377213"/>
      <w:bookmarkStart w:id="27" w:name="_Toc15378460"/>
      <w:bookmarkStart w:id="28" w:name="_Toc15377444"/>
      <w:r>
        <w:rPr>
          <w:rFonts w:eastAsia="仿宋_GB2312" w:cs="仿宋_GB2312"/>
          <w:sz w:val="32"/>
          <w:szCs w:val="32"/>
        </w:rPr>
        <w:t>2024</w:t>
      </w:r>
      <w:r>
        <w:rPr>
          <w:rFonts w:hint="eastAsia" w:eastAsia="仿宋_GB2312" w:cs="仿宋_GB2312"/>
          <w:sz w:val="32"/>
          <w:szCs w:val="32"/>
        </w:rPr>
        <w:t>年度一般公共预算财政拨款支出决算数为</w:t>
      </w:r>
      <w:r>
        <w:rPr>
          <w:rFonts w:ascii="仿宋_GB2312" w:hAnsi="仿宋_GB2312" w:eastAsia="仿宋_GB2312" w:cs="仿宋_GB2312"/>
          <w:sz w:val="32"/>
          <w:szCs w:val="32"/>
        </w:rPr>
        <w:t>204.87</w:t>
      </w:r>
      <w:r>
        <w:rPr>
          <w:rFonts w:hint="eastAsia" w:ascii="仿宋_GB2312" w:hAnsi="仿宋_GB2312" w:eastAsia="仿宋_GB2312" w:cs="仿宋_GB2312"/>
          <w:sz w:val="32"/>
          <w:szCs w:val="32"/>
        </w:rPr>
        <w:t>，</w:t>
      </w:r>
      <w:r>
        <w:rPr>
          <w:rFonts w:hint="eastAsia" w:eastAsia="仿宋_GB2312" w:cs="仿宋_GB2312"/>
          <w:sz w:val="32"/>
          <w:szCs w:val="32"/>
        </w:rPr>
        <w:t>完成预算100</w:t>
      </w:r>
      <w:r>
        <w:rPr>
          <w:rFonts w:eastAsia="仿宋_GB2312" w:cs="仿宋_GB2312"/>
          <w:sz w:val="32"/>
          <w:szCs w:val="32"/>
        </w:rPr>
        <w:t>%</w:t>
      </w:r>
      <w:r>
        <w:rPr>
          <w:rFonts w:hint="eastAsia" w:eastAsia="仿宋_GB2312" w:cs="仿宋_GB2312"/>
          <w:sz w:val="32"/>
          <w:szCs w:val="32"/>
        </w:rPr>
        <w:t>。其中：</w:t>
      </w:r>
      <w:bookmarkEnd w:id="26"/>
      <w:bookmarkEnd w:id="27"/>
      <w:bookmarkEnd w:id="28"/>
    </w:p>
    <w:p w14:paraId="70DAD854">
      <w:pPr>
        <w:spacing w:line="576" w:lineRule="exact"/>
        <w:ind w:firstLine="640" w:firstLineChars="200"/>
        <w:rPr>
          <w:rFonts w:eastAsia="仿宋_GB2312" w:cs="仿宋_GB2312"/>
          <w:sz w:val="32"/>
          <w:szCs w:val="32"/>
        </w:rPr>
      </w:pPr>
      <w:bookmarkStart w:id="29" w:name="_Toc15377214"/>
      <w:bookmarkStart w:id="30" w:name="_Toc15396608"/>
      <w:r>
        <w:rPr>
          <w:rFonts w:eastAsia="仿宋_GB2312" w:cs="仿宋_GB2312"/>
          <w:sz w:val="32"/>
          <w:szCs w:val="32"/>
        </w:rPr>
        <w:t>1.</w:t>
      </w:r>
      <w:r>
        <w:rPr>
          <w:rFonts w:hint="eastAsia" w:eastAsia="仿宋_GB2312" w:cs="仿宋_GB2312"/>
          <w:sz w:val="32"/>
          <w:szCs w:val="32"/>
        </w:rPr>
        <w:t>一般公共服务</w:t>
      </w:r>
      <w:r>
        <w:rPr>
          <w:rFonts w:eastAsia="仿宋_GB2312" w:cs="仿宋_GB2312"/>
          <w:sz w:val="32"/>
          <w:szCs w:val="32"/>
        </w:rPr>
        <w:t xml:space="preserve">201: </w:t>
      </w:r>
      <w:r>
        <w:rPr>
          <w:rFonts w:hint="eastAsia" w:eastAsia="仿宋_GB2312" w:cs="仿宋_GB2312"/>
          <w:sz w:val="32"/>
          <w:szCs w:val="32"/>
        </w:rPr>
        <w:t>支出决算为159.44万元，完成预算</w:t>
      </w:r>
      <w:r>
        <w:rPr>
          <w:rFonts w:eastAsia="仿宋_GB2312" w:cs="仿宋_GB2312"/>
          <w:sz w:val="32"/>
          <w:szCs w:val="32"/>
        </w:rPr>
        <w:t>100%</w:t>
      </w:r>
      <w:r>
        <w:rPr>
          <w:rFonts w:hint="eastAsia" w:eastAsia="仿宋_GB2312" w:cs="仿宋_GB2312"/>
          <w:sz w:val="32"/>
          <w:szCs w:val="32"/>
        </w:rPr>
        <w:t>。</w:t>
      </w:r>
    </w:p>
    <w:p w14:paraId="53935328">
      <w:pPr>
        <w:spacing w:line="576" w:lineRule="exact"/>
        <w:ind w:firstLine="640" w:firstLineChars="200"/>
        <w:rPr>
          <w:rFonts w:eastAsia="仿宋_GB2312" w:cs="仿宋_GB2312"/>
          <w:sz w:val="32"/>
          <w:szCs w:val="32"/>
        </w:rPr>
      </w:pPr>
      <w:r>
        <w:rPr>
          <w:rFonts w:eastAsia="仿宋_GB2312" w:cs="仿宋_GB2312"/>
          <w:sz w:val="32"/>
          <w:szCs w:val="32"/>
        </w:rPr>
        <w:t xml:space="preserve">2. </w:t>
      </w:r>
      <w:r>
        <w:rPr>
          <w:rFonts w:hint="eastAsia" w:eastAsia="仿宋_GB2312" w:cs="仿宋_GB2312"/>
          <w:sz w:val="32"/>
          <w:szCs w:val="32"/>
        </w:rPr>
        <w:t>社会保障和就业支出（</w:t>
      </w:r>
      <w:r>
        <w:rPr>
          <w:rFonts w:eastAsia="仿宋_GB2312" w:cs="仿宋_GB2312"/>
          <w:sz w:val="32"/>
          <w:szCs w:val="32"/>
        </w:rPr>
        <w:t>208</w:t>
      </w:r>
      <w:r>
        <w:rPr>
          <w:rFonts w:hint="eastAsia" w:eastAsia="仿宋_GB2312" w:cs="仿宋_GB2312"/>
          <w:sz w:val="32"/>
          <w:szCs w:val="32"/>
        </w:rPr>
        <w:t>）行政事业单位养老支出（</w:t>
      </w:r>
      <w:r>
        <w:rPr>
          <w:rFonts w:eastAsia="仿宋_GB2312" w:cs="仿宋_GB2312"/>
          <w:sz w:val="32"/>
          <w:szCs w:val="32"/>
        </w:rPr>
        <w:t>05</w:t>
      </w:r>
      <w:r>
        <w:rPr>
          <w:rFonts w:hint="eastAsia" w:eastAsia="仿宋_GB2312" w:cs="仿宋_GB2312"/>
          <w:sz w:val="32"/>
          <w:szCs w:val="32"/>
        </w:rPr>
        <w:t>）</w:t>
      </w:r>
      <w:r>
        <w:rPr>
          <w:rFonts w:eastAsia="仿宋_GB2312" w:cs="仿宋_GB2312"/>
          <w:sz w:val="32"/>
          <w:szCs w:val="32"/>
        </w:rPr>
        <w:t xml:space="preserve">: </w:t>
      </w:r>
      <w:r>
        <w:rPr>
          <w:rFonts w:hint="eastAsia" w:eastAsia="仿宋_GB2312" w:cs="仿宋_GB2312"/>
          <w:sz w:val="32"/>
          <w:szCs w:val="32"/>
        </w:rPr>
        <w:t>支出决算为25.75万元，完成预算</w:t>
      </w:r>
      <w:r>
        <w:rPr>
          <w:rFonts w:eastAsia="仿宋_GB2312" w:cs="仿宋_GB2312"/>
          <w:sz w:val="32"/>
          <w:szCs w:val="32"/>
        </w:rPr>
        <w:t>100%</w:t>
      </w:r>
      <w:r>
        <w:rPr>
          <w:rFonts w:hint="eastAsia" w:eastAsia="仿宋_GB2312" w:cs="仿宋_GB2312"/>
          <w:sz w:val="32"/>
          <w:szCs w:val="32"/>
        </w:rPr>
        <w:t>。</w:t>
      </w:r>
    </w:p>
    <w:p w14:paraId="2EC25B63">
      <w:pPr>
        <w:spacing w:line="600" w:lineRule="exact"/>
        <w:ind w:firstLine="640" w:firstLineChars="200"/>
        <w:rPr>
          <w:rFonts w:eastAsia="仿宋_GB2312" w:cs="仿宋_GB2312"/>
          <w:sz w:val="32"/>
          <w:szCs w:val="32"/>
        </w:rPr>
      </w:pPr>
      <w:r>
        <w:rPr>
          <w:rFonts w:eastAsia="仿宋_GB2312" w:cs="仿宋_GB2312"/>
          <w:sz w:val="32"/>
          <w:szCs w:val="32"/>
        </w:rPr>
        <w:t xml:space="preserve">3. </w:t>
      </w:r>
      <w:r>
        <w:rPr>
          <w:rFonts w:hint="eastAsia" w:eastAsia="仿宋_GB2312" w:cs="仿宋_GB2312"/>
          <w:sz w:val="32"/>
          <w:szCs w:val="32"/>
        </w:rPr>
        <w:t>卫生健康支出（</w:t>
      </w:r>
      <w:r>
        <w:rPr>
          <w:rFonts w:eastAsia="仿宋_GB2312" w:cs="仿宋_GB2312"/>
          <w:sz w:val="32"/>
          <w:szCs w:val="32"/>
        </w:rPr>
        <w:t>210</w:t>
      </w:r>
      <w:r>
        <w:rPr>
          <w:rFonts w:hint="eastAsia" w:eastAsia="仿宋_GB2312" w:cs="仿宋_GB2312"/>
          <w:sz w:val="32"/>
          <w:szCs w:val="32"/>
        </w:rPr>
        <w:t>）行政事业单位医疗（</w:t>
      </w:r>
      <w:r>
        <w:rPr>
          <w:rFonts w:eastAsia="仿宋_GB2312" w:cs="仿宋_GB2312"/>
          <w:sz w:val="32"/>
          <w:szCs w:val="32"/>
        </w:rPr>
        <w:t>11</w:t>
      </w:r>
      <w:r>
        <w:rPr>
          <w:rFonts w:hint="eastAsia" w:eastAsia="仿宋_GB2312" w:cs="仿宋_GB2312"/>
          <w:sz w:val="32"/>
          <w:szCs w:val="32"/>
        </w:rPr>
        <w:t>）</w:t>
      </w:r>
      <w:r>
        <w:rPr>
          <w:rFonts w:eastAsia="仿宋_GB2312" w:cs="仿宋_GB2312"/>
          <w:sz w:val="32"/>
          <w:szCs w:val="32"/>
        </w:rPr>
        <w:t>:</w:t>
      </w:r>
      <w:r>
        <w:rPr>
          <w:rFonts w:hint="eastAsia" w:eastAsia="仿宋_GB2312" w:cs="仿宋_GB2312"/>
          <w:sz w:val="32"/>
          <w:szCs w:val="32"/>
        </w:rPr>
        <w:t>支出决算为8.35万元，完成预算</w:t>
      </w:r>
      <w:r>
        <w:rPr>
          <w:rFonts w:eastAsia="仿宋_GB2312" w:cs="仿宋_GB2312"/>
          <w:sz w:val="32"/>
          <w:szCs w:val="32"/>
        </w:rPr>
        <w:t>100%</w:t>
      </w:r>
      <w:r>
        <w:rPr>
          <w:rFonts w:hint="eastAsia" w:eastAsia="仿宋_GB2312" w:cs="仿宋_GB2312"/>
          <w:sz w:val="32"/>
          <w:szCs w:val="32"/>
        </w:rPr>
        <w:t>。</w:t>
      </w:r>
    </w:p>
    <w:p w14:paraId="201F4D0C">
      <w:pPr>
        <w:spacing w:line="600" w:lineRule="exact"/>
        <w:ind w:firstLine="640" w:firstLineChars="200"/>
        <w:rPr>
          <w:rFonts w:eastAsia="仿宋_GB2312" w:cs="仿宋_GB2312"/>
          <w:sz w:val="32"/>
          <w:szCs w:val="32"/>
        </w:rPr>
      </w:pPr>
      <w:r>
        <w:rPr>
          <w:rFonts w:eastAsia="仿宋_GB2312" w:cs="仿宋_GB2312"/>
          <w:sz w:val="32"/>
          <w:szCs w:val="32"/>
        </w:rPr>
        <w:t>4.</w:t>
      </w:r>
      <w:r>
        <w:rPr>
          <w:rFonts w:hint="eastAsia" w:eastAsia="仿宋_GB2312" w:cs="仿宋_GB2312"/>
          <w:sz w:val="32"/>
          <w:szCs w:val="32"/>
        </w:rPr>
        <w:t>住房保障出（</w:t>
      </w:r>
      <w:r>
        <w:rPr>
          <w:rFonts w:eastAsia="仿宋_GB2312" w:cs="仿宋_GB2312"/>
          <w:sz w:val="32"/>
          <w:szCs w:val="32"/>
        </w:rPr>
        <w:t>221</w:t>
      </w:r>
      <w:r>
        <w:rPr>
          <w:rFonts w:hint="eastAsia" w:eastAsia="仿宋_GB2312" w:cs="仿宋_GB2312"/>
          <w:sz w:val="32"/>
          <w:szCs w:val="32"/>
        </w:rPr>
        <w:t>）住房改革支出（</w:t>
      </w:r>
      <w:r>
        <w:rPr>
          <w:rFonts w:eastAsia="仿宋_GB2312" w:cs="仿宋_GB2312"/>
          <w:sz w:val="32"/>
          <w:szCs w:val="32"/>
        </w:rPr>
        <w:t>02</w:t>
      </w:r>
      <w:r>
        <w:rPr>
          <w:rFonts w:hint="eastAsia" w:eastAsia="仿宋_GB2312" w:cs="仿宋_GB2312"/>
          <w:sz w:val="32"/>
          <w:szCs w:val="32"/>
        </w:rPr>
        <w:t>）住房公积金（</w:t>
      </w:r>
      <w:r>
        <w:rPr>
          <w:rFonts w:eastAsia="仿宋_GB2312" w:cs="仿宋_GB2312"/>
          <w:sz w:val="32"/>
          <w:szCs w:val="32"/>
        </w:rPr>
        <w:t>01</w:t>
      </w:r>
      <w:r>
        <w:rPr>
          <w:rFonts w:hint="eastAsia" w:eastAsia="仿宋_GB2312" w:cs="仿宋_GB2312"/>
          <w:sz w:val="32"/>
          <w:szCs w:val="32"/>
        </w:rPr>
        <w:t>）</w:t>
      </w:r>
      <w:r>
        <w:rPr>
          <w:rFonts w:eastAsia="仿宋_GB2312" w:cs="仿宋_GB2312"/>
          <w:sz w:val="32"/>
          <w:szCs w:val="32"/>
        </w:rPr>
        <w:t>:</w:t>
      </w:r>
      <w:r>
        <w:rPr>
          <w:rFonts w:hint="eastAsia" w:eastAsia="仿宋_GB2312" w:cs="仿宋_GB2312"/>
          <w:sz w:val="32"/>
          <w:szCs w:val="32"/>
        </w:rPr>
        <w:t>支出决算为11.32万元，完成预算</w:t>
      </w:r>
      <w:r>
        <w:rPr>
          <w:rFonts w:eastAsia="仿宋_GB2312" w:cs="仿宋_GB2312"/>
          <w:sz w:val="32"/>
          <w:szCs w:val="32"/>
        </w:rPr>
        <w:t>100%</w:t>
      </w:r>
      <w:r>
        <w:rPr>
          <w:rFonts w:hint="eastAsia" w:cs="仿宋_GB2312"/>
          <w:b/>
        </w:rPr>
        <w:t>。</w:t>
      </w:r>
    </w:p>
    <w:p w14:paraId="1533ED7F">
      <w:pPr>
        <w:tabs>
          <w:tab w:val="right" w:pos="8306"/>
        </w:tabs>
        <w:spacing w:line="600" w:lineRule="exact"/>
        <w:ind w:firstLine="640"/>
        <w:outlineLvl w:val="1"/>
        <w:rPr>
          <w:rStyle w:val="20"/>
          <w:rFonts w:ascii="Times New Roman" w:hAnsi="Times New Roman"/>
        </w:rPr>
      </w:pPr>
      <w:r>
        <w:rPr>
          <w:rFonts w:hint="eastAsia" w:eastAsia="黑体"/>
          <w:sz w:val="32"/>
          <w:szCs w:val="32"/>
        </w:rPr>
        <w:t>六</w:t>
      </w:r>
      <w:r>
        <w:rPr>
          <w:rFonts w:hint="eastAsia" w:eastAsia="黑体"/>
          <w:b/>
          <w:sz w:val="32"/>
          <w:szCs w:val="32"/>
        </w:rPr>
        <w:t>、一</w:t>
      </w:r>
      <w:r>
        <w:rPr>
          <w:rStyle w:val="20"/>
          <w:rFonts w:hint="eastAsia" w:ascii="Times New Roman" w:hAnsi="Times New Roman" w:eastAsia="黑体"/>
          <w:b w:val="0"/>
        </w:rPr>
        <w:t>般公共预算财政拨款基本支出决算情况说明</w:t>
      </w:r>
      <w:bookmarkEnd w:id="29"/>
      <w:bookmarkEnd w:id="30"/>
      <w:r>
        <w:rPr>
          <w:rStyle w:val="20"/>
          <w:rFonts w:ascii="Times New Roman" w:hAnsi="Times New Roman" w:eastAsia="黑体"/>
          <w:b w:val="0"/>
        </w:rPr>
        <w:tab/>
      </w:r>
    </w:p>
    <w:p w14:paraId="0E12F143">
      <w:pPr>
        <w:spacing w:line="600" w:lineRule="exact"/>
        <w:ind w:firstLine="640"/>
        <w:rPr>
          <w:rFonts w:eastAsia="仿宋_GB2312" w:cs="仿宋_GB2312"/>
          <w:sz w:val="32"/>
          <w:szCs w:val="32"/>
        </w:rPr>
      </w:pPr>
      <w:r>
        <w:rPr>
          <w:rFonts w:eastAsia="仿宋_GB2312" w:cs="仿宋_GB2312"/>
          <w:sz w:val="32"/>
          <w:szCs w:val="32"/>
        </w:rPr>
        <w:t>2024</w:t>
      </w:r>
      <w:r>
        <w:rPr>
          <w:rFonts w:hint="eastAsia" w:eastAsia="仿宋_GB2312" w:cs="仿宋_GB2312"/>
          <w:sz w:val="32"/>
          <w:szCs w:val="32"/>
        </w:rPr>
        <w:t>年度一般公共预算财政拨款基本支出</w:t>
      </w:r>
      <w:r>
        <w:rPr>
          <w:rFonts w:ascii="仿宋_GB2312" w:hAnsi="仿宋_GB2312" w:eastAsia="仿宋_GB2312" w:cs="仿宋_GB2312"/>
          <w:sz w:val="32"/>
          <w:szCs w:val="32"/>
        </w:rPr>
        <w:t>202.87</w:t>
      </w:r>
      <w:r>
        <w:rPr>
          <w:rFonts w:hint="eastAsia" w:ascii="仿宋_GB2312" w:hAnsi="仿宋_GB2312" w:eastAsia="仿宋_GB2312" w:cs="仿宋_GB2312"/>
          <w:sz w:val="32"/>
          <w:szCs w:val="32"/>
        </w:rPr>
        <w:t>万</w:t>
      </w:r>
      <w:r>
        <w:rPr>
          <w:rFonts w:hint="eastAsia" w:eastAsia="仿宋_GB2312" w:cs="仿宋_GB2312"/>
          <w:sz w:val="32"/>
          <w:szCs w:val="32"/>
        </w:rPr>
        <w:t>元，其中：</w:t>
      </w:r>
    </w:p>
    <w:p w14:paraId="762BFA87">
      <w:pPr>
        <w:spacing w:line="600" w:lineRule="exact"/>
        <w:ind w:firstLine="640"/>
        <w:rPr>
          <w:rFonts w:eastAsia="仿宋_GB2312" w:cs="仿宋_GB2312"/>
          <w:sz w:val="32"/>
          <w:szCs w:val="32"/>
        </w:rPr>
      </w:pPr>
      <w:r>
        <w:rPr>
          <w:rFonts w:hint="eastAsia" w:eastAsia="仿宋_GB2312" w:cs="仿宋_GB2312"/>
          <w:sz w:val="32"/>
          <w:szCs w:val="32"/>
        </w:rPr>
        <w:t>人员经费</w:t>
      </w:r>
      <w:r>
        <w:rPr>
          <w:rFonts w:ascii="仿宋_GB2312" w:hAnsi="仿宋_GB2312" w:eastAsia="仿宋_GB2312" w:cs="仿宋_GB2312"/>
          <w:sz w:val="32"/>
          <w:szCs w:val="32"/>
        </w:rPr>
        <w:t>154.23</w:t>
      </w:r>
      <w:r>
        <w:rPr>
          <w:rFonts w:hint="eastAsia" w:ascii="仿宋_GB2312" w:hAnsi="仿宋_GB2312" w:eastAsia="仿宋_GB2312" w:cs="仿宋_GB2312"/>
          <w:sz w:val="32"/>
          <w:szCs w:val="32"/>
        </w:rPr>
        <w:t>万</w:t>
      </w:r>
      <w:r>
        <w:rPr>
          <w:rFonts w:hint="eastAsia" w:eastAsia="仿宋_GB2312" w:cs="仿宋_GB2312"/>
          <w:sz w:val="32"/>
          <w:szCs w:val="32"/>
        </w:rPr>
        <w:t>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eastAsia="仿宋_GB2312" w:cs="仿宋_GB2312"/>
          <w:sz w:val="32"/>
          <w:szCs w:val="32"/>
        </w:rPr>
        <w:br w:type="textWrapping"/>
      </w:r>
      <w:r>
        <w:rPr>
          <w:rFonts w:hint="eastAsia" w:eastAsia="仿宋_GB2312" w:cs="仿宋_GB2312"/>
          <w:sz w:val="32"/>
          <w:szCs w:val="32"/>
        </w:rPr>
        <w:t>　　公用经费</w:t>
      </w:r>
      <w:r>
        <w:rPr>
          <w:rFonts w:ascii="仿宋_GB2312" w:hAnsi="仿宋_GB2312" w:eastAsia="仿宋_GB2312" w:cs="仿宋_GB2312"/>
          <w:sz w:val="32"/>
          <w:szCs w:val="32"/>
        </w:rPr>
        <w:t>48.64</w:t>
      </w:r>
      <w:r>
        <w:rPr>
          <w:rFonts w:hint="eastAsia" w:ascii="仿宋_GB2312" w:hAnsi="仿宋_GB2312" w:eastAsia="仿宋_GB2312" w:cs="仿宋_GB2312"/>
          <w:sz w:val="32"/>
          <w:szCs w:val="32"/>
        </w:rPr>
        <w:t>万</w:t>
      </w:r>
      <w:r>
        <w:rPr>
          <w:rFonts w:hint="eastAsia" w:eastAsia="仿宋_GB2312" w:cs="仿宋_GB2312"/>
          <w:sz w:val="32"/>
          <w:szCs w:val="32"/>
        </w:rPr>
        <w:t>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7D9AA491">
      <w:pPr>
        <w:spacing w:line="600" w:lineRule="exact"/>
        <w:ind w:firstLine="640"/>
        <w:outlineLvl w:val="1"/>
        <w:rPr>
          <w:rStyle w:val="20"/>
          <w:rFonts w:ascii="Times New Roman" w:hAnsi="Times New Roman" w:eastAsia="黑体"/>
          <w:b w:val="0"/>
        </w:rPr>
      </w:pPr>
      <w:bookmarkStart w:id="31" w:name="_Toc15396609"/>
      <w:bookmarkStart w:id="32" w:name="_Toc15377215"/>
      <w:r>
        <w:rPr>
          <w:rFonts w:hint="eastAsia" w:eastAsia="黑体"/>
          <w:sz w:val="32"/>
          <w:szCs w:val="32"/>
        </w:rPr>
        <w:t>七、</w:t>
      </w:r>
      <w:r>
        <w:rPr>
          <w:rStyle w:val="20"/>
          <w:rFonts w:hint="eastAsia" w:ascii="Times New Roman" w:hAnsi="Times New Roman" w:eastAsia="黑体"/>
          <w:b w:val="0"/>
        </w:rPr>
        <w:t>财政拨款</w:t>
      </w:r>
      <w:r>
        <w:rPr>
          <w:rStyle w:val="20"/>
          <w:rFonts w:hint="eastAsia" w:ascii="Times New Roman" w:hAnsi="Times New Roman" w:eastAsia="黑体"/>
        </w:rPr>
        <w:t>“</w:t>
      </w:r>
      <w:r>
        <w:rPr>
          <w:rStyle w:val="20"/>
          <w:rFonts w:hint="eastAsia" w:ascii="Times New Roman" w:hAnsi="Times New Roman" w:eastAsia="黑体"/>
          <w:b w:val="0"/>
        </w:rPr>
        <w:t>三公”经费支出决算情况说明</w:t>
      </w:r>
      <w:bookmarkEnd w:id="31"/>
      <w:bookmarkEnd w:id="32"/>
    </w:p>
    <w:p w14:paraId="23FA400C">
      <w:pPr>
        <w:spacing w:line="600" w:lineRule="exact"/>
        <w:ind w:firstLine="643" w:firstLineChars="200"/>
        <w:outlineLvl w:val="2"/>
        <w:rPr>
          <w:rFonts w:eastAsia="楷体_GB2312" w:cs="楷体_GB2312"/>
          <w:b/>
          <w:sz w:val="32"/>
          <w:szCs w:val="32"/>
        </w:rPr>
      </w:pPr>
      <w:bookmarkStart w:id="33" w:name="_Toc15377216"/>
      <w:r>
        <w:rPr>
          <w:rFonts w:hint="eastAsia" w:eastAsia="楷体_GB2312" w:cs="楷体_GB2312"/>
          <w:b/>
          <w:sz w:val="32"/>
          <w:szCs w:val="32"/>
        </w:rPr>
        <w:t>（一）“三公”经费财政拨款支出决算总体情况说明</w:t>
      </w:r>
      <w:bookmarkEnd w:id="33"/>
    </w:p>
    <w:p w14:paraId="6D402EDB">
      <w:pPr>
        <w:spacing w:line="600" w:lineRule="exact"/>
        <w:ind w:firstLine="640"/>
        <w:rPr>
          <w:rFonts w:eastAsia="仿宋_GB2312" w:cs="仿宋_GB2312"/>
          <w:sz w:val="32"/>
          <w:szCs w:val="32"/>
        </w:rPr>
      </w:pPr>
      <w:r>
        <w:rPr>
          <w:rFonts w:eastAsia="仿宋_GB2312" w:cs="仿宋_GB2312"/>
          <w:sz w:val="32"/>
          <w:szCs w:val="32"/>
        </w:rPr>
        <w:t>2024</w:t>
      </w:r>
      <w:r>
        <w:rPr>
          <w:rFonts w:hint="eastAsia" w:eastAsia="仿宋_GB2312" w:cs="仿宋_GB2312"/>
          <w:sz w:val="32"/>
          <w:szCs w:val="32"/>
        </w:rPr>
        <w:t>年度“三公”经费财政拨款支出决算为</w:t>
      </w:r>
      <w:r>
        <w:rPr>
          <w:rFonts w:ascii="仿宋_GB2312" w:hAnsi="仿宋_GB2312" w:eastAsia="仿宋_GB2312" w:cs="仿宋_GB2312"/>
          <w:sz w:val="32"/>
          <w:szCs w:val="32"/>
        </w:rPr>
        <w:t>0.5</w:t>
      </w:r>
      <w:r>
        <w:rPr>
          <w:rFonts w:hint="eastAsia" w:ascii="仿宋_GB2312" w:hAnsi="仿宋_GB2312" w:eastAsia="仿宋_GB2312" w:cs="仿宋_GB2312"/>
          <w:sz w:val="32"/>
          <w:szCs w:val="32"/>
        </w:rPr>
        <w:t>万元，完成预算</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6.7</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eastAsia="仿宋_GB2312" w:cs="仿宋_GB2312"/>
          <w:sz w:val="32"/>
          <w:szCs w:val="32"/>
        </w:rPr>
        <w:t>较上年度增加0.5万元，增长100</w:t>
      </w:r>
      <w:r>
        <w:rPr>
          <w:rFonts w:eastAsia="仿宋_GB2312" w:cs="仿宋_GB2312"/>
          <w:sz w:val="32"/>
          <w:szCs w:val="32"/>
        </w:rPr>
        <w:t>%</w:t>
      </w:r>
      <w:r>
        <w:rPr>
          <w:rFonts w:hint="eastAsia" w:eastAsia="仿宋_GB2312" w:cs="仿宋_GB2312"/>
          <w:sz w:val="32"/>
          <w:szCs w:val="32"/>
        </w:rPr>
        <w:t>。</w:t>
      </w:r>
    </w:p>
    <w:p w14:paraId="03DD9D69">
      <w:pPr>
        <w:spacing w:line="600" w:lineRule="exact"/>
        <w:ind w:firstLine="643" w:firstLineChars="200"/>
        <w:outlineLvl w:val="2"/>
        <w:rPr>
          <w:rFonts w:eastAsia="楷体_GB2312" w:cs="楷体_GB2312"/>
          <w:b/>
          <w:sz w:val="32"/>
          <w:szCs w:val="32"/>
        </w:rPr>
      </w:pPr>
      <w:bookmarkStart w:id="34" w:name="_Toc15377217"/>
      <w:r>
        <w:rPr>
          <w:rFonts w:hint="eastAsia" w:eastAsia="楷体_GB2312" w:cs="楷体_GB2312"/>
          <w:b/>
          <w:sz w:val="32"/>
          <w:szCs w:val="32"/>
        </w:rPr>
        <w:t>（二）“三公”经费财政拨款支出决算具体情况说明</w:t>
      </w:r>
      <w:bookmarkEnd w:id="34"/>
    </w:p>
    <w:p w14:paraId="4889FE9B">
      <w:pPr>
        <w:spacing w:line="600" w:lineRule="exact"/>
        <w:ind w:firstLine="640"/>
        <w:rPr>
          <w:rFonts w:ascii="仿宋_GB2312" w:hAnsi="仿宋_GB2312" w:eastAsia="仿宋_GB2312" w:cs="仿宋_GB2312"/>
          <w:sz w:val="32"/>
          <w:szCs w:val="32"/>
        </w:rPr>
      </w:pPr>
      <w:r>
        <w:rPr>
          <w:rFonts w:ascii="仿宋_GB2312" w:hAnsi="仿宋_GB2312" w:eastAsia="仿宋_GB2312" w:cs="仿宋_GB2312"/>
          <w:sz w:val="32"/>
          <w:szCs w:val="32"/>
        </w:rPr>
        <w:t>2024</w:t>
      </w:r>
      <w:r>
        <w:rPr>
          <w:rFonts w:hint="eastAsia" w:ascii="仿宋_GB2312" w:hAnsi="仿宋_GB2312" w:eastAsia="仿宋_GB2312" w:cs="仿宋_GB2312"/>
          <w:sz w:val="32"/>
          <w:szCs w:val="32"/>
        </w:rPr>
        <w:t>年度“三公”经费财政拨款支出决算中，因公出国（境）费支出决算</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；公务用车购置及运行维护费支出决算</w:t>
      </w:r>
      <w:r>
        <w:rPr>
          <w:rFonts w:ascii="仿宋_GB2312" w:hAnsi="仿宋_GB2312" w:eastAsia="仿宋_GB2312" w:cs="仿宋_GB2312"/>
          <w:sz w:val="32"/>
          <w:szCs w:val="32"/>
        </w:rPr>
        <w:t>0.5</w:t>
      </w:r>
      <w:r>
        <w:rPr>
          <w:rFonts w:hint="eastAsia" w:ascii="仿宋_GB2312" w:hAnsi="仿宋_GB2312" w:eastAsia="仿宋_GB2312" w:cs="仿宋_GB2312"/>
          <w:sz w:val="32"/>
          <w:szCs w:val="32"/>
        </w:rPr>
        <w:t>万元，占100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；公务接待费支出决算</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。具体情况如下：</w:t>
      </w:r>
    </w:p>
    <w:p w14:paraId="4FB9E90A">
      <w:pPr>
        <w:spacing w:line="600" w:lineRule="exact"/>
        <w:ind w:firstLine="640"/>
        <w:rPr>
          <w:rFonts w:eastAsia="仿宋_GB2312" w:cs="仿宋_GB2312"/>
          <w:sz w:val="32"/>
          <w:szCs w:val="32"/>
        </w:rPr>
      </w:pPr>
      <w:r>
        <w:rPr>
          <w:rFonts w:eastAsia="仿宋_GB2312" w:cs="仿宋_GB2312"/>
          <w:b/>
          <w:bCs/>
          <w:sz w:val="32"/>
          <w:szCs w:val="32"/>
        </w:rPr>
        <w:t>1.</w:t>
      </w:r>
      <w:r>
        <w:rPr>
          <w:rFonts w:hint="eastAsia" w:eastAsia="仿宋_GB2312" w:cs="仿宋_GB2312"/>
          <w:b/>
          <w:bCs/>
          <w:sz w:val="32"/>
          <w:szCs w:val="32"/>
        </w:rPr>
        <w:t>因公出国（境）经费支出0万元，完成预算0</w:t>
      </w:r>
      <w:r>
        <w:rPr>
          <w:rFonts w:eastAsia="仿宋_GB2312" w:cs="仿宋_GB2312"/>
          <w:b/>
          <w:bCs/>
          <w:sz w:val="32"/>
          <w:szCs w:val="32"/>
        </w:rPr>
        <w:t>%</w:t>
      </w:r>
      <w:r>
        <w:rPr>
          <w:rFonts w:hint="eastAsia" w:eastAsia="仿宋_GB2312" w:cs="仿宋_GB2312"/>
          <w:b/>
          <w:bCs/>
          <w:sz w:val="32"/>
          <w:szCs w:val="32"/>
        </w:rPr>
        <w:t>。</w:t>
      </w:r>
      <w:r>
        <w:rPr>
          <w:rFonts w:hint="eastAsia" w:eastAsia="仿宋_GB2312" w:cs="仿宋_GB2312"/>
          <w:sz w:val="32"/>
          <w:szCs w:val="32"/>
        </w:rPr>
        <w:t>全年安排因公出国（境）团</w:t>
      </w:r>
      <w:r>
        <w:rPr>
          <w:rFonts w:hint="eastAsia" w:ascii="仿宋_GB2312" w:hAnsi="仿宋_GB2312" w:eastAsia="仿宋_GB2312" w:cs="仿宋_GB2312"/>
          <w:sz w:val="32"/>
          <w:szCs w:val="32"/>
        </w:rPr>
        <w:t>组</w:t>
      </w:r>
      <w:r>
        <w:rPr>
          <w:rFonts w:ascii="仿宋_GB2312" w:hAnsi="仿宋_GB2312" w:eastAsia="仿宋_GB2312" w:cs="仿宋_GB2312"/>
          <w:sz w:val="32"/>
          <w:szCs w:val="32"/>
        </w:rPr>
        <w:t>0</w:t>
      </w:r>
      <w:r>
        <w:rPr>
          <w:rFonts w:hint="eastAsia" w:eastAsia="仿宋_GB2312" w:cs="仿宋_GB2312"/>
          <w:sz w:val="32"/>
          <w:szCs w:val="32"/>
        </w:rPr>
        <w:t>次，出国（境）</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人</w:t>
      </w:r>
      <w:r>
        <w:rPr>
          <w:rFonts w:hint="eastAsia" w:eastAsia="仿宋_GB2312" w:cs="仿宋_GB2312"/>
          <w:sz w:val="32"/>
          <w:szCs w:val="32"/>
        </w:rPr>
        <w:t>。</w:t>
      </w:r>
    </w:p>
    <w:p w14:paraId="7F0B0098">
      <w:pPr>
        <w:spacing w:line="600" w:lineRule="exact"/>
        <w:ind w:firstLine="640"/>
        <w:rPr>
          <w:rFonts w:eastAsia="仿宋_GB2312" w:cs="仿宋_GB2312"/>
          <w:sz w:val="32"/>
          <w:szCs w:val="32"/>
        </w:rPr>
      </w:pPr>
      <w:r>
        <w:rPr>
          <w:rFonts w:eastAsia="仿宋_GB2312" w:cs="仿宋_GB2312"/>
          <w:b/>
          <w:bCs/>
          <w:sz w:val="32"/>
          <w:szCs w:val="32"/>
        </w:rPr>
        <w:t>2.</w:t>
      </w:r>
      <w:r>
        <w:rPr>
          <w:rFonts w:hint="eastAsia" w:eastAsia="仿宋_GB2312" w:cs="仿宋_GB2312"/>
          <w:b/>
          <w:bCs/>
          <w:sz w:val="32"/>
          <w:szCs w:val="32"/>
        </w:rPr>
        <w:t>公务用车购置及运行维护费支出</w:t>
      </w:r>
      <w:r>
        <w:rPr>
          <w:rFonts w:ascii="仿宋_GB2312" w:hAnsi="仿宋_GB2312" w:eastAsia="仿宋_GB2312" w:cs="仿宋_GB2312"/>
          <w:b/>
          <w:bCs/>
          <w:sz w:val="32"/>
          <w:szCs w:val="32"/>
        </w:rPr>
        <w:t>0.5</w:t>
      </w:r>
      <w:r>
        <w:rPr>
          <w:rFonts w:hint="eastAsia" w:ascii="仿宋_GB2312" w:hAnsi="仿宋_GB2312" w:eastAsia="仿宋_GB2312" w:cs="仿宋_GB2312"/>
          <w:b/>
          <w:bCs/>
          <w:sz w:val="32"/>
          <w:szCs w:val="32"/>
        </w:rPr>
        <w:t>万</w:t>
      </w:r>
      <w:r>
        <w:rPr>
          <w:rFonts w:hint="eastAsia" w:eastAsia="仿宋_GB2312" w:cs="仿宋_GB2312"/>
          <w:b/>
          <w:bCs/>
          <w:sz w:val="32"/>
          <w:szCs w:val="32"/>
        </w:rPr>
        <w:t>元，完成预算16.7</w:t>
      </w:r>
      <w:r>
        <w:rPr>
          <w:rFonts w:eastAsia="仿宋_GB2312" w:cs="仿宋_GB2312"/>
          <w:b/>
          <w:bCs/>
          <w:sz w:val="32"/>
          <w:szCs w:val="32"/>
        </w:rPr>
        <w:t>%</w:t>
      </w:r>
      <w:r>
        <w:rPr>
          <w:rFonts w:hint="eastAsia" w:eastAsia="仿宋_GB2312" w:cs="仿宋_GB2312"/>
          <w:b/>
          <w:bCs/>
          <w:sz w:val="32"/>
          <w:szCs w:val="32"/>
        </w:rPr>
        <w:t>。</w:t>
      </w:r>
      <w:r>
        <w:rPr>
          <w:rFonts w:hint="eastAsia" w:eastAsia="仿宋_GB2312" w:cs="仿宋_GB2312"/>
          <w:sz w:val="32"/>
          <w:szCs w:val="32"/>
        </w:rPr>
        <w:t>公务用车购置及运行维护费支出决算比</w:t>
      </w:r>
      <w:r>
        <w:rPr>
          <w:rFonts w:eastAsia="仿宋_GB2312" w:cs="仿宋_GB2312"/>
          <w:sz w:val="32"/>
          <w:szCs w:val="32"/>
        </w:rPr>
        <w:t>2023</w:t>
      </w:r>
      <w:r>
        <w:rPr>
          <w:rFonts w:hint="eastAsia" w:eastAsia="仿宋_GB2312" w:cs="仿宋_GB2312"/>
          <w:sz w:val="32"/>
          <w:szCs w:val="32"/>
        </w:rPr>
        <w:t>年度增加0.5万元，增长100</w:t>
      </w:r>
      <w:r>
        <w:rPr>
          <w:rFonts w:eastAsia="仿宋_GB2312" w:cs="仿宋_GB2312"/>
          <w:sz w:val="32"/>
          <w:szCs w:val="32"/>
        </w:rPr>
        <w:t>%</w:t>
      </w:r>
      <w:r>
        <w:rPr>
          <w:rFonts w:hint="eastAsia" w:eastAsia="仿宋_GB2312" w:cs="仿宋_GB2312"/>
          <w:sz w:val="32"/>
          <w:szCs w:val="32"/>
        </w:rPr>
        <w:t>。主要原因是机改后增加车编1个，发生公务用车运行维护费。</w:t>
      </w:r>
    </w:p>
    <w:p w14:paraId="090E3ED9">
      <w:pPr>
        <w:spacing w:line="600" w:lineRule="exact"/>
        <w:ind w:firstLine="640"/>
        <w:rPr>
          <w:rFonts w:eastAsia="仿宋_GB2312" w:cs="仿宋_GB2312"/>
          <w:sz w:val="32"/>
          <w:szCs w:val="32"/>
        </w:rPr>
      </w:pPr>
      <w:r>
        <w:rPr>
          <w:rFonts w:hint="eastAsia" w:eastAsia="仿宋_GB2312" w:cs="仿宋_GB2312"/>
          <w:sz w:val="32"/>
          <w:szCs w:val="32"/>
        </w:rPr>
        <w:t>其中：公务用车购置支</w:t>
      </w:r>
      <w:r>
        <w:rPr>
          <w:rFonts w:hint="eastAsia" w:ascii="仿宋_GB2312" w:hAnsi="仿宋_GB2312" w:eastAsia="仿宋_GB2312" w:cs="仿宋_GB2312"/>
          <w:sz w:val="32"/>
          <w:szCs w:val="32"/>
        </w:rPr>
        <w:t>出</w:t>
      </w:r>
      <w:r>
        <w:rPr>
          <w:rFonts w:ascii="仿宋_GB2312" w:hAnsi="仿宋_GB2312" w:eastAsia="仿宋_GB2312" w:cs="仿宋_GB2312"/>
          <w:sz w:val="32"/>
          <w:szCs w:val="32"/>
        </w:rPr>
        <w:t>0</w:t>
      </w:r>
      <w:r>
        <w:rPr>
          <w:rFonts w:hint="eastAsia" w:eastAsia="仿宋_GB2312" w:cs="仿宋_GB2312"/>
          <w:sz w:val="32"/>
          <w:szCs w:val="32"/>
        </w:rPr>
        <w:t>万元。全年按规定更新购置公务用车0辆，其中：轿车0辆，金额0万元，越野车0辆、金额0万元，载客汽车0辆、金额0万元。截至</w:t>
      </w:r>
      <w:r>
        <w:rPr>
          <w:rFonts w:eastAsia="仿宋_GB2312" w:cs="仿宋_GB2312"/>
          <w:sz w:val="32"/>
          <w:szCs w:val="32"/>
        </w:rPr>
        <w:t>2024</w:t>
      </w:r>
      <w:r>
        <w:rPr>
          <w:rFonts w:hint="eastAsia" w:eastAsia="仿宋_GB2312" w:cs="仿宋_GB2312"/>
          <w:sz w:val="32"/>
          <w:szCs w:val="32"/>
        </w:rPr>
        <w:t>年</w:t>
      </w:r>
      <w:r>
        <w:rPr>
          <w:rFonts w:eastAsia="仿宋_GB2312" w:cs="仿宋_GB2312"/>
          <w:sz w:val="32"/>
          <w:szCs w:val="32"/>
        </w:rPr>
        <w:t>12</w:t>
      </w:r>
      <w:r>
        <w:rPr>
          <w:rFonts w:hint="eastAsia" w:eastAsia="仿宋_GB2312" w:cs="仿宋_GB2312"/>
          <w:sz w:val="32"/>
          <w:szCs w:val="32"/>
        </w:rPr>
        <w:t>月</w:t>
      </w:r>
      <w:r>
        <w:rPr>
          <w:rFonts w:eastAsia="仿宋_GB2312" w:cs="仿宋_GB2312"/>
          <w:sz w:val="32"/>
          <w:szCs w:val="32"/>
        </w:rPr>
        <w:t>31</w:t>
      </w:r>
      <w:r>
        <w:rPr>
          <w:rFonts w:hint="eastAsia" w:eastAsia="仿宋_GB2312" w:cs="仿宋_GB2312"/>
          <w:sz w:val="32"/>
          <w:szCs w:val="32"/>
        </w:rPr>
        <w:t>日，单位共有公务用车1辆，其中：轿车0辆、越野车1辆、载客汽车0辆。</w:t>
      </w:r>
    </w:p>
    <w:p w14:paraId="0544A97B">
      <w:pPr>
        <w:spacing w:line="600" w:lineRule="exact"/>
        <w:ind w:firstLine="640"/>
        <w:rPr>
          <w:rFonts w:eastAsia="仿宋_GB2312" w:cs="仿宋_GB2312"/>
          <w:sz w:val="32"/>
          <w:szCs w:val="32"/>
        </w:rPr>
      </w:pPr>
      <w:r>
        <w:rPr>
          <w:rFonts w:hint="eastAsia" w:eastAsia="仿宋_GB2312" w:cs="仿宋_GB2312"/>
          <w:sz w:val="32"/>
          <w:szCs w:val="32"/>
        </w:rPr>
        <w:t>公务用车运行维护费支</w:t>
      </w:r>
      <w:r>
        <w:rPr>
          <w:rFonts w:hint="eastAsia" w:ascii="仿宋_GB2312" w:hAnsi="仿宋_GB2312" w:eastAsia="仿宋_GB2312" w:cs="仿宋_GB2312"/>
          <w:sz w:val="32"/>
          <w:szCs w:val="32"/>
        </w:rPr>
        <w:t>出</w:t>
      </w:r>
      <w:r>
        <w:rPr>
          <w:rFonts w:ascii="仿宋_GB2312" w:hAnsi="仿宋_GB2312" w:eastAsia="仿宋_GB2312" w:cs="仿宋_GB2312"/>
          <w:sz w:val="32"/>
          <w:szCs w:val="32"/>
        </w:rPr>
        <w:t>0.5</w:t>
      </w:r>
      <w:r>
        <w:rPr>
          <w:rFonts w:hint="eastAsia" w:eastAsia="仿宋_GB2312" w:cs="仿宋_GB2312"/>
          <w:sz w:val="32"/>
          <w:szCs w:val="32"/>
        </w:rPr>
        <w:t>万元。主要用于公务用车所需的公务用车燃料费、维修费、过路过桥费、保险费等支出。</w:t>
      </w:r>
    </w:p>
    <w:p w14:paraId="3601852C">
      <w:pPr>
        <w:spacing w:line="600" w:lineRule="exact"/>
        <w:ind w:firstLine="640"/>
        <w:rPr>
          <w:rFonts w:eastAsia="仿宋_GB2312" w:cs="仿宋_GB2312"/>
          <w:sz w:val="32"/>
          <w:szCs w:val="32"/>
        </w:rPr>
      </w:pPr>
      <w:r>
        <w:rPr>
          <w:rFonts w:eastAsia="仿宋_GB2312" w:cs="仿宋_GB2312"/>
          <w:b/>
          <w:bCs/>
          <w:sz w:val="32"/>
          <w:szCs w:val="32"/>
        </w:rPr>
        <w:t>3.</w:t>
      </w:r>
      <w:r>
        <w:rPr>
          <w:rFonts w:hint="eastAsia" w:eastAsia="仿宋_GB2312" w:cs="仿宋_GB2312"/>
          <w:b/>
          <w:bCs/>
          <w:sz w:val="32"/>
          <w:szCs w:val="32"/>
        </w:rPr>
        <w:t>公务接待费支出</w:t>
      </w:r>
      <w:r>
        <w:rPr>
          <w:rFonts w:ascii="仿宋_GB2312" w:hAnsi="仿宋_GB2312" w:eastAsia="仿宋_GB2312" w:cs="仿宋_GB2312"/>
          <w:b/>
          <w:bCs/>
          <w:sz w:val="32"/>
          <w:szCs w:val="32"/>
        </w:rPr>
        <w:t>0</w:t>
      </w:r>
      <w:r>
        <w:rPr>
          <w:rFonts w:hint="eastAsia" w:ascii="仿宋_GB2312" w:hAnsi="仿宋_GB2312" w:eastAsia="仿宋_GB2312" w:cs="仿宋_GB2312"/>
          <w:b/>
          <w:bCs/>
          <w:sz w:val="32"/>
          <w:szCs w:val="32"/>
        </w:rPr>
        <w:t>万</w:t>
      </w:r>
      <w:r>
        <w:rPr>
          <w:rFonts w:hint="eastAsia" w:eastAsia="仿宋_GB2312" w:cs="仿宋_GB2312"/>
          <w:b/>
          <w:bCs/>
          <w:sz w:val="32"/>
          <w:szCs w:val="32"/>
        </w:rPr>
        <w:t>元，完成预算100</w:t>
      </w:r>
      <w:r>
        <w:rPr>
          <w:rFonts w:eastAsia="仿宋_GB2312" w:cs="仿宋_GB2312"/>
          <w:b/>
          <w:bCs/>
          <w:sz w:val="32"/>
          <w:szCs w:val="32"/>
        </w:rPr>
        <w:t>%</w:t>
      </w:r>
      <w:r>
        <w:rPr>
          <w:rFonts w:hint="eastAsia" w:eastAsia="仿宋_GB2312" w:cs="仿宋_GB2312"/>
          <w:b/>
          <w:bCs/>
          <w:sz w:val="32"/>
          <w:szCs w:val="32"/>
        </w:rPr>
        <w:t>。</w:t>
      </w:r>
    </w:p>
    <w:p w14:paraId="7F4B3897">
      <w:pPr>
        <w:spacing w:line="600" w:lineRule="exact"/>
        <w:ind w:firstLine="640"/>
        <w:rPr>
          <w:rFonts w:eastAsia="仿宋_GB2312" w:cs="仿宋_GB2312"/>
          <w:sz w:val="32"/>
          <w:szCs w:val="32"/>
        </w:rPr>
      </w:pPr>
      <w:r>
        <w:rPr>
          <w:rFonts w:hint="eastAsia" w:eastAsia="仿宋_GB2312" w:cs="仿宋_GB2312"/>
          <w:sz w:val="32"/>
          <w:szCs w:val="32"/>
        </w:rPr>
        <w:t>国内公务接待支</w:t>
      </w:r>
      <w:r>
        <w:rPr>
          <w:rFonts w:hint="eastAsia" w:ascii="仿宋_GB2312" w:hAnsi="仿宋_GB2312" w:eastAsia="仿宋_GB2312" w:cs="仿宋_GB2312"/>
          <w:sz w:val="32"/>
          <w:szCs w:val="32"/>
        </w:rPr>
        <w:t>出</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w:t>
      </w:r>
      <w:r>
        <w:rPr>
          <w:rFonts w:hint="eastAsia" w:eastAsia="仿宋_GB2312" w:cs="仿宋_GB2312"/>
          <w:sz w:val="32"/>
          <w:szCs w:val="32"/>
        </w:rPr>
        <w:t>元。国内公务接</w:t>
      </w:r>
      <w:r>
        <w:rPr>
          <w:rFonts w:hint="eastAsia" w:ascii="仿宋_GB2312" w:hAnsi="仿宋_GB2312" w:eastAsia="仿宋_GB2312" w:cs="仿宋_GB2312"/>
          <w:sz w:val="32"/>
          <w:szCs w:val="32"/>
        </w:rPr>
        <w:t>待</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批次，</w:t>
      </w:r>
      <w:r>
        <w:rPr>
          <w:rFonts w:ascii="仿宋_GB2312" w:hAnsi="仿宋_GB2312" w:eastAsia="仿宋_GB2312" w:cs="仿宋_GB2312"/>
          <w:sz w:val="32"/>
          <w:szCs w:val="32"/>
        </w:rPr>
        <w:t>0</w:t>
      </w:r>
      <w:r>
        <w:rPr>
          <w:rFonts w:hint="eastAsia" w:eastAsia="仿宋_GB2312" w:cs="仿宋_GB2312"/>
          <w:sz w:val="32"/>
          <w:szCs w:val="32"/>
        </w:rPr>
        <w:t>人次。外事接待支</w:t>
      </w:r>
      <w:r>
        <w:rPr>
          <w:rFonts w:hint="eastAsia" w:ascii="仿宋_GB2312" w:hAnsi="仿宋_GB2312" w:eastAsia="仿宋_GB2312" w:cs="仿宋_GB2312"/>
          <w:sz w:val="32"/>
          <w:szCs w:val="32"/>
        </w:rPr>
        <w:t>出</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w:t>
      </w:r>
      <w:r>
        <w:rPr>
          <w:rFonts w:hint="eastAsia" w:eastAsia="仿宋_GB2312" w:cs="仿宋_GB2312"/>
          <w:sz w:val="32"/>
          <w:szCs w:val="32"/>
        </w:rPr>
        <w:t>。</w:t>
      </w:r>
      <w:bookmarkStart w:id="35" w:name="_Toc15396610"/>
      <w:bookmarkStart w:id="36" w:name="_Toc15377218"/>
    </w:p>
    <w:p w14:paraId="5D9E27D8">
      <w:pPr>
        <w:spacing w:line="600" w:lineRule="exact"/>
        <w:ind w:firstLine="640"/>
        <w:outlineLvl w:val="1"/>
        <w:rPr>
          <w:rStyle w:val="20"/>
          <w:rFonts w:ascii="Times New Roman" w:hAnsi="Times New Roman" w:eastAsia="黑体"/>
        </w:rPr>
      </w:pPr>
      <w:r>
        <w:rPr>
          <w:rFonts w:hint="eastAsia" w:eastAsia="黑体"/>
          <w:sz w:val="32"/>
          <w:szCs w:val="32"/>
        </w:rPr>
        <w:t>八、</w:t>
      </w:r>
      <w:r>
        <w:rPr>
          <w:rStyle w:val="20"/>
          <w:rFonts w:hint="eastAsia" w:ascii="Times New Roman" w:hAnsi="Times New Roman" w:eastAsia="黑体"/>
          <w:b w:val="0"/>
        </w:rPr>
        <w:t>政府性基金预算支出决算情况说明</w:t>
      </w:r>
      <w:bookmarkEnd w:id="35"/>
      <w:bookmarkEnd w:id="36"/>
    </w:p>
    <w:p w14:paraId="5C862CB4">
      <w:pPr>
        <w:spacing w:line="600" w:lineRule="exact"/>
        <w:ind w:firstLine="640"/>
        <w:rPr>
          <w:rFonts w:eastAsia="仿宋_GB2312" w:cs="仿宋_GB2312"/>
          <w:sz w:val="32"/>
          <w:szCs w:val="32"/>
        </w:rPr>
      </w:pPr>
      <w:r>
        <w:rPr>
          <w:rFonts w:ascii="仿宋_GB2312" w:hAnsi="仿宋_GB2312" w:eastAsia="仿宋_GB2312" w:cs="仿宋_GB2312"/>
          <w:sz w:val="32"/>
          <w:szCs w:val="32"/>
        </w:rPr>
        <w:t>2024</w:t>
      </w:r>
      <w:r>
        <w:rPr>
          <w:rFonts w:hint="eastAsia" w:ascii="仿宋_GB2312" w:hAnsi="仿宋_GB2312" w:eastAsia="仿宋_GB2312" w:cs="仿宋_GB2312"/>
          <w:sz w:val="32"/>
          <w:szCs w:val="32"/>
        </w:rPr>
        <w:t>年度政府性基金预算财政拨款支出</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万元，占本年支出合计的</w:t>
      </w:r>
      <w:r>
        <w:rPr>
          <w:rFonts w:ascii="仿宋_GB2312" w:hAnsi="仿宋_GB2312" w:eastAsia="仿宋_GB2312" w:cs="仿宋_GB2312"/>
          <w:sz w:val="32"/>
          <w:szCs w:val="32"/>
        </w:rPr>
        <w:t>0%</w:t>
      </w:r>
      <w:r>
        <w:rPr>
          <w:rFonts w:hint="eastAsia" w:eastAsia="仿宋_GB2312" w:cs="仿宋_GB2312"/>
          <w:sz w:val="32"/>
          <w:szCs w:val="32"/>
        </w:rPr>
        <w:t>。与</w:t>
      </w:r>
      <w:r>
        <w:rPr>
          <w:rFonts w:eastAsia="仿宋_GB2312" w:cs="仿宋_GB2312"/>
          <w:sz w:val="32"/>
          <w:szCs w:val="32"/>
        </w:rPr>
        <w:t>2023</w:t>
      </w:r>
      <w:r>
        <w:rPr>
          <w:rFonts w:hint="eastAsia" w:eastAsia="仿宋_GB2312" w:cs="仿宋_GB2312"/>
          <w:sz w:val="32"/>
          <w:szCs w:val="32"/>
        </w:rPr>
        <w:t>年度持平。</w:t>
      </w:r>
    </w:p>
    <w:p w14:paraId="4FD9D833">
      <w:pPr>
        <w:spacing w:line="600" w:lineRule="exact"/>
        <w:ind w:left="630"/>
        <w:outlineLvl w:val="1"/>
        <w:rPr>
          <w:rStyle w:val="20"/>
          <w:rFonts w:ascii="Times New Roman" w:hAnsi="Times New Roman" w:eastAsia="黑体"/>
          <w:b w:val="0"/>
        </w:rPr>
      </w:pPr>
      <w:bookmarkStart w:id="37" w:name="_Toc15396611"/>
      <w:bookmarkStart w:id="38" w:name="_Toc15377219"/>
      <w:r>
        <w:rPr>
          <w:rStyle w:val="20"/>
          <w:rFonts w:hint="eastAsia" w:ascii="Times New Roman" w:hAnsi="Times New Roman" w:eastAsia="黑体"/>
          <w:b w:val="0"/>
        </w:rPr>
        <w:t>九、国有资本经营预算支出决算情况说明</w:t>
      </w:r>
      <w:bookmarkEnd w:id="37"/>
      <w:bookmarkEnd w:id="38"/>
    </w:p>
    <w:p w14:paraId="0ECC17C2">
      <w:pPr>
        <w:spacing w:line="600" w:lineRule="exact"/>
        <w:ind w:firstLine="640"/>
        <w:rPr>
          <w:rFonts w:eastAsia="仿宋_GB2312" w:cs="仿宋_GB2312"/>
          <w:sz w:val="32"/>
          <w:szCs w:val="32"/>
        </w:rPr>
      </w:pPr>
      <w:r>
        <w:rPr>
          <w:rFonts w:eastAsia="仿宋_GB2312" w:cs="仿宋_GB2312"/>
          <w:sz w:val="32"/>
          <w:szCs w:val="32"/>
        </w:rPr>
        <w:t>2024</w:t>
      </w:r>
      <w:r>
        <w:rPr>
          <w:rFonts w:hint="eastAsia" w:eastAsia="仿宋_GB2312" w:cs="仿宋_GB2312"/>
          <w:sz w:val="32"/>
          <w:szCs w:val="32"/>
        </w:rPr>
        <w:t>年度国有资本经营预算财政拨款支出</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万元，占本年支出合计的</w:t>
      </w:r>
      <w:r>
        <w:rPr>
          <w:rFonts w:ascii="仿宋_GB2312" w:hAnsi="仿宋_GB2312" w:eastAsia="仿宋_GB2312" w:cs="仿宋_GB2312"/>
          <w:sz w:val="32"/>
          <w:szCs w:val="32"/>
        </w:rPr>
        <w:t>0%</w:t>
      </w:r>
      <w:r>
        <w:rPr>
          <w:rFonts w:hint="eastAsia" w:eastAsia="仿宋_GB2312" w:cs="仿宋_GB2312"/>
          <w:sz w:val="32"/>
          <w:szCs w:val="32"/>
        </w:rPr>
        <w:t>。与</w:t>
      </w:r>
      <w:r>
        <w:rPr>
          <w:rFonts w:eastAsia="仿宋_GB2312" w:cs="仿宋_GB2312"/>
          <w:sz w:val="32"/>
          <w:szCs w:val="32"/>
        </w:rPr>
        <w:t>2023</w:t>
      </w:r>
      <w:r>
        <w:rPr>
          <w:rFonts w:hint="eastAsia" w:eastAsia="仿宋_GB2312" w:cs="仿宋_GB2312"/>
          <w:sz w:val="32"/>
          <w:szCs w:val="32"/>
        </w:rPr>
        <w:t>年度持平。</w:t>
      </w:r>
    </w:p>
    <w:p w14:paraId="6D6D1184">
      <w:pPr>
        <w:spacing w:line="600" w:lineRule="exact"/>
        <w:ind w:left="630"/>
        <w:outlineLvl w:val="1"/>
        <w:rPr>
          <w:rStyle w:val="20"/>
          <w:rFonts w:ascii="Times New Roman" w:hAnsi="Times New Roman" w:eastAsia="黑体"/>
          <w:b w:val="0"/>
        </w:rPr>
      </w:pPr>
      <w:bookmarkStart w:id="39" w:name="_Toc15377221"/>
      <w:bookmarkStart w:id="40" w:name="_Toc15396612"/>
      <w:r>
        <w:rPr>
          <w:rStyle w:val="20"/>
          <w:rFonts w:hint="eastAsia" w:ascii="Times New Roman" w:hAnsi="Times New Roman" w:eastAsia="黑体"/>
          <w:b w:val="0"/>
        </w:rPr>
        <w:t>十、其他重要事项的情况说明</w:t>
      </w:r>
      <w:bookmarkEnd w:id="39"/>
      <w:bookmarkEnd w:id="40"/>
    </w:p>
    <w:p w14:paraId="6FBD5E0A">
      <w:pPr>
        <w:spacing w:line="600" w:lineRule="exact"/>
        <w:ind w:firstLine="643" w:firstLineChars="200"/>
        <w:outlineLvl w:val="2"/>
        <w:rPr>
          <w:rFonts w:eastAsia="楷体_GB2312" w:cs="楷体_GB2312"/>
          <w:b/>
          <w:sz w:val="32"/>
          <w:szCs w:val="32"/>
        </w:rPr>
      </w:pPr>
      <w:bookmarkStart w:id="41" w:name="_Toc15377222"/>
      <w:r>
        <w:rPr>
          <w:rFonts w:hint="eastAsia" w:eastAsia="楷体_GB2312" w:cs="楷体_GB2312"/>
          <w:b/>
          <w:sz w:val="32"/>
          <w:szCs w:val="32"/>
        </w:rPr>
        <w:t>（一）机关运行经费支出情况</w:t>
      </w:r>
      <w:bookmarkEnd w:id="41"/>
    </w:p>
    <w:p w14:paraId="03A0FC79">
      <w:pPr>
        <w:spacing w:line="600" w:lineRule="exact"/>
        <w:ind w:firstLine="640"/>
        <w:rPr>
          <w:rFonts w:eastAsia="仿宋_GB2312" w:cs="仿宋_GB2312"/>
          <w:sz w:val="32"/>
          <w:szCs w:val="32"/>
        </w:rPr>
      </w:pPr>
      <w:r>
        <w:rPr>
          <w:rFonts w:eastAsia="仿宋_GB2312" w:cs="仿宋_GB2312"/>
          <w:sz w:val="32"/>
          <w:szCs w:val="32"/>
        </w:rPr>
        <w:t>2024</w:t>
      </w:r>
      <w:r>
        <w:rPr>
          <w:rFonts w:hint="eastAsia" w:eastAsia="仿宋_GB2312" w:cs="仿宋_GB2312"/>
          <w:sz w:val="32"/>
          <w:szCs w:val="32"/>
        </w:rPr>
        <w:t>年度</w:t>
      </w:r>
      <w:r>
        <w:rPr>
          <w:rFonts w:hint="eastAsia" w:ascii="仿宋_GB2312" w:hAnsi="仿宋_GB2312" w:eastAsia="仿宋_GB2312" w:cs="仿宋_GB2312"/>
          <w:sz w:val="32"/>
          <w:szCs w:val="32"/>
        </w:rPr>
        <w:t>，九寨沟县信访局机关运行经费支出</w:t>
      </w:r>
      <w:r>
        <w:rPr>
          <w:rFonts w:ascii="仿宋_GB2312" w:hAnsi="仿宋_GB2312" w:eastAsia="仿宋_GB2312" w:cs="仿宋_GB2312"/>
          <w:sz w:val="32"/>
          <w:szCs w:val="32"/>
        </w:rPr>
        <w:t>48.64</w:t>
      </w:r>
      <w:r>
        <w:rPr>
          <w:rFonts w:hint="eastAsia" w:ascii="仿宋_GB2312" w:hAnsi="仿宋_GB2312" w:eastAsia="仿宋_GB2312" w:cs="仿宋_GB2312"/>
          <w:sz w:val="32"/>
          <w:szCs w:val="32"/>
        </w:rPr>
        <w:t>万</w:t>
      </w:r>
      <w:r>
        <w:rPr>
          <w:rFonts w:hint="eastAsia" w:eastAsia="仿宋_GB2312" w:cs="仿宋_GB2312"/>
          <w:sz w:val="32"/>
          <w:szCs w:val="32"/>
        </w:rPr>
        <w:t>元，比</w:t>
      </w:r>
      <w:r>
        <w:rPr>
          <w:rFonts w:eastAsia="仿宋_GB2312" w:cs="仿宋_GB2312"/>
          <w:sz w:val="32"/>
          <w:szCs w:val="32"/>
        </w:rPr>
        <w:t>2023</w:t>
      </w:r>
      <w:r>
        <w:rPr>
          <w:rFonts w:hint="eastAsia" w:eastAsia="仿宋_GB2312" w:cs="仿宋_GB2312"/>
          <w:sz w:val="32"/>
          <w:szCs w:val="32"/>
        </w:rPr>
        <w:t>年度增加16.42万元，增长</w:t>
      </w:r>
      <w:r>
        <w:rPr>
          <w:rFonts w:hint="eastAsia" w:eastAsia="仿宋_GB2312" w:cs="仿宋_GB2312"/>
          <w:sz w:val="32"/>
          <w:szCs w:val="32"/>
          <w:lang w:eastAsia="zh-CN"/>
        </w:rPr>
        <w:t>了</w:t>
      </w:r>
      <w:r>
        <w:rPr>
          <w:rFonts w:hint="eastAsia" w:eastAsia="仿宋_GB2312" w:cs="仿宋_GB2312"/>
          <w:sz w:val="32"/>
          <w:szCs w:val="32"/>
        </w:rPr>
        <w:t>50.94</w:t>
      </w:r>
      <w:r>
        <w:rPr>
          <w:rFonts w:eastAsia="仿宋_GB2312" w:cs="仿宋_GB2312"/>
          <w:sz w:val="32"/>
          <w:szCs w:val="32"/>
        </w:rPr>
        <w:t>%</w:t>
      </w:r>
      <w:r>
        <w:rPr>
          <w:rFonts w:hint="eastAsia" w:eastAsia="仿宋_GB2312" w:cs="仿宋_GB2312"/>
          <w:sz w:val="32"/>
          <w:szCs w:val="32"/>
          <w:lang w:eastAsia="zh-CN"/>
        </w:rPr>
        <w:t>。（</w:t>
      </w:r>
      <w:r>
        <w:rPr>
          <w:rFonts w:hint="eastAsia" w:eastAsia="仿宋_GB2312" w:cs="仿宋_GB2312"/>
          <w:sz w:val="32"/>
          <w:szCs w:val="32"/>
          <w:lang w:val="en-US" w:eastAsia="zh-CN"/>
        </w:rPr>
        <w:t>50.96%=16.42万元/（48.64万元-16.42万元）*100%</w:t>
      </w:r>
      <w:r>
        <w:rPr>
          <w:rFonts w:hint="eastAsia" w:eastAsia="仿宋_GB2312" w:cs="仿宋_GB2312"/>
          <w:sz w:val="32"/>
          <w:szCs w:val="32"/>
          <w:lang w:eastAsia="zh-CN"/>
        </w:rPr>
        <w:t>）</w:t>
      </w:r>
      <w:r>
        <w:rPr>
          <w:rFonts w:hint="eastAsia" w:eastAsia="仿宋_GB2312" w:cs="仿宋_GB2312"/>
          <w:sz w:val="32"/>
          <w:szCs w:val="32"/>
        </w:rPr>
        <w:t>主要原因是单位机改，人员增加，公用经费增加。</w:t>
      </w:r>
    </w:p>
    <w:p w14:paraId="1ED83415">
      <w:pPr>
        <w:spacing w:line="600" w:lineRule="exact"/>
        <w:ind w:firstLine="643" w:firstLineChars="200"/>
        <w:outlineLvl w:val="2"/>
        <w:rPr>
          <w:rFonts w:eastAsia="楷体_GB2312" w:cs="楷体_GB2312"/>
          <w:b/>
          <w:sz w:val="32"/>
          <w:szCs w:val="32"/>
        </w:rPr>
      </w:pPr>
      <w:bookmarkStart w:id="42" w:name="_Toc15377223"/>
      <w:r>
        <w:rPr>
          <w:rFonts w:hint="eastAsia" w:eastAsia="楷体_GB2312" w:cs="楷体_GB2312"/>
          <w:b/>
          <w:sz w:val="32"/>
          <w:szCs w:val="32"/>
        </w:rPr>
        <w:t>（二）政府采购支出情况</w:t>
      </w:r>
      <w:bookmarkEnd w:id="42"/>
    </w:p>
    <w:p w14:paraId="151D0ADF">
      <w:pPr>
        <w:spacing w:line="600" w:lineRule="exact"/>
        <w:ind w:firstLine="640"/>
        <w:rPr>
          <w:rFonts w:ascii="仿宋_GB2312" w:hAnsi="仿宋_GB2312" w:eastAsia="仿宋_GB2312" w:cs="仿宋_GB2312"/>
          <w:sz w:val="32"/>
          <w:szCs w:val="32"/>
        </w:rPr>
      </w:pPr>
      <w:r>
        <w:rPr>
          <w:rFonts w:ascii="仿宋_GB2312" w:hAnsi="仿宋_GB2312" w:eastAsia="仿宋_GB2312" w:cs="仿宋_GB2312"/>
          <w:sz w:val="32"/>
          <w:szCs w:val="32"/>
        </w:rPr>
        <w:t>2024</w:t>
      </w:r>
      <w:r>
        <w:rPr>
          <w:rFonts w:hint="eastAsia" w:ascii="仿宋_GB2312" w:hAnsi="仿宋_GB2312" w:eastAsia="仿宋_GB2312" w:cs="仿宋_GB2312"/>
          <w:sz w:val="32"/>
          <w:szCs w:val="32"/>
        </w:rPr>
        <w:t>年度，九寨沟县信访局政府采购支出总额</w:t>
      </w:r>
      <w:r>
        <w:rPr>
          <w:rFonts w:ascii="仿宋_GB2312" w:hAnsi="仿宋_GB2312" w:eastAsia="仿宋_GB2312" w:cs="仿宋_GB2312"/>
          <w:sz w:val="32"/>
          <w:szCs w:val="32"/>
        </w:rPr>
        <w:t>7.95</w:t>
      </w:r>
      <w:r>
        <w:rPr>
          <w:rFonts w:hint="eastAsia" w:ascii="仿宋_GB2312" w:hAnsi="仿宋_GB2312" w:eastAsia="仿宋_GB2312" w:cs="仿宋_GB2312"/>
          <w:sz w:val="32"/>
          <w:szCs w:val="32"/>
        </w:rPr>
        <w:t>万元，其中：政府采购货物支出</w:t>
      </w:r>
      <w:r>
        <w:rPr>
          <w:rFonts w:ascii="仿宋_GB2312" w:hAnsi="仿宋_GB2312" w:eastAsia="仿宋_GB2312" w:cs="仿宋_GB2312"/>
          <w:sz w:val="32"/>
          <w:szCs w:val="32"/>
        </w:rPr>
        <w:t>7.95</w:t>
      </w:r>
      <w:r>
        <w:rPr>
          <w:rFonts w:hint="eastAsia" w:ascii="仿宋_GB2312" w:hAnsi="仿宋_GB2312" w:eastAsia="仿宋_GB2312" w:cs="仿宋_GB2312"/>
          <w:sz w:val="32"/>
          <w:szCs w:val="32"/>
        </w:rPr>
        <w:t>万元、政府采购工程支出</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万元、政府采购服务支出</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万元。主要用于办公室办公设备购置。授予中小企业合同金额</w:t>
      </w:r>
      <w:r>
        <w:rPr>
          <w:rFonts w:ascii="仿宋_GB2312" w:hAnsi="仿宋_GB2312" w:eastAsia="仿宋_GB2312" w:cs="仿宋_GB2312"/>
          <w:sz w:val="32"/>
          <w:szCs w:val="32"/>
        </w:rPr>
        <w:t>7.95</w:t>
      </w:r>
      <w:r>
        <w:rPr>
          <w:rFonts w:hint="eastAsia" w:ascii="仿宋_GB2312" w:hAnsi="仿宋_GB2312" w:eastAsia="仿宋_GB2312" w:cs="仿宋_GB2312"/>
          <w:sz w:val="32"/>
          <w:szCs w:val="32"/>
        </w:rPr>
        <w:t>万元，占政府采购支出总额的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，其中：授予小微企业合同金额</w:t>
      </w:r>
      <w:r>
        <w:rPr>
          <w:rFonts w:ascii="仿宋_GB2312" w:hAnsi="仿宋_GB2312" w:eastAsia="仿宋_GB2312" w:cs="仿宋_GB2312"/>
          <w:sz w:val="32"/>
          <w:szCs w:val="32"/>
        </w:rPr>
        <w:t>7.95</w:t>
      </w:r>
      <w:r>
        <w:rPr>
          <w:rFonts w:hint="eastAsia" w:ascii="仿宋_GB2312" w:hAnsi="仿宋_GB2312" w:eastAsia="仿宋_GB2312" w:cs="仿宋_GB2312"/>
          <w:sz w:val="32"/>
          <w:szCs w:val="32"/>
        </w:rPr>
        <w:t>万元，占政府采购支出总额的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w:t>
      </w:r>
    </w:p>
    <w:p w14:paraId="70AE27C0">
      <w:pPr>
        <w:spacing w:line="600" w:lineRule="exact"/>
        <w:ind w:firstLine="643" w:firstLineChars="200"/>
        <w:outlineLvl w:val="2"/>
        <w:rPr>
          <w:rFonts w:eastAsia="楷体_GB2312" w:cs="楷体_GB2312"/>
          <w:b/>
          <w:sz w:val="32"/>
          <w:szCs w:val="32"/>
        </w:rPr>
      </w:pPr>
      <w:bookmarkStart w:id="43" w:name="_Toc15377224"/>
      <w:r>
        <w:rPr>
          <w:rFonts w:hint="eastAsia" w:eastAsia="楷体_GB2312" w:cs="楷体_GB2312"/>
          <w:b/>
          <w:sz w:val="32"/>
          <w:szCs w:val="32"/>
        </w:rPr>
        <w:t>（三）国有资产占有使用情况</w:t>
      </w:r>
      <w:bookmarkEnd w:id="43"/>
    </w:p>
    <w:p w14:paraId="08543C34">
      <w:pPr>
        <w:spacing w:line="600" w:lineRule="exact"/>
        <w:ind w:firstLine="640"/>
        <w:rPr>
          <w:rFonts w:eastAsia="仿宋_GB2312" w:cs="仿宋_GB2312"/>
          <w:sz w:val="32"/>
          <w:szCs w:val="32"/>
        </w:rPr>
      </w:pPr>
      <w:r>
        <w:rPr>
          <w:rFonts w:hint="eastAsia" w:ascii="仿宋_GB2312" w:hAnsi="仿宋_GB2312" w:eastAsia="仿宋_GB2312" w:cs="仿宋_GB2312"/>
          <w:sz w:val="32"/>
          <w:szCs w:val="32"/>
        </w:rPr>
        <w:t>截至</w:t>
      </w:r>
      <w:r>
        <w:rPr>
          <w:rFonts w:ascii="仿宋_GB2312" w:hAnsi="仿宋_GB2312" w:eastAsia="仿宋_GB2312" w:cs="仿宋_GB2312"/>
          <w:sz w:val="32"/>
          <w:szCs w:val="32"/>
        </w:rPr>
        <w:t>2024</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日，九寨沟县信访局共有车辆</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辆，其中：主要负责人用车</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辆、机要通信用车</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辆、应急保障用车</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辆、其他用车</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辆，其他用车主要是用于下乡或出差人员协调处理信访事项。单价</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万元（含）以上设备（不含车辆）</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台（套）</w:t>
      </w:r>
      <w:r>
        <w:rPr>
          <w:rFonts w:hint="eastAsia" w:eastAsia="仿宋_GB2312" w:cs="仿宋_GB2312"/>
          <w:sz w:val="32"/>
          <w:szCs w:val="32"/>
        </w:rPr>
        <w:t>。</w:t>
      </w:r>
    </w:p>
    <w:p w14:paraId="60A0248D">
      <w:pPr>
        <w:spacing w:line="600" w:lineRule="exact"/>
        <w:ind w:firstLine="643" w:firstLineChars="200"/>
        <w:outlineLvl w:val="2"/>
        <w:rPr>
          <w:rFonts w:eastAsia="楷体_GB2312" w:cs="楷体_GB2312"/>
          <w:b/>
          <w:sz w:val="32"/>
          <w:szCs w:val="32"/>
        </w:rPr>
      </w:pPr>
      <w:r>
        <w:rPr>
          <w:rFonts w:hint="eastAsia" w:eastAsia="楷体_GB2312" w:cs="楷体_GB2312"/>
          <w:b/>
          <w:sz w:val="32"/>
          <w:szCs w:val="32"/>
        </w:rPr>
        <w:t>（四）预算绩效管理情况</w:t>
      </w:r>
    </w:p>
    <w:p w14:paraId="4D857006">
      <w:pPr>
        <w:ind w:firstLine="640" w:firstLineChars="200"/>
        <w:rPr>
          <w:rFonts w:ascii="仿宋_GB2312" w:eastAsia="仿宋_GB2312"/>
          <w:sz w:val="32"/>
          <w:szCs w:val="32"/>
        </w:rPr>
      </w:pPr>
      <w:r>
        <w:rPr>
          <w:rFonts w:hint="eastAsia" w:ascii="仿宋_GB2312" w:eastAsia="仿宋_GB2312"/>
          <w:sz w:val="32"/>
          <w:szCs w:val="32"/>
        </w:rPr>
        <w:t>根据预算绩效管理要求，本部门在</w:t>
      </w:r>
      <w:r>
        <w:rPr>
          <w:rFonts w:ascii="仿宋_GB2312" w:eastAsia="仿宋_GB2312"/>
          <w:sz w:val="32"/>
          <w:szCs w:val="32"/>
        </w:rPr>
        <w:t>202</w:t>
      </w:r>
      <w:r>
        <w:rPr>
          <w:rFonts w:hint="eastAsia" w:ascii="仿宋_GB2312" w:eastAsia="仿宋_GB2312"/>
          <w:sz w:val="32"/>
          <w:szCs w:val="32"/>
        </w:rPr>
        <w:t>4年度预算编制阶段，组织对信访工作专项经费项目等</w:t>
      </w:r>
      <w:r>
        <w:rPr>
          <w:rFonts w:ascii="仿宋_GB2312" w:eastAsia="仿宋_GB2312"/>
          <w:sz w:val="32"/>
          <w:szCs w:val="32"/>
        </w:rPr>
        <w:t>2</w:t>
      </w:r>
      <w:r>
        <w:rPr>
          <w:rFonts w:hint="eastAsia" w:ascii="仿宋_GB2312" w:eastAsia="仿宋_GB2312"/>
          <w:sz w:val="32"/>
          <w:szCs w:val="32"/>
        </w:rPr>
        <w:t>个项目开展了预算事前绩效评估，对</w:t>
      </w:r>
      <w:r>
        <w:rPr>
          <w:rFonts w:ascii="仿宋_GB2312" w:eastAsia="仿宋_GB2312"/>
          <w:sz w:val="32"/>
          <w:szCs w:val="32"/>
        </w:rPr>
        <w:t>2</w:t>
      </w:r>
      <w:r>
        <w:rPr>
          <w:rFonts w:hint="eastAsia" w:ascii="仿宋_GB2312" w:eastAsia="仿宋_GB2312"/>
          <w:sz w:val="32"/>
          <w:szCs w:val="32"/>
        </w:rPr>
        <w:t>个项目编制了绩效目标，预算执行过程中，选取</w:t>
      </w:r>
      <w:r>
        <w:rPr>
          <w:rFonts w:ascii="仿宋_GB2312" w:eastAsia="仿宋_GB2312"/>
          <w:sz w:val="32"/>
          <w:szCs w:val="32"/>
        </w:rPr>
        <w:t>2</w:t>
      </w:r>
      <w:r>
        <w:rPr>
          <w:rFonts w:hint="eastAsia" w:ascii="仿宋_GB2312" w:eastAsia="仿宋_GB2312"/>
          <w:sz w:val="32"/>
          <w:szCs w:val="32"/>
        </w:rPr>
        <w:t>个项目开展绩效监控。</w:t>
      </w:r>
    </w:p>
    <w:p w14:paraId="45F4E455">
      <w:pPr>
        <w:ind w:firstLine="640" w:firstLineChars="200"/>
        <w:rPr>
          <w:rFonts w:ascii="仿宋_GB2312" w:eastAsia="仿宋_GB2312"/>
          <w:sz w:val="32"/>
          <w:szCs w:val="32"/>
        </w:rPr>
      </w:pPr>
      <w:r>
        <w:rPr>
          <w:rFonts w:hint="eastAsia" w:ascii="仿宋_GB2312" w:eastAsia="仿宋_GB2312"/>
          <w:sz w:val="32"/>
          <w:szCs w:val="32"/>
        </w:rPr>
        <w:t>对</w:t>
      </w:r>
      <w:r>
        <w:rPr>
          <w:rFonts w:ascii="仿宋_GB2312" w:eastAsia="仿宋_GB2312"/>
          <w:sz w:val="32"/>
          <w:szCs w:val="32"/>
        </w:rPr>
        <w:t>202</w:t>
      </w:r>
      <w:r>
        <w:rPr>
          <w:rFonts w:hint="eastAsia" w:ascii="仿宋_GB2312" w:eastAsia="仿宋_GB2312"/>
          <w:sz w:val="32"/>
          <w:szCs w:val="32"/>
        </w:rPr>
        <w:t>4年度一般公共预算、政府性基金预算、国有资本经营预算、社会保险基金预算以及资本资产、债券资金等全面开展绩效自评，形成信访部门整体绩效自评报告、信访工作专项经费等专项预算项目绩效自评报告，其中，信访工作专项经费部门整体绩效自评得分为</w:t>
      </w:r>
      <w:r>
        <w:rPr>
          <w:rFonts w:ascii="仿宋_GB2312" w:eastAsia="仿宋_GB2312"/>
          <w:sz w:val="32"/>
          <w:szCs w:val="32"/>
        </w:rPr>
        <w:t>100</w:t>
      </w:r>
      <w:r>
        <w:rPr>
          <w:rFonts w:hint="eastAsia" w:ascii="仿宋_GB2312" w:eastAsia="仿宋_GB2312"/>
          <w:sz w:val="32"/>
          <w:szCs w:val="32"/>
        </w:rPr>
        <w:t>分，绩效自评综述：按时完成支付进度；特殊疑难信访专项资金专项预算项目绩效自评得分为</w:t>
      </w:r>
      <w:r>
        <w:rPr>
          <w:rFonts w:ascii="仿宋_GB2312" w:eastAsia="仿宋_GB2312"/>
          <w:sz w:val="32"/>
          <w:szCs w:val="32"/>
        </w:rPr>
        <w:t>100</w:t>
      </w:r>
      <w:r>
        <w:rPr>
          <w:rFonts w:hint="eastAsia" w:ascii="仿宋_GB2312" w:eastAsia="仿宋_GB2312"/>
          <w:sz w:val="32"/>
          <w:szCs w:val="32"/>
        </w:rPr>
        <w:t>分，绩效自评综述：按时完成支付进度。绩效自评报告详见附件。</w:t>
      </w:r>
    </w:p>
    <w:p w14:paraId="7C2E5A78">
      <w:pPr>
        <w:ind w:firstLine="640" w:firstLineChars="200"/>
        <w:rPr>
          <w:rFonts w:ascii="仿宋_GB2312" w:eastAsia="仿宋_GB2312"/>
          <w:sz w:val="32"/>
          <w:szCs w:val="32"/>
        </w:rPr>
      </w:pPr>
    </w:p>
    <w:p w14:paraId="0113B641">
      <w:pPr>
        <w:spacing w:line="600" w:lineRule="exact"/>
        <w:ind w:firstLine="640"/>
        <w:rPr>
          <w:rFonts w:eastAsia="仿宋_GB2312" w:cs="仿宋_GB2312"/>
          <w:sz w:val="32"/>
          <w:szCs w:val="32"/>
        </w:rPr>
      </w:pPr>
    </w:p>
    <w:p w14:paraId="4E0C777B">
      <w:pPr>
        <w:pStyle w:val="2"/>
      </w:pPr>
    </w:p>
    <w:p w14:paraId="58BB464A">
      <w:pPr>
        <w:pStyle w:val="3"/>
        <w:ind w:left="420"/>
      </w:pPr>
    </w:p>
    <w:p w14:paraId="78C8BB27">
      <w:pPr>
        <w:pStyle w:val="3"/>
        <w:ind w:left="420"/>
      </w:pPr>
    </w:p>
    <w:p w14:paraId="2376E3AE">
      <w:pPr>
        <w:pStyle w:val="3"/>
        <w:ind w:left="420"/>
      </w:pPr>
    </w:p>
    <w:p w14:paraId="7A651A26">
      <w:pPr>
        <w:pStyle w:val="3"/>
        <w:ind w:left="420"/>
      </w:pPr>
    </w:p>
    <w:p w14:paraId="36AD956E">
      <w:pPr>
        <w:pStyle w:val="3"/>
        <w:ind w:left="420"/>
      </w:pPr>
    </w:p>
    <w:p w14:paraId="4C329E9D">
      <w:pPr>
        <w:pStyle w:val="3"/>
        <w:ind w:left="420"/>
      </w:pPr>
    </w:p>
    <w:p w14:paraId="22A9258D">
      <w:pPr>
        <w:pStyle w:val="3"/>
        <w:ind w:left="420"/>
      </w:pPr>
    </w:p>
    <w:p w14:paraId="59E00727">
      <w:pPr>
        <w:pStyle w:val="3"/>
        <w:ind w:left="420"/>
      </w:pPr>
    </w:p>
    <w:p w14:paraId="7FB5182B">
      <w:pPr>
        <w:pStyle w:val="3"/>
        <w:ind w:left="420"/>
      </w:pPr>
    </w:p>
    <w:p w14:paraId="308DAE4C">
      <w:pPr>
        <w:pStyle w:val="3"/>
        <w:ind w:left="420"/>
      </w:pPr>
    </w:p>
    <w:p w14:paraId="5E459219">
      <w:pPr>
        <w:pStyle w:val="3"/>
        <w:ind w:left="420"/>
      </w:pPr>
    </w:p>
    <w:p w14:paraId="36BC9F97">
      <w:pPr>
        <w:pStyle w:val="3"/>
        <w:ind w:left="420"/>
      </w:pPr>
    </w:p>
    <w:p w14:paraId="30D85E52">
      <w:pPr>
        <w:spacing w:line="600" w:lineRule="exact"/>
        <w:jc w:val="center"/>
        <w:outlineLvl w:val="0"/>
        <w:rPr>
          <w:rFonts w:eastAsia="黑体"/>
          <w:sz w:val="44"/>
          <w:szCs w:val="44"/>
        </w:rPr>
      </w:pPr>
      <w:bookmarkStart w:id="44" w:name="_Toc15396613"/>
      <w:bookmarkStart w:id="45" w:name="_Toc15377225"/>
      <w:r>
        <w:rPr>
          <w:rFonts w:hint="eastAsia" w:eastAsia="黑体"/>
          <w:sz w:val="44"/>
          <w:szCs w:val="44"/>
        </w:rPr>
        <w:t>第三部分</w:t>
      </w:r>
      <w:r>
        <w:rPr>
          <w:rFonts w:eastAsia="黑体"/>
          <w:sz w:val="44"/>
          <w:szCs w:val="44"/>
        </w:rPr>
        <w:t xml:space="preserve">  </w:t>
      </w:r>
      <w:r>
        <w:rPr>
          <w:rFonts w:hint="eastAsia" w:eastAsia="黑体"/>
          <w:sz w:val="44"/>
          <w:szCs w:val="44"/>
        </w:rPr>
        <w:t>名词解释</w:t>
      </w:r>
      <w:bookmarkEnd w:id="44"/>
      <w:bookmarkEnd w:id="45"/>
    </w:p>
    <w:p w14:paraId="2EB2AA9D">
      <w:pPr>
        <w:spacing w:line="600" w:lineRule="exact"/>
        <w:jc w:val="left"/>
        <w:rPr>
          <w:b/>
          <w:sz w:val="44"/>
          <w:szCs w:val="44"/>
        </w:rPr>
      </w:pPr>
    </w:p>
    <w:p w14:paraId="67745E05">
      <w:pPr>
        <w:ind w:firstLine="640" w:firstLineChars="200"/>
        <w:rPr>
          <w:rFonts w:ascii="仿宋_GB2312" w:eastAsia="仿宋_GB2312"/>
          <w:sz w:val="32"/>
          <w:szCs w:val="32"/>
        </w:rPr>
      </w:pPr>
      <w:bookmarkStart w:id="46" w:name="_Toc15377226"/>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72A98F64">
      <w:pPr>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14:paraId="6D44A02B">
      <w:pPr>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14:paraId="3826BE43">
      <w:pPr>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14:paraId="319FC274">
      <w:pPr>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使用非财政拨款结余（含专用结余）：指事业单位使用以前年度积累的非财政拨款结余弥补当年收支差额的金额。</w:t>
      </w:r>
      <w:r>
        <w:rPr>
          <w:rFonts w:ascii="仿宋_GB2312" w:eastAsia="仿宋_GB2312"/>
          <w:sz w:val="32"/>
          <w:szCs w:val="32"/>
        </w:rPr>
        <w:t xml:space="preserve"> </w:t>
      </w:r>
    </w:p>
    <w:p w14:paraId="7FFB7C54">
      <w:pPr>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274497B3">
      <w:pPr>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14:paraId="5742A106">
      <w:pPr>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14:paraId="6615A8C3">
      <w:pPr>
        <w:ind w:firstLine="630" w:firstLineChars="196"/>
        <w:rPr>
          <w:rFonts w:ascii="仿宋_GB2312" w:hAnsi="仿宋_GB2312" w:eastAsia="仿宋_GB2312" w:cs="仿宋_GB2312"/>
          <w:sz w:val="32"/>
          <w:szCs w:val="32"/>
        </w:rPr>
      </w:pPr>
      <w:r>
        <w:rPr>
          <w:rStyle w:val="17"/>
          <w:rFonts w:ascii="仿宋" w:hAnsi="仿宋" w:eastAsia="仿宋"/>
          <w:bCs/>
          <w:sz w:val="32"/>
          <w:szCs w:val="32"/>
        </w:rPr>
        <w:t>9.</w:t>
      </w:r>
      <w:r>
        <w:rPr>
          <w:rStyle w:val="17"/>
          <w:rFonts w:hint="eastAsia" w:ascii="仿宋" w:hAnsi="仿宋" w:eastAsia="仿宋"/>
          <w:bCs/>
          <w:sz w:val="32"/>
          <w:szCs w:val="32"/>
        </w:rPr>
        <w:t>一般公共服务</w:t>
      </w:r>
      <w:r>
        <w:rPr>
          <w:rStyle w:val="17"/>
          <w:rFonts w:ascii="仿宋" w:hAnsi="仿宋" w:eastAsia="仿宋"/>
          <w:bCs/>
          <w:sz w:val="32"/>
          <w:szCs w:val="32"/>
        </w:rPr>
        <w:t>201</w:t>
      </w:r>
      <w:r>
        <w:rPr>
          <w:rStyle w:val="17"/>
          <w:rFonts w:hint="eastAsia" w:ascii="仿宋" w:hAnsi="仿宋" w:eastAsia="仿宋"/>
          <w:bCs/>
          <w:sz w:val="32"/>
          <w:szCs w:val="32"/>
        </w:rPr>
        <w:t>类</w:t>
      </w:r>
      <w:r>
        <w:rPr>
          <w:rStyle w:val="17"/>
          <w:rFonts w:ascii="仿宋" w:hAnsi="仿宋" w:eastAsia="仿宋"/>
          <w:bCs/>
          <w:sz w:val="32"/>
          <w:szCs w:val="32"/>
        </w:rPr>
        <w:t xml:space="preserve">: </w:t>
      </w:r>
      <w:r>
        <w:rPr>
          <w:rFonts w:hint="eastAsia" w:ascii="仿宋_GB2312" w:hAnsi="仿宋_GB2312" w:eastAsia="仿宋_GB2312" w:cs="仿宋_GB2312"/>
          <w:sz w:val="32"/>
          <w:szCs w:val="32"/>
        </w:rPr>
        <w:t>指省级财政当年拨付的资金</w:t>
      </w:r>
      <w:r>
        <w:rPr>
          <w:rStyle w:val="38"/>
          <w:rFonts w:hint="eastAsia" w:ascii="仿宋_GB2312" w:eastAsia="仿宋_GB2312"/>
          <w:sz w:val="32"/>
          <w:szCs w:val="32"/>
        </w:rPr>
        <w:t>。</w:t>
      </w:r>
    </w:p>
    <w:p w14:paraId="434E022E">
      <w:pPr>
        <w:ind w:firstLine="643" w:firstLineChars="200"/>
        <w:rPr>
          <w:rFonts w:ascii="仿宋_GB2312" w:hAnsi="仿宋_GB2312" w:eastAsia="仿宋_GB2312" w:cs="仿宋_GB2312"/>
          <w:sz w:val="32"/>
          <w:szCs w:val="32"/>
        </w:rPr>
      </w:pPr>
      <w:r>
        <w:rPr>
          <w:rStyle w:val="17"/>
          <w:rFonts w:ascii="仿宋" w:hAnsi="仿宋" w:eastAsia="仿宋"/>
          <w:bCs/>
          <w:sz w:val="32"/>
          <w:szCs w:val="32"/>
        </w:rPr>
        <w:t>10.</w:t>
      </w:r>
      <w:r>
        <w:rPr>
          <w:rFonts w:ascii="仿宋_GB2312" w:eastAsia="仿宋_GB2312"/>
          <w:b/>
          <w:sz w:val="32"/>
          <w:szCs w:val="32"/>
        </w:rPr>
        <w:t xml:space="preserve"> </w:t>
      </w:r>
      <w:r>
        <w:rPr>
          <w:rStyle w:val="17"/>
          <w:rFonts w:hint="eastAsia" w:ascii="仿宋" w:hAnsi="仿宋" w:eastAsia="仿宋"/>
          <w:bCs/>
          <w:sz w:val="32"/>
          <w:szCs w:val="32"/>
        </w:rPr>
        <w:t>社会保障和就业支出（</w:t>
      </w:r>
      <w:r>
        <w:rPr>
          <w:rStyle w:val="17"/>
          <w:rFonts w:ascii="仿宋" w:hAnsi="仿宋" w:eastAsia="仿宋"/>
          <w:bCs/>
          <w:sz w:val="32"/>
          <w:szCs w:val="32"/>
        </w:rPr>
        <w:t>208</w:t>
      </w:r>
      <w:r>
        <w:rPr>
          <w:rStyle w:val="17"/>
          <w:rFonts w:hint="eastAsia" w:ascii="仿宋" w:hAnsi="仿宋" w:eastAsia="仿宋"/>
          <w:bCs/>
          <w:sz w:val="32"/>
          <w:szCs w:val="32"/>
        </w:rPr>
        <w:t>）行政事业单位养老支出（</w:t>
      </w:r>
      <w:r>
        <w:rPr>
          <w:rStyle w:val="17"/>
          <w:rFonts w:ascii="仿宋" w:hAnsi="仿宋" w:eastAsia="仿宋"/>
          <w:bCs/>
          <w:sz w:val="32"/>
          <w:szCs w:val="32"/>
        </w:rPr>
        <w:t>05</w:t>
      </w:r>
      <w:r>
        <w:rPr>
          <w:rStyle w:val="17"/>
          <w:rFonts w:hint="eastAsia" w:ascii="仿宋" w:hAnsi="仿宋" w:eastAsia="仿宋"/>
          <w:bCs/>
          <w:sz w:val="32"/>
          <w:szCs w:val="32"/>
        </w:rPr>
        <w:t>）机关事业单位基本养老保险缴费支出（</w:t>
      </w:r>
      <w:r>
        <w:rPr>
          <w:rStyle w:val="17"/>
          <w:rFonts w:ascii="仿宋" w:hAnsi="仿宋" w:eastAsia="仿宋"/>
          <w:bCs/>
          <w:sz w:val="32"/>
          <w:szCs w:val="32"/>
        </w:rPr>
        <w:t>05</w:t>
      </w:r>
      <w:r>
        <w:rPr>
          <w:rStyle w:val="17"/>
          <w:rFonts w:hint="eastAsia" w:ascii="仿宋" w:hAnsi="仿宋" w:eastAsia="仿宋"/>
          <w:bCs/>
          <w:sz w:val="32"/>
          <w:szCs w:val="32"/>
        </w:rPr>
        <w:t>）</w:t>
      </w:r>
      <w:r>
        <w:rPr>
          <w:rStyle w:val="17"/>
          <w:rFonts w:ascii="仿宋" w:hAnsi="仿宋" w:eastAsia="仿宋"/>
          <w:bCs/>
          <w:sz w:val="32"/>
          <w:szCs w:val="32"/>
        </w:rPr>
        <w:t>:</w:t>
      </w:r>
      <w:r>
        <w:rPr>
          <w:rFonts w:hint="eastAsia" w:ascii="仿宋_GB2312" w:hAnsi="仿宋_GB2312" w:eastAsia="仿宋_GB2312" w:cs="仿宋_GB2312"/>
          <w:sz w:val="32"/>
          <w:szCs w:val="32"/>
        </w:rPr>
        <w:t>指单位行政事业人员及长聘人员基本养老保险缴费。</w:t>
      </w:r>
    </w:p>
    <w:p w14:paraId="5079EE02">
      <w:pPr>
        <w:spacing w:line="600" w:lineRule="exact"/>
        <w:ind w:firstLine="643" w:firstLineChars="200"/>
        <w:rPr>
          <w:rFonts w:ascii="仿宋_GB2312" w:eastAsia="仿宋_GB2312"/>
          <w:color w:val="FF0000"/>
          <w:kern w:val="0"/>
          <w:sz w:val="32"/>
          <w:szCs w:val="32"/>
        </w:rPr>
      </w:pPr>
      <w:r>
        <w:rPr>
          <w:rStyle w:val="17"/>
          <w:rFonts w:ascii="仿宋" w:hAnsi="仿宋" w:eastAsia="仿宋"/>
          <w:bCs/>
          <w:sz w:val="32"/>
          <w:szCs w:val="32"/>
        </w:rPr>
        <w:t xml:space="preserve">11. </w:t>
      </w:r>
      <w:r>
        <w:rPr>
          <w:rStyle w:val="17"/>
          <w:rFonts w:hint="eastAsia" w:ascii="仿宋" w:hAnsi="仿宋" w:eastAsia="仿宋"/>
          <w:bCs/>
          <w:sz w:val="32"/>
          <w:szCs w:val="32"/>
        </w:rPr>
        <w:t>卫生健康支出（</w:t>
      </w:r>
      <w:r>
        <w:rPr>
          <w:rStyle w:val="17"/>
          <w:rFonts w:ascii="仿宋" w:hAnsi="仿宋" w:eastAsia="仿宋"/>
          <w:bCs/>
          <w:sz w:val="32"/>
          <w:szCs w:val="32"/>
        </w:rPr>
        <w:t>210</w:t>
      </w:r>
      <w:r>
        <w:rPr>
          <w:rStyle w:val="17"/>
          <w:rFonts w:hint="eastAsia" w:ascii="仿宋" w:hAnsi="仿宋" w:eastAsia="仿宋"/>
          <w:bCs/>
          <w:sz w:val="32"/>
          <w:szCs w:val="32"/>
        </w:rPr>
        <w:t>）行政事业单位医疗（</w:t>
      </w:r>
      <w:r>
        <w:rPr>
          <w:rStyle w:val="17"/>
          <w:rFonts w:ascii="仿宋" w:hAnsi="仿宋" w:eastAsia="仿宋"/>
          <w:bCs/>
          <w:sz w:val="32"/>
          <w:szCs w:val="32"/>
        </w:rPr>
        <w:t>11</w:t>
      </w:r>
      <w:r>
        <w:rPr>
          <w:rStyle w:val="17"/>
          <w:rFonts w:hint="eastAsia" w:ascii="仿宋" w:hAnsi="仿宋" w:eastAsia="仿宋"/>
          <w:bCs/>
          <w:sz w:val="32"/>
          <w:szCs w:val="32"/>
        </w:rPr>
        <w:t>）行政单位医疗（</w:t>
      </w:r>
      <w:r>
        <w:rPr>
          <w:rStyle w:val="17"/>
          <w:rFonts w:ascii="仿宋" w:hAnsi="仿宋" w:eastAsia="仿宋"/>
          <w:bCs/>
          <w:sz w:val="32"/>
          <w:szCs w:val="32"/>
        </w:rPr>
        <w:t>01</w:t>
      </w:r>
      <w:r>
        <w:rPr>
          <w:rStyle w:val="17"/>
          <w:rFonts w:hint="eastAsia" w:ascii="仿宋" w:hAnsi="仿宋" w:eastAsia="仿宋"/>
          <w:bCs/>
          <w:sz w:val="32"/>
          <w:szCs w:val="32"/>
        </w:rPr>
        <w:t>）</w:t>
      </w:r>
      <w:r>
        <w:rPr>
          <w:rStyle w:val="17"/>
          <w:rFonts w:ascii="仿宋" w:hAnsi="仿宋" w:eastAsia="仿宋"/>
          <w:bCs/>
          <w:sz w:val="32"/>
          <w:szCs w:val="32"/>
        </w:rPr>
        <w:t>:</w:t>
      </w:r>
      <w:r>
        <w:rPr>
          <w:rFonts w:ascii="仿宋_GB2312" w:hAnsi="仿宋_GB2312" w:eastAsia="仿宋_GB2312" w:cs="仿宋_GB2312"/>
          <w:b/>
          <w:sz w:val="32"/>
          <w:szCs w:val="32"/>
        </w:rPr>
        <w:t xml:space="preserve"> </w:t>
      </w:r>
      <w:r>
        <w:rPr>
          <w:rFonts w:hint="eastAsia" w:ascii="仿宋_GB2312" w:hAnsi="仿宋_GB2312" w:eastAsia="仿宋_GB2312" w:cs="仿宋_GB2312"/>
          <w:sz w:val="32"/>
          <w:szCs w:val="32"/>
        </w:rPr>
        <w:t>指行政单位医疗缴费</w:t>
      </w:r>
      <w:r>
        <w:rPr>
          <w:rStyle w:val="38"/>
          <w:rFonts w:hint="eastAsia" w:ascii="仿宋_GB2312" w:eastAsia="仿宋_GB2312"/>
          <w:sz w:val="32"/>
          <w:szCs w:val="32"/>
        </w:rPr>
        <w:t>。</w:t>
      </w:r>
    </w:p>
    <w:p w14:paraId="03F6642E">
      <w:pPr>
        <w:spacing w:line="600" w:lineRule="exact"/>
        <w:ind w:firstLine="643" w:firstLineChars="200"/>
        <w:rPr>
          <w:rFonts w:ascii="仿宋_GB2312" w:eastAsia="仿宋_GB2312"/>
          <w:sz w:val="32"/>
          <w:szCs w:val="32"/>
        </w:rPr>
      </w:pPr>
      <w:r>
        <w:rPr>
          <w:rStyle w:val="17"/>
          <w:rFonts w:ascii="仿宋" w:hAnsi="仿宋" w:eastAsia="仿宋"/>
          <w:bCs/>
          <w:sz w:val="32"/>
          <w:szCs w:val="32"/>
        </w:rPr>
        <w:t>12.</w:t>
      </w:r>
      <w:r>
        <w:rPr>
          <w:rStyle w:val="17"/>
          <w:rFonts w:hint="eastAsia" w:ascii="仿宋" w:hAnsi="仿宋" w:eastAsia="仿宋"/>
          <w:bCs/>
          <w:sz w:val="32"/>
          <w:szCs w:val="32"/>
        </w:rPr>
        <w:t>住房保障出（</w:t>
      </w:r>
      <w:r>
        <w:rPr>
          <w:rStyle w:val="17"/>
          <w:rFonts w:ascii="仿宋" w:hAnsi="仿宋" w:eastAsia="仿宋"/>
          <w:bCs/>
          <w:sz w:val="32"/>
          <w:szCs w:val="32"/>
        </w:rPr>
        <w:t>221</w:t>
      </w:r>
      <w:r>
        <w:rPr>
          <w:rStyle w:val="17"/>
          <w:rFonts w:hint="eastAsia" w:ascii="仿宋" w:hAnsi="仿宋" w:eastAsia="仿宋"/>
          <w:bCs/>
          <w:sz w:val="32"/>
          <w:szCs w:val="32"/>
        </w:rPr>
        <w:t>）住房改革支出（</w:t>
      </w:r>
      <w:r>
        <w:rPr>
          <w:rStyle w:val="17"/>
          <w:rFonts w:ascii="仿宋" w:hAnsi="仿宋" w:eastAsia="仿宋"/>
          <w:bCs/>
          <w:sz w:val="32"/>
          <w:szCs w:val="32"/>
        </w:rPr>
        <w:t>02</w:t>
      </w:r>
      <w:r>
        <w:rPr>
          <w:rStyle w:val="17"/>
          <w:rFonts w:hint="eastAsia" w:ascii="仿宋" w:hAnsi="仿宋" w:eastAsia="仿宋"/>
          <w:bCs/>
          <w:sz w:val="32"/>
          <w:szCs w:val="32"/>
        </w:rPr>
        <w:t>）住房公积金</w:t>
      </w:r>
      <w:r>
        <w:rPr>
          <w:rStyle w:val="38"/>
          <w:rFonts w:hint="eastAsia" w:ascii="仿宋_GB2312" w:eastAsia="仿宋_GB2312"/>
          <w:sz w:val="32"/>
          <w:szCs w:val="32"/>
        </w:rPr>
        <w:t>（</w:t>
      </w:r>
      <w:r>
        <w:rPr>
          <w:rStyle w:val="38"/>
          <w:rFonts w:ascii="仿宋_GB2312" w:eastAsia="仿宋_GB2312"/>
          <w:sz w:val="32"/>
          <w:szCs w:val="32"/>
        </w:rPr>
        <w:t>01</w:t>
      </w:r>
      <w:r>
        <w:rPr>
          <w:rStyle w:val="38"/>
          <w:rFonts w:hint="eastAsia" w:ascii="仿宋_GB2312" w:eastAsia="仿宋_GB2312"/>
          <w:sz w:val="32"/>
          <w:szCs w:val="32"/>
        </w:rPr>
        <w:t>）</w:t>
      </w:r>
      <w:r>
        <w:rPr>
          <w:rStyle w:val="38"/>
          <w:rFonts w:ascii="仿宋_GB2312" w:eastAsia="仿宋_GB2312"/>
          <w:sz w:val="32"/>
          <w:szCs w:val="32"/>
        </w:rPr>
        <w:t>:</w:t>
      </w:r>
      <w:r>
        <w:rPr>
          <w:rFonts w:hAnsi="仿宋_GB2312"/>
          <w:b/>
        </w:rPr>
        <w:t xml:space="preserve"> </w:t>
      </w:r>
      <w:r>
        <w:rPr>
          <w:rFonts w:hint="eastAsia" w:ascii="仿宋_GB2312" w:eastAsia="仿宋_GB2312"/>
          <w:sz w:val="32"/>
          <w:szCs w:val="32"/>
        </w:rPr>
        <w:t>指按照《住房公积金管理条例》的规定，由单位及其在职职工缴存的长期住房储金</w:t>
      </w:r>
      <w:r>
        <w:rPr>
          <w:rFonts w:hint="eastAsia"/>
        </w:rPr>
        <w:t>。</w:t>
      </w:r>
    </w:p>
    <w:p w14:paraId="52AFC6DA">
      <w:pPr>
        <w:ind w:firstLine="640" w:firstLineChars="200"/>
        <w:rPr>
          <w:rFonts w:ascii="仿宋_GB2312" w:eastAsia="仿宋_GB2312"/>
          <w:sz w:val="32"/>
          <w:szCs w:val="32"/>
        </w:rPr>
      </w:pPr>
      <w:r>
        <w:rPr>
          <w:rFonts w:ascii="仿宋_GB2312" w:eastAsia="仿宋_GB2312"/>
          <w:sz w:val="32"/>
          <w:szCs w:val="32"/>
        </w:rPr>
        <w:t>13.</w:t>
      </w:r>
      <w:r>
        <w:rPr>
          <w:rFonts w:hint="eastAsia" w:ascii="仿宋_GB2312" w:eastAsia="仿宋_GB2312"/>
          <w:sz w:val="32"/>
          <w:szCs w:val="32"/>
        </w:rPr>
        <w:t>基本支出：指为保障机构正常运转、完成日常工作任务而发生的人员支出和公用支出。</w:t>
      </w:r>
    </w:p>
    <w:p w14:paraId="45111C2E">
      <w:pPr>
        <w:ind w:firstLine="640" w:firstLineChars="200"/>
        <w:rPr>
          <w:rFonts w:ascii="仿宋_GB2312" w:eastAsia="仿宋_GB2312"/>
          <w:sz w:val="32"/>
          <w:szCs w:val="32"/>
        </w:rPr>
      </w:pPr>
      <w:r>
        <w:rPr>
          <w:rFonts w:ascii="仿宋_GB2312" w:eastAsia="仿宋_GB2312"/>
          <w:sz w:val="32"/>
          <w:szCs w:val="32"/>
        </w:rPr>
        <w:t>28.</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14:paraId="12BB2BB5">
      <w:pPr>
        <w:ind w:firstLine="640" w:firstLineChars="200"/>
        <w:rPr>
          <w:rFonts w:ascii="仿宋_GB2312" w:eastAsia="仿宋_GB2312"/>
          <w:sz w:val="32"/>
          <w:szCs w:val="32"/>
        </w:rPr>
      </w:pPr>
      <w:r>
        <w:rPr>
          <w:rFonts w:ascii="仿宋_GB2312" w:eastAsia="仿宋_GB2312"/>
          <w:sz w:val="32"/>
          <w:szCs w:val="32"/>
        </w:rPr>
        <w:t>29.</w:t>
      </w:r>
      <w:r>
        <w:rPr>
          <w:rFonts w:hint="eastAsia" w:ascii="仿宋_GB2312" w:eastAsia="仿宋_GB2312"/>
          <w:sz w:val="32"/>
          <w:szCs w:val="32"/>
        </w:rPr>
        <w:t>经营支出：指事业单位在专业业务活动及其辅助活动之外开展非独立核算经营活动发生的支出。</w:t>
      </w:r>
    </w:p>
    <w:p w14:paraId="557900F1">
      <w:pPr>
        <w:ind w:firstLine="640" w:firstLineChars="200"/>
        <w:rPr>
          <w:rFonts w:ascii="仿宋_GB2312" w:eastAsia="仿宋_GB2312"/>
          <w:sz w:val="32"/>
          <w:szCs w:val="32"/>
        </w:rPr>
      </w:pPr>
      <w:r>
        <w:rPr>
          <w:rFonts w:ascii="仿宋_GB2312" w:eastAsia="仿宋_GB2312"/>
          <w:sz w:val="32"/>
          <w:szCs w:val="32"/>
        </w:rPr>
        <w:t>30.</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26E2DF3">
      <w:pPr>
        <w:ind w:firstLine="640" w:firstLineChars="200"/>
        <w:rPr>
          <w:rFonts w:ascii="仿宋_GB2312" w:eastAsia="仿宋_GB2312"/>
          <w:sz w:val="32"/>
          <w:szCs w:val="32"/>
        </w:rPr>
      </w:pPr>
      <w:r>
        <w:rPr>
          <w:rFonts w:ascii="仿宋_GB2312" w:eastAsia="仿宋_GB2312"/>
          <w:sz w:val="32"/>
          <w:szCs w:val="32"/>
        </w:rPr>
        <w:t>31.</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DAD2F3A">
      <w:pPr>
        <w:spacing w:line="600" w:lineRule="exact"/>
        <w:jc w:val="center"/>
        <w:rPr>
          <w:rStyle w:val="19"/>
          <w:rFonts w:eastAsia="黑体"/>
          <w:b w:val="0"/>
        </w:rPr>
      </w:pPr>
      <w:r>
        <w:rPr>
          <w:rFonts w:eastAsia="仿宋_GB2312" w:cs="仿宋_GB2312"/>
          <w:sz w:val="32"/>
          <w:szCs w:val="32"/>
        </w:rPr>
        <w:br w:type="page"/>
      </w:r>
      <w:bookmarkStart w:id="47" w:name="_Toc15396614"/>
      <w:r>
        <w:rPr>
          <w:rFonts w:hint="eastAsia" w:eastAsia="黑体"/>
          <w:sz w:val="44"/>
          <w:szCs w:val="44"/>
        </w:rPr>
        <w:t>第四部分</w:t>
      </w:r>
      <w:r>
        <w:rPr>
          <w:rFonts w:eastAsia="黑体"/>
          <w:sz w:val="44"/>
          <w:szCs w:val="44"/>
        </w:rPr>
        <w:t xml:space="preserve">  </w:t>
      </w:r>
      <w:r>
        <w:rPr>
          <w:rFonts w:hint="eastAsia" w:eastAsia="黑体"/>
          <w:sz w:val="44"/>
          <w:szCs w:val="44"/>
        </w:rPr>
        <w:t>附件</w:t>
      </w:r>
      <w:bookmarkEnd w:id="47"/>
    </w:p>
    <w:p w14:paraId="6C687323">
      <w:pPr>
        <w:spacing w:line="572" w:lineRule="exact"/>
        <w:jc w:val="left"/>
        <w:outlineLvl w:val="0"/>
        <w:rPr>
          <w:rFonts w:eastAsia="黑体" w:cs="黑体"/>
          <w:color w:val="FF0000"/>
          <w:sz w:val="32"/>
          <w:szCs w:val="32"/>
        </w:rPr>
      </w:pPr>
    </w:p>
    <w:p w14:paraId="088EFC99">
      <w:pPr>
        <w:spacing w:line="572" w:lineRule="exact"/>
        <w:jc w:val="left"/>
        <w:outlineLvl w:val="0"/>
        <w:rPr>
          <w:rFonts w:eastAsia="黑体" w:cs="方正小标宋简体"/>
          <w:sz w:val="44"/>
          <w:szCs w:val="44"/>
        </w:rPr>
      </w:pPr>
      <w:r>
        <w:rPr>
          <w:rFonts w:hint="eastAsia" w:eastAsia="黑体" w:cs="黑体"/>
          <w:sz w:val="32"/>
          <w:szCs w:val="32"/>
        </w:rPr>
        <w:t>附件</w:t>
      </w:r>
      <w:r>
        <w:rPr>
          <w:rFonts w:eastAsia="黑体" w:cs="黑体"/>
          <w:sz w:val="32"/>
          <w:szCs w:val="32"/>
        </w:rPr>
        <w:t>1</w:t>
      </w:r>
    </w:p>
    <w:p w14:paraId="181CAA39">
      <w:pPr>
        <w:widowControl/>
        <w:spacing w:line="578" w:lineRule="exact"/>
        <w:contextualSpacing/>
        <w:jc w:val="center"/>
        <w:rPr>
          <w:rFonts w:eastAsia="方正小标宋简体"/>
          <w:bCs/>
          <w:sz w:val="44"/>
          <w:szCs w:val="44"/>
          <w:shd w:val="clear" w:color="auto" w:fill="FFFFFF"/>
        </w:rPr>
      </w:pPr>
    </w:p>
    <w:p w14:paraId="3C3ECFB1">
      <w:pPr>
        <w:widowControl/>
        <w:spacing w:line="578" w:lineRule="exact"/>
        <w:contextualSpacing/>
        <w:jc w:val="center"/>
        <w:rPr>
          <w:rFonts w:eastAsia="方正小标宋简体"/>
          <w:bCs/>
          <w:sz w:val="44"/>
          <w:szCs w:val="44"/>
          <w:shd w:val="clear" w:color="auto" w:fill="FFFFFF"/>
        </w:rPr>
      </w:pPr>
      <w:r>
        <w:rPr>
          <w:rFonts w:hint="eastAsia" w:eastAsia="方正小标宋简体"/>
          <w:bCs/>
          <w:sz w:val="44"/>
          <w:szCs w:val="44"/>
          <w:shd w:val="clear" w:color="auto" w:fill="FFFFFF"/>
        </w:rPr>
        <w:t>部门预算绩效评价报告</w:t>
      </w:r>
    </w:p>
    <w:p w14:paraId="728A6711">
      <w:pPr>
        <w:widowControl/>
        <w:adjustRightInd w:val="0"/>
        <w:snapToGrid w:val="0"/>
        <w:spacing w:line="578" w:lineRule="exact"/>
        <w:ind w:firstLine="480" w:firstLineChars="200"/>
        <w:contextualSpacing/>
        <w:jc w:val="left"/>
        <w:rPr>
          <w:rFonts w:eastAsia="黑体"/>
          <w:color w:val="000000"/>
          <w:kern w:val="0"/>
          <w:sz w:val="24"/>
          <w:szCs w:val="32"/>
          <w:shd w:val="clear" w:color="auto" w:fill="FFFFFF"/>
        </w:rPr>
      </w:pPr>
    </w:p>
    <w:p w14:paraId="3FDC5CA8">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r>
        <w:rPr>
          <w:rFonts w:hint="eastAsia" w:eastAsia="黑体"/>
          <w:color w:val="000000"/>
          <w:kern w:val="0"/>
          <w:sz w:val="32"/>
          <w:szCs w:val="32"/>
          <w:shd w:val="clear" w:color="auto" w:fill="FFFFFF"/>
          <w:lang w:val="zh-CN"/>
        </w:rPr>
        <w:t>一、部门（单位）基本情况</w:t>
      </w:r>
    </w:p>
    <w:p w14:paraId="268CE9C4">
      <w:pPr>
        <w:spacing w:line="560" w:lineRule="exact"/>
        <w:ind w:firstLine="643" w:firstLineChars="200"/>
        <w:rPr>
          <w:rFonts w:ascii="仿宋_GB2312" w:hAnsi="仿宋_GB2312" w:eastAsia="仿宋_GB2312" w:cs="仿宋_GB2312"/>
          <w:sz w:val="32"/>
          <w:szCs w:val="32"/>
        </w:rPr>
      </w:pPr>
      <w:r>
        <w:rPr>
          <w:rFonts w:hint="eastAsia" w:eastAsia="楷体_GB2312" w:cs="楷体_GB2312"/>
          <w:b/>
          <w:sz w:val="32"/>
          <w:szCs w:val="32"/>
          <w:lang w:val="zh-CN"/>
        </w:rPr>
        <w:t>（一）机构组成。</w:t>
      </w:r>
      <w:r>
        <w:rPr>
          <w:rFonts w:hint="eastAsia" w:ascii="仿宋_GB2312" w:hAnsi="仿宋_GB2312" w:eastAsia="仿宋_GB2312" w:cs="仿宋_GB2312"/>
          <w:sz w:val="32"/>
          <w:szCs w:val="32"/>
        </w:rPr>
        <w:t>县信访局是县人民政府工作部门</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为正科级，由中共九寨沟县委社会工作部统一领导。内设两个办公室：综合办公室、督查督办股。</w:t>
      </w:r>
    </w:p>
    <w:p w14:paraId="7E2CC1F5">
      <w:pPr>
        <w:spacing w:line="560" w:lineRule="exact"/>
        <w:ind w:firstLine="643" w:firstLineChars="200"/>
        <w:rPr>
          <w:rFonts w:eastAsia="仿宋_GB2312" w:cs="仿宋_GB2312"/>
          <w:sz w:val="32"/>
          <w:szCs w:val="32"/>
        </w:rPr>
      </w:pPr>
      <w:r>
        <w:rPr>
          <w:rFonts w:hint="eastAsia" w:eastAsia="楷体_GB2312" w:cs="楷体_GB2312"/>
          <w:b/>
          <w:sz w:val="32"/>
          <w:szCs w:val="32"/>
          <w:lang w:val="zh-CN"/>
        </w:rPr>
        <w:t>（二）机构职能。</w:t>
      </w:r>
    </w:p>
    <w:p w14:paraId="1DC91EF5">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202</w:t>
      </w:r>
      <w:r>
        <w:rPr>
          <w:rFonts w:hint="eastAsia" w:ascii="仿宋_GB2312" w:hAnsi="仿宋_GB2312" w:eastAsia="仿宋_GB2312" w:cs="仿宋_GB2312"/>
          <w:sz w:val="32"/>
          <w:szCs w:val="32"/>
        </w:rPr>
        <w:t>4年九寨沟县信访局始终坚持以习近平新时代中国特色社会主义思想为指导，深入贯彻落实中央、省委和州委关于做好信访工作的决策部署，紧扣实施“全域发展、绿色崛起”总体战略，高质量推进信访维稳工作，努力探索出一条与县情、民情相适应的九寨信访模式，全县呈现出“信访秩序全面好转，信访办结率、停访息诉率、群众满意率三个提高，越级信访、重复信访、异常信访三个下降”的良好态势，总体部署主要工作职能是</w:t>
      </w:r>
      <w:r>
        <w:rPr>
          <w:rFonts w:ascii="仿宋_GB2312" w:hAnsi="仿宋_GB2312" w:eastAsia="仿宋_GB2312" w:cs="仿宋_GB2312"/>
          <w:sz w:val="32"/>
          <w:szCs w:val="32"/>
        </w:rPr>
        <w:t>:</w:t>
      </w:r>
    </w:p>
    <w:p w14:paraId="4C67C00B">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贯彻党和国家关于信访工作的方针、政策和规定及《国务院信访工作条例》，分析、研究、调查、汇报信访资料，为领导提供决策依据。</w:t>
      </w:r>
    </w:p>
    <w:p w14:paraId="1F1733A4">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负责处理县内外群众、境外人士、法人及其他组织通过信访渠道给县委、县政府及领导同志的来信来电，接待来访；承办州信访局及有关部门转送、交办的群众来信来电来访。</w:t>
      </w:r>
    </w:p>
    <w:p w14:paraId="17151DFC">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负责向县委、县政府反映来信来电来访中提出的重要建议、意见和问题；综合研判信访信息，开展调查研究，提出制定修改完善有关政策的建议。</w:t>
      </w:r>
    </w:p>
    <w:p w14:paraId="6BBBC20B">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、承担督促检查有关指示件落实情况的责任，拟定信访督查制度并组织实施，承办省、州、县领导同志交办信访事项的落实；向各乡镇和部门转办、交办信访事项；督促检查重要信访事项的处理和落实。</w:t>
      </w:r>
    </w:p>
    <w:p w14:paraId="00F7EEEC">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、承担办理县联席办、信访局及有关部门转送、交办的群众信访事项。协调处理到州赴省进京集体访和进京非正常访的问题；综合协调处理跨地区、跨部门的重要信访问题。</w:t>
      </w:r>
    </w:p>
    <w:p w14:paraId="50E76CCB">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6</w:t>
      </w:r>
      <w:r>
        <w:rPr>
          <w:rFonts w:hint="eastAsia" w:ascii="仿宋_GB2312" w:hAnsi="仿宋_GB2312" w:eastAsia="仿宋_GB2312" w:cs="仿宋_GB2312"/>
          <w:sz w:val="32"/>
          <w:szCs w:val="32"/>
        </w:rPr>
        <w:t>、协调指导全县信访工作。研究、起草全县有关信访工作的规范性文件；提出改进和加强信访工作的意见和建议；指导县内各部门的信访工作和乡镇的信访工作。</w:t>
      </w:r>
    </w:p>
    <w:p w14:paraId="002AC908">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7.</w:t>
      </w:r>
      <w:r>
        <w:rPr>
          <w:rFonts w:hint="eastAsia" w:ascii="仿宋_GB2312" w:hAnsi="仿宋_GB2312" w:eastAsia="仿宋_GB2312" w:cs="仿宋_GB2312"/>
          <w:sz w:val="32"/>
          <w:szCs w:val="32"/>
        </w:rPr>
        <w:t>制定信访问题排查化解制度并组织实施；建立完善信访动态分析机制，指导全县信访信息系统建设和应用。</w:t>
      </w:r>
    </w:p>
    <w:p w14:paraId="685AB7F3">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8</w:t>
      </w:r>
      <w:r>
        <w:rPr>
          <w:rFonts w:hint="eastAsia" w:ascii="仿宋_GB2312" w:hAnsi="仿宋_GB2312" w:eastAsia="仿宋_GB2312" w:cs="仿宋_GB2312"/>
          <w:sz w:val="32"/>
          <w:szCs w:val="32"/>
        </w:rPr>
        <w:t>、承担县信访工作联席会议的日常工作；督促落实会议决定事项。</w:t>
      </w:r>
    </w:p>
    <w:p w14:paraId="5A40D3E3">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9.</w:t>
      </w:r>
      <w:r>
        <w:rPr>
          <w:rFonts w:hint="eastAsia" w:ascii="仿宋_GB2312" w:hAnsi="仿宋_GB2312" w:eastAsia="仿宋_GB2312" w:cs="仿宋_GB2312"/>
          <w:sz w:val="32"/>
          <w:szCs w:val="32"/>
        </w:rPr>
        <w:t>负责全县信访工作的宣传和信息发布。</w:t>
      </w:r>
    </w:p>
    <w:p w14:paraId="048E4ED6">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10.</w:t>
      </w:r>
      <w:r>
        <w:rPr>
          <w:rFonts w:hint="eastAsia" w:ascii="仿宋_GB2312" w:hAnsi="仿宋_GB2312" w:eastAsia="仿宋_GB2312" w:cs="仿宋_GB2312"/>
          <w:sz w:val="32"/>
          <w:szCs w:val="32"/>
        </w:rPr>
        <w:t>承办县委、县政府交办的其他事项。</w:t>
      </w:r>
    </w:p>
    <w:p w14:paraId="4427B569">
      <w:pPr>
        <w:spacing w:line="600" w:lineRule="exact"/>
        <w:ind w:firstLine="643" w:firstLineChars="200"/>
        <w:rPr>
          <w:rFonts w:ascii="仿宋_GB2312" w:hAnsi="仿宋_GB2312" w:eastAsia="仿宋_GB2312" w:cs="仿宋_GB2312"/>
          <w:sz w:val="32"/>
          <w:szCs w:val="32"/>
        </w:rPr>
      </w:pPr>
      <w:r>
        <w:rPr>
          <w:rFonts w:hint="eastAsia" w:eastAsia="楷体_GB2312"/>
          <w:b/>
          <w:bCs/>
          <w:color w:val="000000"/>
          <w:kern w:val="0"/>
          <w:sz w:val="32"/>
          <w:szCs w:val="32"/>
          <w:shd w:val="clear" w:color="auto" w:fill="FFFFFF"/>
          <w:lang w:val="zh-CN"/>
        </w:rPr>
        <w:t>（三）人员概况。</w:t>
      </w:r>
      <w:r>
        <w:rPr>
          <w:rFonts w:hint="eastAsia" w:eastAsia="仿宋_GB2312"/>
          <w:sz w:val="32"/>
          <w:szCs w:val="32"/>
        </w:rPr>
        <w:t>截至</w:t>
      </w:r>
      <w:r>
        <w:rPr>
          <w:rFonts w:eastAsia="仿宋_GB2312"/>
          <w:sz w:val="32"/>
          <w:szCs w:val="32"/>
        </w:rPr>
        <w:t>2024</w:t>
      </w:r>
      <w:r>
        <w:rPr>
          <w:rFonts w:hint="eastAsia" w:eastAsia="仿宋_GB2312"/>
          <w:sz w:val="32"/>
          <w:szCs w:val="32"/>
        </w:rPr>
        <w:t>年末，</w:t>
      </w:r>
      <w:r>
        <w:rPr>
          <w:rFonts w:hint="eastAsia" w:ascii="仿宋_GB2312" w:hAnsi="仿宋_GB2312" w:eastAsia="仿宋_GB2312" w:cs="仿宋_GB2312"/>
          <w:sz w:val="32"/>
          <w:szCs w:val="32"/>
        </w:rPr>
        <w:t>公务员编制4名，事业编制</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名，实有人数共计9人。</w:t>
      </w:r>
    </w:p>
    <w:p w14:paraId="2A1ABCAB">
      <w:pPr>
        <w:spacing w:line="600" w:lineRule="exact"/>
        <w:ind w:firstLine="640" w:firstLineChars="200"/>
        <w:rPr>
          <w:rFonts w:eastAsia="黑体"/>
          <w:color w:val="000000"/>
          <w:kern w:val="0"/>
          <w:sz w:val="32"/>
          <w:szCs w:val="32"/>
          <w:shd w:val="clear" w:color="auto" w:fill="FFFFFF"/>
          <w:lang w:val="zh-CN"/>
        </w:rPr>
      </w:pPr>
      <w:r>
        <w:rPr>
          <w:rFonts w:hint="eastAsia" w:eastAsia="黑体"/>
          <w:color w:val="000000"/>
          <w:kern w:val="0"/>
          <w:sz w:val="32"/>
          <w:szCs w:val="32"/>
          <w:shd w:val="clear" w:color="auto" w:fill="FFFFFF"/>
          <w:lang w:val="zh-CN"/>
        </w:rPr>
        <w:t>二、部门资金收支情况</w:t>
      </w:r>
    </w:p>
    <w:p w14:paraId="54F6FE33">
      <w:pPr>
        <w:pStyle w:val="34"/>
        <w:spacing w:line="600" w:lineRule="exact"/>
        <w:ind w:firstLine="643"/>
        <w:jc w:val="left"/>
        <w:outlineLvl w:val="1"/>
        <w:rPr>
          <w:rFonts w:eastAsia="仿宋_GB2312" w:cs="仿宋_GB2312"/>
          <w:b/>
          <w:bCs/>
          <w:sz w:val="32"/>
          <w:szCs w:val="32"/>
        </w:rPr>
      </w:pPr>
      <w:r>
        <w:rPr>
          <w:rFonts w:hint="eastAsia" w:eastAsia="楷体_GB2312"/>
          <w:b/>
          <w:bCs/>
          <w:color w:val="000000"/>
          <w:kern w:val="0"/>
          <w:sz w:val="32"/>
          <w:szCs w:val="32"/>
          <w:shd w:val="clear" w:color="auto" w:fill="FFFFFF"/>
          <w:lang w:val="zh-CN"/>
        </w:rPr>
        <w:t>（一）收入情况。</w:t>
      </w:r>
      <w:r>
        <w:rPr>
          <w:rFonts w:ascii="仿宋_GB2312" w:hAnsi="仿宋_GB2312" w:eastAsia="仿宋_GB2312" w:cs="仿宋_GB2312"/>
          <w:sz w:val="32"/>
          <w:szCs w:val="32"/>
        </w:rPr>
        <w:t>2024</w:t>
      </w:r>
      <w:r>
        <w:rPr>
          <w:rFonts w:hint="eastAsia" w:ascii="仿宋_GB2312" w:hAnsi="仿宋_GB2312" w:eastAsia="仿宋_GB2312" w:cs="仿宋_GB2312"/>
          <w:sz w:val="32"/>
          <w:szCs w:val="32"/>
        </w:rPr>
        <w:t>年度本年收入合计</w:t>
      </w:r>
      <w:r>
        <w:rPr>
          <w:rFonts w:ascii="仿宋_GB2312" w:hAnsi="仿宋_GB2312" w:eastAsia="仿宋_GB2312" w:cs="仿宋_GB2312"/>
          <w:sz w:val="32"/>
          <w:szCs w:val="32"/>
        </w:rPr>
        <w:t>196.13</w:t>
      </w:r>
      <w:r>
        <w:rPr>
          <w:rFonts w:hint="eastAsia" w:ascii="仿宋_GB2312" w:hAnsi="仿宋_GB2312" w:eastAsia="仿宋_GB2312" w:cs="仿宋_GB2312"/>
          <w:sz w:val="32"/>
          <w:szCs w:val="32"/>
        </w:rPr>
        <w:t>万元，其中：一般公共预算财政拨款收入</w:t>
      </w:r>
      <w:r>
        <w:rPr>
          <w:rFonts w:ascii="仿宋_GB2312" w:hAnsi="仿宋_GB2312" w:eastAsia="仿宋_GB2312" w:cs="仿宋_GB2312"/>
          <w:sz w:val="32"/>
          <w:szCs w:val="32"/>
        </w:rPr>
        <w:t>196.13</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；政府性基金预算财政拨款收入</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；国有资本经营预算财政拨款收入</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；上级补助收入</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；事业收入</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；经营收入</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；附属单位上缴收入</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；其他收入</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w:t>
      </w:r>
    </w:p>
    <w:p w14:paraId="3C16DCD4">
      <w:pPr>
        <w:pStyle w:val="34"/>
        <w:spacing w:line="600" w:lineRule="exact"/>
        <w:ind w:firstLine="643"/>
        <w:jc w:val="left"/>
        <w:outlineLvl w:val="1"/>
        <w:rPr>
          <w:rFonts w:eastAsia="仿宋_GB2312" w:cs="仿宋_GB2312"/>
          <w:sz w:val="32"/>
          <w:szCs w:val="32"/>
        </w:rPr>
      </w:pPr>
      <w:r>
        <w:rPr>
          <w:rFonts w:hint="eastAsia" w:eastAsia="楷体_GB2312"/>
          <w:b/>
          <w:bCs/>
          <w:color w:val="000000"/>
          <w:kern w:val="0"/>
          <w:sz w:val="32"/>
          <w:szCs w:val="32"/>
          <w:shd w:val="clear" w:color="auto" w:fill="FFFFFF"/>
          <w:lang w:val="zh-CN"/>
        </w:rPr>
        <w:t>（二）支出情况。</w:t>
      </w:r>
      <w:r>
        <w:rPr>
          <w:rFonts w:ascii="仿宋_GB2312" w:hAnsi="仿宋_GB2312" w:eastAsia="仿宋_GB2312" w:cs="仿宋_GB2312"/>
          <w:sz w:val="32"/>
          <w:szCs w:val="32"/>
        </w:rPr>
        <w:t>2024</w:t>
      </w:r>
      <w:r>
        <w:rPr>
          <w:rFonts w:hint="eastAsia" w:ascii="仿宋_GB2312" w:hAnsi="仿宋_GB2312" w:eastAsia="仿宋_GB2312" w:cs="仿宋_GB2312"/>
          <w:sz w:val="32"/>
          <w:szCs w:val="32"/>
        </w:rPr>
        <w:t>年度本年支出合计</w:t>
      </w:r>
      <w:r>
        <w:rPr>
          <w:rFonts w:ascii="仿宋_GB2312" w:hAnsi="仿宋_GB2312" w:eastAsia="仿宋_GB2312" w:cs="仿宋_GB2312"/>
          <w:sz w:val="32"/>
          <w:szCs w:val="32"/>
        </w:rPr>
        <w:t>204.87</w:t>
      </w:r>
      <w:r>
        <w:rPr>
          <w:rFonts w:hint="eastAsia" w:ascii="仿宋_GB2312" w:hAnsi="仿宋_GB2312" w:eastAsia="仿宋_GB2312" w:cs="仿宋_GB2312"/>
          <w:sz w:val="32"/>
          <w:szCs w:val="32"/>
        </w:rPr>
        <w:t>万元，其中：基本支出</w:t>
      </w:r>
      <w:r>
        <w:rPr>
          <w:rFonts w:ascii="仿宋_GB2312" w:hAnsi="仿宋_GB2312" w:eastAsia="仿宋_GB2312" w:cs="仿宋_GB2312"/>
          <w:sz w:val="32"/>
          <w:szCs w:val="32"/>
        </w:rPr>
        <w:t>202.87</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99.02%</w:t>
      </w:r>
      <w:r>
        <w:rPr>
          <w:rFonts w:hint="eastAsia" w:ascii="仿宋_GB2312" w:hAnsi="仿宋_GB2312" w:eastAsia="仿宋_GB2312" w:cs="仿宋_GB2312"/>
          <w:sz w:val="32"/>
          <w:szCs w:val="32"/>
        </w:rPr>
        <w:t>；项目支出</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0.97%</w:t>
      </w:r>
      <w:r>
        <w:rPr>
          <w:rFonts w:hint="eastAsia" w:ascii="仿宋_GB2312" w:hAnsi="仿宋_GB2312" w:eastAsia="仿宋_GB2312" w:cs="仿宋_GB2312"/>
          <w:sz w:val="32"/>
          <w:szCs w:val="32"/>
        </w:rPr>
        <w:t>；上缴上级支出</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；经营支出</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；对附属单位补助支出</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w:t>
      </w:r>
    </w:p>
    <w:p w14:paraId="0386177E">
      <w:pPr>
        <w:widowControl/>
        <w:adjustRightInd w:val="0"/>
        <w:snapToGrid w:val="0"/>
        <w:spacing w:line="578" w:lineRule="exact"/>
        <w:ind w:firstLine="643" w:firstLineChars="200"/>
        <w:contextualSpacing/>
        <w:jc w:val="left"/>
        <w:rPr>
          <w:rFonts w:eastAsia="仿宋_GB2312"/>
          <w:color w:val="000000"/>
          <w:kern w:val="0"/>
          <w:szCs w:val="32"/>
          <w:shd w:val="clear" w:color="auto" w:fill="FFFFFF"/>
          <w:lang w:val="zh-CN"/>
        </w:rPr>
      </w:pPr>
      <w:r>
        <w:rPr>
          <w:rFonts w:hint="eastAsia" w:eastAsia="楷体_GB2312"/>
          <w:b/>
          <w:bCs/>
          <w:color w:val="000000"/>
          <w:kern w:val="0"/>
          <w:sz w:val="32"/>
          <w:szCs w:val="32"/>
          <w:shd w:val="clear" w:color="auto" w:fill="FFFFFF"/>
          <w:lang w:val="zh-CN"/>
        </w:rPr>
        <w:t>（三）结余分配和结转结余情况。九寨沟县</w:t>
      </w:r>
      <w:r>
        <w:rPr>
          <w:rFonts w:eastAsia="仿宋_GB2312"/>
          <w:sz w:val="32"/>
          <w:szCs w:val="32"/>
        </w:rPr>
        <w:t>2024</w:t>
      </w:r>
      <w:r>
        <w:rPr>
          <w:rFonts w:hint="eastAsia" w:eastAsia="仿宋_GB2312"/>
          <w:sz w:val="32"/>
          <w:szCs w:val="32"/>
        </w:rPr>
        <w:t>年决算报表</w:t>
      </w:r>
      <w:r>
        <w:rPr>
          <w:rFonts w:hint="eastAsia" w:eastAsia="仿宋_GB2312"/>
          <w:sz w:val="32"/>
          <w:szCs w:val="32"/>
          <w:lang w:eastAsia="zh-CN"/>
        </w:rPr>
        <w:t>上年初</w:t>
      </w:r>
      <w:r>
        <w:rPr>
          <w:rFonts w:hint="eastAsia" w:eastAsia="仿宋_GB2312"/>
          <w:sz w:val="32"/>
          <w:szCs w:val="32"/>
        </w:rPr>
        <w:t>结转结余8.74万元。</w:t>
      </w:r>
    </w:p>
    <w:p w14:paraId="2F0F3F57">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r>
        <w:rPr>
          <w:rFonts w:hint="eastAsia" w:eastAsia="黑体"/>
          <w:color w:val="000000"/>
          <w:kern w:val="0"/>
          <w:sz w:val="32"/>
          <w:szCs w:val="32"/>
          <w:shd w:val="clear" w:color="auto" w:fill="FFFFFF"/>
          <w:lang w:val="zh-CN"/>
        </w:rPr>
        <w:t>三、部门预算绩效分析</w:t>
      </w:r>
    </w:p>
    <w:p w14:paraId="6FE47D3C">
      <w:pPr>
        <w:ind w:firstLine="472" w:firstLineChars="147"/>
        <w:rPr>
          <w:rFonts w:ascii="仿宋_GB2312" w:eastAsia="仿宋_GB2312"/>
          <w:sz w:val="32"/>
          <w:szCs w:val="32"/>
        </w:rPr>
      </w:pPr>
      <w:r>
        <w:rPr>
          <w:rFonts w:hint="eastAsia" w:eastAsia="楷体_GB2312"/>
          <w:b/>
          <w:bCs/>
          <w:color w:val="000000"/>
          <w:kern w:val="0"/>
          <w:sz w:val="32"/>
          <w:szCs w:val="32"/>
          <w:shd w:val="clear" w:color="auto" w:fill="FFFFFF"/>
          <w:lang w:val="zh-CN"/>
        </w:rPr>
        <w:t>（一）部门预算总体绩效分析。</w:t>
      </w:r>
      <w:r>
        <w:rPr>
          <w:rFonts w:hint="eastAsia" w:ascii="仿宋_GB2312" w:eastAsia="仿宋_GB2312"/>
          <w:sz w:val="32"/>
          <w:szCs w:val="32"/>
        </w:rPr>
        <w:t>根据部门预算绩效评价指标体系“总体绩效”涉及二、三级指标进行逐项绩效分析并评分，依次包括履职效能、预算管理、财务管理、资产管理、采购管理等情况。</w:t>
      </w:r>
    </w:p>
    <w:p w14:paraId="4C6390EA">
      <w:pPr>
        <w:adjustRightInd w:val="0"/>
        <w:snapToGrid w:val="0"/>
        <w:spacing w:line="578" w:lineRule="exact"/>
        <w:ind w:firstLine="640" w:firstLineChars="200"/>
        <w:jc w:val="left"/>
        <w:rPr>
          <w:color w:val="000000"/>
          <w:kern w:val="0"/>
          <w:sz w:val="32"/>
          <w:szCs w:val="32"/>
          <w:shd w:val="clear" w:color="auto" w:fill="FFFFFF"/>
          <w:lang w:val="zh-CN"/>
        </w:rPr>
      </w:pPr>
      <w:r>
        <w:rPr>
          <w:rFonts w:ascii="楷体_GB2312" w:hAnsi="楷体_GB2312" w:eastAsia="楷体_GB2312" w:cs="楷体_GB2312"/>
          <w:color w:val="000000"/>
          <w:kern w:val="0"/>
          <w:sz w:val="32"/>
          <w:szCs w:val="32"/>
          <w:shd w:val="clear" w:color="auto" w:fill="FFFFFF"/>
        </w:rPr>
        <w:t>1.</w:t>
      </w:r>
      <w:r>
        <w:rPr>
          <w:rFonts w:hint="eastAsia" w:ascii="楷体_GB2312" w:hAnsi="楷体_GB2312" w:eastAsia="楷体_GB2312" w:cs="楷体_GB2312"/>
          <w:color w:val="000000"/>
          <w:kern w:val="0"/>
          <w:sz w:val="32"/>
          <w:szCs w:val="32"/>
          <w:shd w:val="clear" w:color="auto" w:fill="FFFFFF"/>
          <w:lang w:val="zh-CN"/>
        </w:rPr>
        <w:t>履职</w:t>
      </w:r>
      <w:r>
        <w:rPr>
          <w:rFonts w:hint="eastAsia" w:ascii="楷体_GB2312" w:hAnsi="楷体_GB2312" w:eastAsia="楷体_GB2312" w:cs="楷体_GB2312"/>
          <w:color w:val="000000"/>
          <w:kern w:val="0"/>
          <w:sz w:val="32"/>
          <w:szCs w:val="32"/>
          <w:shd w:val="clear" w:color="auto" w:fill="FFFFFF"/>
        </w:rPr>
        <w:t>效能</w:t>
      </w:r>
      <w:r>
        <w:rPr>
          <w:rFonts w:hint="eastAsia" w:ascii="楷体_GB2312" w:hAnsi="楷体_GB2312" w:eastAsia="楷体_GB2312" w:cs="楷体_GB2312"/>
          <w:color w:val="000000"/>
          <w:kern w:val="0"/>
          <w:sz w:val="32"/>
          <w:szCs w:val="32"/>
          <w:shd w:val="clear" w:color="auto" w:fill="FFFFFF"/>
          <w:lang w:val="zh-CN"/>
        </w:rPr>
        <w:t>。</w:t>
      </w:r>
      <w:r>
        <w:rPr>
          <w:rFonts w:hint="eastAsia" w:eastAsia="仿宋_GB2312"/>
          <w:sz w:val="32"/>
          <w:szCs w:val="32"/>
          <w:lang w:val="zh-CN"/>
        </w:rPr>
        <w:t>部门整体绩效目标中选定</w:t>
      </w:r>
      <w:r>
        <w:rPr>
          <w:rFonts w:eastAsia="仿宋_GB2312"/>
          <w:sz w:val="32"/>
          <w:szCs w:val="32"/>
          <w:lang w:val="zh-CN"/>
        </w:rPr>
        <w:t>3-5</w:t>
      </w:r>
      <w:r>
        <w:rPr>
          <w:rFonts w:hint="eastAsia" w:eastAsia="仿宋_GB2312"/>
          <w:sz w:val="32"/>
          <w:szCs w:val="32"/>
          <w:lang w:val="zh-CN"/>
        </w:rPr>
        <w:t>个核心职能目标，对职能目标完成效果情况绩效分析。</w:t>
      </w:r>
    </w:p>
    <w:p w14:paraId="58BF2056">
      <w:pPr>
        <w:adjustRightInd w:val="0"/>
        <w:snapToGrid w:val="0"/>
        <w:spacing w:line="578" w:lineRule="exact"/>
        <w:ind w:firstLine="640" w:firstLineChars="200"/>
        <w:jc w:val="left"/>
        <w:rPr>
          <w:rFonts w:ascii="楷体_GB2312" w:hAnsi="楷体_GB2312" w:eastAsia="楷体_GB2312" w:cs="楷体_GB2312"/>
          <w:color w:val="000000"/>
          <w:kern w:val="0"/>
          <w:sz w:val="32"/>
          <w:szCs w:val="32"/>
          <w:shd w:val="clear" w:color="auto" w:fill="FFFFFF"/>
          <w:lang w:val="zh-CN"/>
        </w:rPr>
      </w:pPr>
      <w:r>
        <w:rPr>
          <w:rFonts w:ascii="楷体_GB2312" w:hAnsi="楷体_GB2312" w:eastAsia="楷体_GB2312" w:cs="楷体_GB2312"/>
          <w:color w:val="000000"/>
          <w:kern w:val="0"/>
          <w:sz w:val="32"/>
          <w:szCs w:val="32"/>
          <w:shd w:val="clear" w:color="auto" w:fill="FFFFFF"/>
        </w:rPr>
        <w:t>2.</w:t>
      </w:r>
      <w:r>
        <w:rPr>
          <w:rFonts w:hint="eastAsia" w:ascii="楷体_GB2312" w:hAnsi="楷体_GB2312" w:eastAsia="楷体_GB2312" w:cs="楷体_GB2312"/>
          <w:color w:val="000000"/>
          <w:kern w:val="0"/>
          <w:sz w:val="32"/>
          <w:szCs w:val="32"/>
          <w:shd w:val="clear" w:color="auto" w:fill="FFFFFF"/>
          <w:lang w:val="zh-CN"/>
        </w:rPr>
        <w:t>预算管理。</w:t>
      </w:r>
      <w:r>
        <w:rPr>
          <w:rFonts w:hint="eastAsia" w:eastAsia="仿宋_GB2312"/>
          <w:sz w:val="32"/>
          <w:szCs w:val="32"/>
          <w:lang w:val="zh-CN"/>
        </w:rPr>
        <w:t>围绕预算编制质量、单位收入统筹、支出执行进度、预算年终结余、严控一般性支出进行绩效分析。</w:t>
      </w:r>
    </w:p>
    <w:p w14:paraId="2352270E">
      <w:pPr>
        <w:adjustRightInd w:val="0"/>
        <w:snapToGrid w:val="0"/>
        <w:spacing w:line="578" w:lineRule="exact"/>
        <w:ind w:firstLine="640" w:firstLineChars="200"/>
        <w:jc w:val="left"/>
        <w:rPr>
          <w:rFonts w:ascii="楷体_GB2312" w:hAnsi="楷体_GB2312" w:eastAsia="楷体_GB2312" w:cs="楷体_GB2312"/>
          <w:color w:val="000000"/>
          <w:kern w:val="0"/>
          <w:sz w:val="32"/>
          <w:szCs w:val="32"/>
          <w:shd w:val="clear" w:color="auto" w:fill="FFFFFF"/>
          <w:lang w:val="zh-CN"/>
        </w:rPr>
      </w:pPr>
      <w:r>
        <w:rPr>
          <w:rFonts w:ascii="楷体_GB2312" w:hAnsi="楷体_GB2312" w:eastAsia="楷体_GB2312" w:cs="楷体_GB2312"/>
          <w:color w:val="000000"/>
          <w:kern w:val="0"/>
          <w:sz w:val="32"/>
          <w:szCs w:val="32"/>
          <w:shd w:val="clear" w:color="auto" w:fill="FFFFFF"/>
        </w:rPr>
        <w:t>3.</w:t>
      </w:r>
      <w:r>
        <w:rPr>
          <w:rFonts w:hint="eastAsia" w:ascii="楷体_GB2312" w:hAnsi="楷体_GB2312" w:eastAsia="楷体_GB2312" w:cs="楷体_GB2312"/>
          <w:color w:val="000000"/>
          <w:kern w:val="0"/>
          <w:sz w:val="32"/>
          <w:szCs w:val="32"/>
          <w:shd w:val="clear" w:color="auto" w:fill="FFFFFF"/>
          <w:lang w:val="zh-CN"/>
        </w:rPr>
        <w:t>财务管理。</w:t>
      </w:r>
      <w:r>
        <w:rPr>
          <w:rFonts w:hint="eastAsia" w:eastAsia="仿宋_GB2312"/>
          <w:sz w:val="32"/>
          <w:szCs w:val="32"/>
          <w:lang w:val="zh-CN"/>
        </w:rPr>
        <w:t>围绕财务管理制度、财务岗位设置、资金使用规范进行绩效分析。</w:t>
      </w:r>
    </w:p>
    <w:p w14:paraId="305B04DC">
      <w:pPr>
        <w:adjustRightInd w:val="0"/>
        <w:snapToGrid w:val="0"/>
        <w:spacing w:line="578" w:lineRule="exact"/>
        <w:ind w:firstLine="640" w:firstLineChars="200"/>
        <w:jc w:val="left"/>
        <w:rPr>
          <w:rFonts w:ascii="楷体_GB2312" w:hAnsi="楷体_GB2312" w:eastAsia="楷体_GB2312" w:cs="楷体_GB2312"/>
          <w:color w:val="000000"/>
          <w:kern w:val="0"/>
          <w:sz w:val="32"/>
          <w:szCs w:val="32"/>
          <w:shd w:val="clear" w:color="auto" w:fill="FFFFFF"/>
          <w:lang w:val="zh-CN"/>
        </w:rPr>
      </w:pPr>
      <w:r>
        <w:rPr>
          <w:rFonts w:ascii="楷体_GB2312" w:hAnsi="楷体_GB2312" w:eastAsia="楷体_GB2312" w:cs="楷体_GB2312"/>
          <w:color w:val="000000"/>
          <w:kern w:val="0"/>
          <w:sz w:val="32"/>
          <w:szCs w:val="32"/>
          <w:shd w:val="clear" w:color="auto" w:fill="FFFFFF"/>
        </w:rPr>
        <w:t>4.</w:t>
      </w:r>
      <w:r>
        <w:rPr>
          <w:rFonts w:hint="eastAsia" w:ascii="楷体_GB2312" w:hAnsi="楷体_GB2312" w:eastAsia="楷体_GB2312" w:cs="楷体_GB2312"/>
          <w:color w:val="000000"/>
          <w:kern w:val="0"/>
          <w:sz w:val="32"/>
          <w:szCs w:val="32"/>
          <w:shd w:val="clear" w:color="auto" w:fill="FFFFFF"/>
          <w:lang w:val="zh-CN"/>
        </w:rPr>
        <w:t>资产管理。</w:t>
      </w:r>
      <w:r>
        <w:rPr>
          <w:rFonts w:hint="eastAsia" w:eastAsia="仿宋_GB2312"/>
          <w:sz w:val="32"/>
          <w:szCs w:val="32"/>
          <w:lang w:val="zh-CN"/>
        </w:rPr>
        <w:t>围绕人均资产变化率、资产利用率、资产盘活率进行绩效分析。</w:t>
      </w:r>
    </w:p>
    <w:p w14:paraId="72A4598C">
      <w:pPr>
        <w:adjustRightInd w:val="0"/>
        <w:snapToGrid w:val="0"/>
        <w:spacing w:line="578" w:lineRule="exact"/>
        <w:ind w:firstLine="640" w:firstLineChars="200"/>
        <w:jc w:val="left"/>
        <w:rPr>
          <w:rFonts w:ascii="楷体_GB2312" w:hAnsi="楷体_GB2312" w:eastAsia="楷体_GB2312" w:cs="楷体_GB2312"/>
          <w:color w:val="000000"/>
          <w:kern w:val="0"/>
          <w:sz w:val="32"/>
          <w:szCs w:val="32"/>
          <w:shd w:val="clear" w:color="auto" w:fill="FFFFFF"/>
          <w:lang w:val="zh-CN"/>
        </w:rPr>
      </w:pPr>
      <w:r>
        <w:rPr>
          <w:rFonts w:ascii="楷体_GB2312" w:hAnsi="楷体_GB2312" w:eastAsia="楷体_GB2312" w:cs="楷体_GB2312"/>
          <w:color w:val="000000"/>
          <w:kern w:val="0"/>
          <w:sz w:val="32"/>
          <w:szCs w:val="32"/>
          <w:shd w:val="clear" w:color="auto" w:fill="FFFFFF"/>
        </w:rPr>
        <w:t>5.</w:t>
      </w:r>
      <w:r>
        <w:rPr>
          <w:rFonts w:hint="eastAsia" w:ascii="楷体_GB2312" w:hAnsi="楷体_GB2312" w:eastAsia="楷体_GB2312" w:cs="楷体_GB2312"/>
          <w:color w:val="000000"/>
          <w:kern w:val="0"/>
          <w:sz w:val="32"/>
          <w:szCs w:val="32"/>
          <w:shd w:val="clear" w:color="auto" w:fill="FFFFFF"/>
          <w:lang w:val="zh-CN"/>
        </w:rPr>
        <w:t>采购管理。</w:t>
      </w:r>
      <w:r>
        <w:rPr>
          <w:rFonts w:hint="eastAsia" w:eastAsia="仿宋_GB2312"/>
          <w:sz w:val="32"/>
          <w:szCs w:val="32"/>
          <w:lang w:val="zh-CN"/>
        </w:rPr>
        <w:t>围绕支持中小企业发展、采购执行率进行绩效分析。</w:t>
      </w:r>
    </w:p>
    <w:p w14:paraId="6D31A69E">
      <w:pPr>
        <w:adjustRightInd w:val="0"/>
        <w:snapToGrid w:val="0"/>
        <w:spacing w:line="578" w:lineRule="exact"/>
        <w:ind w:firstLine="643" w:firstLineChars="200"/>
        <w:contextualSpacing/>
        <w:jc w:val="left"/>
        <w:rPr>
          <w:rFonts w:eastAsia="仿宋_GB2312" w:cs="仿宋_GB2312"/>
          <w:sz w:val="32"/>
          <w:szCs w:val="32"/>
        </w:rPr>
      </w:pPr>
      <w:r>
        <w:rPr>
          <w:rFonts w:hint="eastAsia" w:eastAsia="楷体_GB2312"/>
          <w:b/>
          <w:bCs/>
          <w:color w:val="000000"/>
          <w:kern w:val="0"/>
          <w:sz w:val="32"/>
          <w:szCs w:val="32"/>
          <w:shd w:val="clear" w:color="auto" w:fill="FFFFFF"/>
          <w:lang w:val="zh-CN"/>
        </w:rPr>
        <w:t>（二）部门预算项目绩效分析。</w:t>
      </w:r>
      <w:r>
        <w:rPr>
          <w:rFonts w:hint="eastAsia" w:eastAsia="仿宋_GB2312" w:cs="仿宋_GB2312"/>
          <w:sz w:val="32"/>
          <w:szCs w:val="32"/>
          <w:lang w:val="zh-CN"/>
        </w:rPr>
        <w:t>填报以下数据，并根据部门预算绩效评价指标体系“项目绩效”涉及二、三级指标进行逐项绩效分析并评分，依次包括项目</w:t>
      </w:r>
      <w:r>
        <w:rPr>
          <w:rFonts w:hint="eastAsia" w:eastAsia="仿宋_GB2312" w:cs="仿宋_GB2312"/>
          <w:sz w:val="32"/>
          <w:szCs w:val="32"/>
        </w:rPr>
        <w:t>决策、项目执行、目标实现等情况。</w:t>
      </w:r>
    </w:p>
    <w:p w14:paraId="6ACB8A93">
      <w:pPr>
        <w:adjustRightInd w:val="0"/>
        <w:snapToGrid w:val="0"/>
        <w:spacing w:line="578" w:lineRule="exact"/>
        <w:ind w:firstLine="640" w:firstLineChars="200"/>
        <w:contextualSpacing/>
        <w:rPr>
          <w:rFonts w:eastAsia="仿宋_GB2312" w:cs="仿宋_GB2312"/>
          <w:sz w:val="32"/>
          <w:szCs w:val="32"/>
          <w:lang w:val="zh-CN"/>
        </w:rPr>
      </w:pPr>
      <w:r>
        <w:rPr>
          <w:rFonts w:hint="eastAsia" w:eastAsia="仿宋_GB2312" w:cs="仿宋_GB2312"/>
          <w:sz w:val="32"/>
          <w:szCs w:val="32"/>
        </w:rPr>
        <w:t>常年项目绩效分析。</w:t>
      </w:r>
      <w:r>
        <w:rPr>
          <w:rFonts w:hint="eastAsia" w:eastAsia="仿宋_GB2312" w:cs="仿宋_GB2312"/>
          <w:sz w:val="32"/>
          <w:szCs w:val="32"/>
          <w:lang w:val="zh-CN"/>
        </w:rPr>
        <w:t>该类项目总数</w:t>
      </w:r>
      <w:r>
        <w:rPr>
          <w:rFonts w:hint="eastAsia" w:eastAsia="仿宋_GB2312" w:cs="仿宋_GB2312"/>
          <w:sz w:val="32"/>
          <w:szCs w:val="32"/>
        </w:rPr>
        <w:t>3</w:t>
      </w:r>
      <w:r>
        <w:rPr>
          <w:rFonts w:hint="eastAsia" w:eastAsia="仿宋_GB2312" w:cs="仿宋_GB2312"/>
          <w:sz w:val="32"/>
          <w:szCs w:val="32"/>
          <w:lang w:val="zh-CN"/>
        </w:rPr>
        <w:t>个，涉及预算总金额</w:t>
      </w:r>
      <w:r>
        <w:rPr>
          <w:rFonts w:hint="eastAsia" w:eastAsia="仿宋_GB2312" w:cs="仿宋_GB2312"/>
          <w:sz w:val="32"/>
          <w:szCs w:val="32"/>
        </w:rPr>
        <w:t>43.16</w:t>
      </w:r>
      <w:r>
        <w:rPr>
          <w:rFonts w:hint="eastAsia" w:eastAsia="仿宋_GB2312" w:cs="仿宋_GB2312"/>
          <w:sz w:val="32"/>
          <w:szCs w:val="32"/>
          <w:lang w:val="zh-CN"/>
        </w:rPr>
        <w:t>万元，</w:t>
      </w:r>
      <w:r>
        <w:rPr>
          <w:rFonts w:eastAsia="仿宋_GB2312" w:cs="仿宋_GB2312"/>
          <w:sz w:val="32"/>
          <w:szCs w:val="32"/>
          <w:lang w:val="zh-CN"/>
        </w:rPr>
        <w:t>1—1</w:t>
      </w:r>
      <w:r>
        <w:rPr>
          <w:rFonts w:eastAsia="仿宋_GB2312" w:cs="仿宋_GB2312"/>
          <w:sz w:val="32"/>
          <w:szCs w:val="32"/>
        </w:rPr>
        <w:t>2</w:t>
      </w:r>
      <w:r>
        <w:rPr>
          <w:rFonts w:hint="eastAsia" w:eastAsia="仿宋_GB2312" w:cs="仿宋_GB2312"/>
          <w:sz w:val="32"/>
          <w:szCs w:val="32"/>
          <w:lang w:val="zh-CN"/>
        </w:rPr>
        <w:t>月预算执行总体进度为</w:t>
      </w:r>
      <w:r>
        <w:rPr>
          <w:rFonts w:hint="eastAsia" w:eastAsia="仿宋_GB2312" w:cs="仿宋_GB2312"/>
          <w:sz w:val="32"/>
          <w:szCs w:val="32"/>
        </w:rPr>
        <w:t>100</w:t>
      </w:r>
      <w:r>
        <w:rPr>
          <w:rFonts w:eastAsia="仿宋_GB2312" w:cs="仿宋_GB2312"/>
          <w:sz w:val="32"/>
          <w:szCs w:val="32"/>
          <w:lang w:val="zh-CN"/>
        </w:rPr>
        <w:t>%</w:t>
      </w:r>
      <w:r>
        <w:rPr>
          <w:rFonts w:hint="eastAsia" w:eastAsia="仿宋_GB2312" w:cs="仿宋_GB2312"/>
          <w:sz w:val="32"/>
          <w:szCs w:val="32"/>
          <w:lang w:val="zh-CN"/>
        </w:rPr>
        <w:t>，其中：预算结余率大于</w:t>
      </w:r>
      <w:r>
        <w:rPr>
          <w:rFonts w:eastAsia="仿宋_GB2312" w:cs="仿宋_GB2312"/>
          <w:sz w:val="32"/>
          <w:szCs w:val="32"/>
        </w:rPr>
        <w:t>10%</w:t>
      </w:r>
      <w:r>
        <w:rPr>
          <w:rFonts w:hint="eastAsia" w:eastAsia="仿宋_GB2312" w:cs="仿宋_GB2312"/>
          <w:sz w:val="32"/>
          <w:szCs w:val="32"/>
          <w:lang w:val="zh-CN"/>
        </w:rPr>
        <w:t>的项目共计</w:t>
      </w:r>
      <w:r>
        <w:rPr>
          <w:rFonts w:hint="eastAsia" w:eastAsia="仿宋_GB2312" w:cs="仿宋_GB2312"/>
          <w:sz w:val="32"/>
          <w:szCs w:val="32"/>
        </w:rPr>
        <w:t>0</w:t>
      </w:r>
      <w:r>
        <w:rPr>
          <w:rFonts w:hint="eastAsia" w:eastAsia="仿宋_GB2312" w:cs="仿宋_GB2312"/>
          <w:sz w:val="32"/>
          <w:szCs w:val="32"/>
          <w:lang w:val="zh-CN"/>
        </w:rPr>
        <w:t>个。</w:t>
      </w:r>
    </w:p>
    <w:p w14:paraId="0C2FEC8E">
      <w:pPr>
        <w:adjustRightInd w:val="0"/>
        <w:snapToGrid w:val="0"/>
        <w:spacing w:line="578" w:lineRule="exact"/>
        <w:ind w:firstLine="640" w:firstLineChars="200"/>
        <w:contextualSpacing/>
        <w:rPr>
          <w:rFonts w:eastAsia="仿宋_GB2312" w:cs="仿宋_GB2312"/>
          <w:sz w:val="32"/>
          <w:szCs w:val="32"/>
          <w:lang w:val="zh-CN"/>
        </w:rPr>
      </w:pPr>
      <w:r>
        <w:rPr>
          <w:rFonts w:eastAsia="仿宋_GB2312" w:cs="仿宋_GB2312"/>
          <w:sz w:val="32"/>
          <w:szCs w:val="32"/>
        </w:rPr>
        <w:t>1.</w:t>
      </w:r>
      <w:r>
        <w:rPr>
          <w:rFonts w:hint="eastAsia" w:eastAsia="仿宋_GB2312" w:cs="仿宋_GB2312"/>
          <w:sz w:val="32"/>
          <w:szCs w:val="32"/>
          <w:lang w:val="zh-CN"/>
        </w:rPr>
        <w:t>项目决策。围绕决策程序、目标设置、项目入库进行绩效分析。</w:t>
      </w:r>
    </w:p>
    <w:p w14:paraId="393F6F45">
      <w:pPr>
        <w:adjustRightInd w:val="0"/>
        <w:snapToGrid w:val="0"/>
        <w:spacing w:line="578" w:lineRule="exact"/>
        <w:ind w:firstLine="640" w:firstLineChars="200"/>
        <w:contextualSpacing/>
        <w:rPr>
          <w:rFonts w:eastAsia="仿宋_GB2312" w:cs="仿宋_GB2312"/>
          <w:sz w:val="32"/>
          <w:szCs w:val="32"/>
          <w:lang w:val="zh-CN"/>
        </w:rPr>
      </w:pPr>
      <w:r>
        <w:rPr>
          <w:rFonts w:eastAsia="仿宋_GB2312" w:cs="仿宋_GB2312"/>
          <w:sz w:val="32"/>
          <w:szCs w:val="32"/>
        </w:rPr>
        <w:t>2.</w:t>
      </w:r>
      <w:r>
        <w:rPr>
          <w:rFonts w:hint="eastAsia" w:eastAsia="仿宋_GB2312" w:cs="仿宋_GB2312"/>
          <w:sz w:val="32"/>
          <w:szCs w:val="32"/>
        </w:rPr>
        <w:t>项目执行</w:t>
      </w:r>
      <w:r>
        <w:rPr>
          <w:rFonts w:hint="eastAsia" w:eastAsia="仿宋_GB2312" w:cs="仿宋_GB2312"/>
          <w:sz w:val="32"/>
          <w:szCs w:val="32"/>
          <w:lang w:val="zh-CN"/>
        </w:rPr>
        <w:t>。围绕资金执行同向、项目调整、执行结果进行绩效分析。</w:t>
      </w:r>
    </w:p>
    <w:p w14:paraId="5E73C88D">
      <w:pPr>
        <w:adjustRightInd w:val="0"/>
        <w:snapToGrid w:val="0"/>
        <w:spacing w:line="578" w:lineRule="exact"/>
        <w:ind w:firstLine="640" w:firstLineChars="200"/>
        <w:contextualSpacing/>
        <w:rPr>
          <w:rFonts w:eastAsia="仿宋_GB2312" w:cs="仿宋_GB2312"/>
          <w:sz w:val="32"/>
          <w:szCs w:val="32"/>
          <w:lang w:val="zh-CN"/>
        </w:rPr>
      </w:pPr>
      <w:r>
        <w:rPr>
          <w:rFonts w:eastAsia="仿宋_GB2312" w:cs="仿宋_GB2312"/>
          <w:sz w:val="32"/>
          <w:szCs w:val="32"/>
        </w:rPr>
        <w:t>3.</w:t>
      </w:r>
      <w:r>
        <w:rPr>
          <w:rFonts w:hint="eastAsia" w:eastAsia="仿宋_GB2312" w:cs="仿宋_GB2312"/>
          <w:sz w:val="32"/>
          <w:szCs w:val="32"/>
          <w:lang w:val="zh-CN"/>
        </w:rPr>
        <w:t>目标实现。围绕目标完成、目标偏离、实现效果进行绩效分析。</w:t>
      </w:r>
    </w:p>
    <w:p w14:paraId="65CE2307">
      <w:pPr>
        <w:snapToGrid w:val="0"/>
        <w:spacing w:line="600" w:lineRule="exact"/>
        <w:ind w:firstLine="640" w:firstLineChars="200"/>
        <w:rPr>
          <w:rFonts w:eastAsia="仿宋_GB2312"/>
          <w:sz w:val="32"/>
          <w:szCs w:val="32"/>
        </w:rPr>
      </w:pPr>
      <w:r>
        <w:rPr>
          <w:rFonts w:hint="eastAsia" w:eastAsia="仿宋_GB2312"/>
          <w:sz w:val="32"/>
          <w:szCs w:val="32"/>
        </w:rPr>
        <w:t>省级部门对</w:t>
      </w:r>
      <w:r>
        <w:rPr>
          <w:rFonts w:eastAsia="仿宋_GB2312"/>
          <w:sz w:val="32"/>
          <w:szCs w:val="32"/>
        </w:rPr>
        <w:t>2024</w:t>
      </w:r>
      <w:r>
        <w:rPr>
          <w:rFonts w:hint="eastAsia" w:eastAsia="仿宋_GB2312"/>
          <w:sz w:val="32"/>
          <w:szCs w:val="32"/>
        </w:rPr>
        <w:t>年度一般公共预算、政府性基金预算、国有资本经营预算安排的常年项目、阶段项目绩效目标完成情况，以及债券资金、政府购买服务有关情况进行梳理阐述。</w:t>
      </w:r>
    </w:p>
    <w:p w14:paraId="1A8A2CE0">
      <w:pPr>
        <w:snapToGrid w:val="0"/>
        <w:spacing w:line="600" w:lineRule="exact"/>
        <w:ind w:firstLine="643" w:firstLineChars="200"/>
        <w:rPr>
          <w:rFonts w:eastAsia="仿宋_GB2312"/>
          <w:sz w:val="32"/>
          <w:szCs w:val="32"/>
        </w:rPr>
      </w:pPr>
      <w:r>
        <w:rPr>
          <w:rFonts w:hint="eastAsia"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rPr>
        <w:t>三</w:t>
      </w:r>
      <w:r>
        <w:rPr>
          <w:rFonts w:hint="eastAsia" w:eastAsia="楷体_GB2312"/>
          <w:b/>
          <w:bCs/>
          <w:color w:val="000000"/>
          <w:kern w:val="0"/>
          <w:sz w:val="32"/>
          <w:szCs w:val="32"/>
          <w:shd w:val="clear" w:color="auto" w:fill="FFFFFF"/>
          <w:lang w:val="zh-CN"/>
        </w:rPr>
        <w:t>）绩效结果应用情况。</w:t>
      </w:r>
      <w:r>
        <w:rPr>
          <w:rFonts w:hint="eastAsia" w:eastAsia="仿宋_GB2312"/>
          <w:sz w:val="32"/>
          <w:szCs w:val="32"/>
          <w:lang w:val="zh-CN"/>
        </w:rPr>
        <w:t>围绕内部应用情况、信息公开情况、整改反馈情况进行分析。</w:t>
      </w:r>
    </w:p>
    <w:p w14:paraId="3CBDC8E5">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r>
        <w:rPr>
          <w:rFonts w:hint="eastAsia" w:eastAsia="黑体"/>
          <w:color w:val="000000"/>
          <w:kern w:val="0"/>
          <w:sz w:val="32"/>
          <w:szCs w:val="32"/>
          <w:shd w:val="clear" w:color="auto" w:fill="FFFFFF"/>
          <w:lang w:val="zh-CN"/>
        </w:rPr>
        <w:t>四、评价结论及建议</w:t>
      </w:r>
    </w:p>
    <w:p w14:paraId="419CB5D7">
      <w:pPr>
        <w:widowControl/>
        <w:adjustRightInd w:val="0"/>
        <w:snapToGrid w:val="0"/>
        <w:spacing w:line="578" w:lineRule="exact"/>
        <w:ind w:firstLine="643" w:firstLineChars="200"/>
        <w:contextualSpacing/>
        <w:jc w:val="left"/>
        <w:rPr>
          <w:rFonts w:eastAsia="仿宋_GB2312" w:cs="仿宋_GB2312"/>
          <w:kern w:val="0"/>
          <w:sz w:val="32"/>
          <w:szCs w:val="32"/>
          <w:lang w:val="zh-CN"/>
        </w:rPr>
      </w:pPr>
      <w:r>
        <w:rPr>
          <w:rFonts w:hint="eastAsia" w:eastAsia="楷体_GB2312"/>
          <w:b/>
          <w:bCs/>
          <w:color w:val="000000"/>
          <w:kern w:val="0"/>
          <w:sz w:val="32"/>
          <w:szCs w:val="32"/>
          <w:shd w:val="clear" w:color="auto" w:fill="FFFFFF"/>
          <w:lang w:val="zh-CN"/>
        </w:rPr>
        <w:t>（一）评价结论。</w:t>
      </w:r>
      <w:r>
        <w:rPr>
          <w:rFonts w:eastAsia="仿宋_GB2312" w:cs="仿宋_GB2312"/>
          <w:kern w:val="0"/>
          <w:sz w:val="32"/>
          <w:szCs w:val="32"/>
          <w:lang w:val="zh-CN"/>
        </w:rPr>
        <w:t>2024</w:t>
      </w:r>
      <w:r>
        <w:rPr>
          <w:rFonts w:hint="eastAsia" w:eastAsia="仿宋_GB2312" w:cs="仿宋_GB2312"/>
          <w:kern w:val="0"/>
          <w:sz w:val="32"/>
          <w:szCs w:val="32"/>
          <w:lang w:val="zh-CN"/>
        </w:rPr>
        <w:t>年度我局部门整体支出绩效评价自评得分为</w:t>
      </w:r>
      <w:r>
        <w:rPr>
          <w:rFonts w:eastAsia="仿宋_GB2312" w:cs="仿宋_GB2312"/>
          <w:kern w:val="0"/>
          <w:sz w:val="32"/>
          <w:szCs w:val="32"/>
          <w:lang w:val="zh-CN"/>
        </w:rPr>
        <w:t>97</w:t>
      </w:r>
      <w:r>
        <w:rPr>
          <w:rFonts w:hint="eastAsia" w:eastAsia="仿宋_GB2312" w:cs="仿宋_GB2312"/>
          <w:kern w:val="0"/>
          <w:sz w:val="32"/>
          <w:szCs w:val="32"/>
          <w:lang w:val="zh-CN"/>
        </w:rPr>
        <w:t>分。从整体上看，我局资金维护决策正确，资金管理规范，政策决策有力，有效发挥了财政资金使用效率。在人员经费支出上，严格执行县委、县政府的各项制度。在项目经费的使用上，严格按照项目资金实施方案执行，三公经费的使用严格按照预算执行</w:t>
      </w:r>
      <w:r>
        <w:rPr>
          <w:rFonts w:hint="eastAsia" w:eastAsia="仿宋_GB2312"/>
          <w:sz w:val="32"/>
          <w:szCs w:val="32"/>
        </w:rPr>
        <w:t>。</w:t>
      </w:r>
    </w:p>
    <w:p w14:paraId="28000ADD">
      <w:pPr>
        <w:autoSpaceDE w:val="0"/>
        <w:snapToGrid w:val="0"/>
        <w:spacing w:line="520" w:lineRule="exact"/>
        <w:ind w:firstLine="643" w:firstLineChars="200"/>
        <w:rPr>
          <w:rFonts w:eastAsia="仿宋_GB2312" w:cs="仿宋_GB2312"/>
          <w:kern w:val="0"/>
          <w:sz w:val="32"/>
          <w:szCs w:val="32"/>
        </w:rPr>
      </w:pPr>
      <w:r>
        <w:rPr>
          <w:rFonts w:hint="eastAsia" w:eastAsia="楷体_GB2312"/>
          <w:b/>
          <w:bCs/>
          <w:color w:val="000000"/>
          <w:kern w:val="0"/>
          <w:sz w:val="32"/>
          <w:szCs w:val="32"/>
          <w:shd w:val="clear" w:color="auto" w:fill="FFFFFF"/>
          <w:lang w:val="zh-CN"/>
        </w:rPr>
        <w:t>（二）存在问题。</w:t>
      </w:r>
      <w:r>
        <w:rPr>
          <w:rFonts w:hint="eastAsia" w:eastAsia="仿宋_GB2312" w:cs="仿宋_GB2312"/>
          <w:kern w:val="0"/>
          <w:sz w:val="32"/>
          <w:szCs w:val="32"/>
        </w:rPr>
        <w:t>主要存在的问题是预算编制不够准确和细化，预算的调整数比较大。内控制度编制不够完善，没有完全做到用制度管人。</w:t>
      </w:r>
    </w:p>
    <w:p w14:paraId="4D98A76D">
      <w:pPr>
        <w:tabs>
          <w:tab w:val="left" w:pos="7080"/>
        </w:tabs>
        <w:ind w:firstLine="643" w:firstLineChars="200"/>
        <w:outlineLvl w:val="0"/>
        <w:rPr>
          <w:rFonts w:ascii="仿宋_GB2312" w:hAnsi="仿宋_GB2312" w:eastAsia="仿宋_GB2312" w:cs="仿宋_GB2312"/>
          <w:sz w:val="32"/>
          <w:szCs w:val="32"/>
        </w:rPr>
      </w:pPr>
      <w:r>
        <w:rPr>
          <w:rFonts w:hint="eastAsia" w:eastAsia="楷体_GB2312"/>
          <w:b/>
          <w:bCs/>
          <w:color w:val="000000"/>
          <w:kern w:val="0"/>
          <w:sz w:val="32"/>
          <w:szCs w:val="32"/>
          <w:shd w:val="clear" w:color="auto" w:fill="FFFFFF"/>
          <w:lang w:val="zh-CN"/>
        </w:rPr>
        <w:t>（三）改进建议。</w:t>
      </w:r>
      <w:r>
        <w:rPr>
          <w:rFonts w:hint="eastAsia" w:eastAsia="仿宋_GB2312" w:cs="仿宋_GB2312"/>
          <w:kern w:val="0"/>
          <w:sz w:val="32"/>
          <w:szCs w:val="32"/>
        </w:rPr>
        <w:t>加强年初预算的编制工作，提高预算编制的准确性和细化性。</w:t>
      </w:r>
      <w:r>
        <w:rPr>
          <w:rFonts w:hint="eastAsia" w:ascii="仿宋_GB2312" w:hAnsi="仿宋_GB2312" w:eastAsia="仿宋_GB2312" w:cs="仿宋_GB2312"/>
          <w:sz w:val="32"/>
          <w:szCs w:val="32"/>
        </w:rPr>
        <w:t>认真做好绩效自评，总结经验不足，加以改进，将继续拟应用于以后年度开展工作。适时公开透明接受广大人民群众、财政等主管部门的监督、检查，合理利用资金，使国家资金使用合理化、安全化、高效化。</w:t>
      </w:r>
    </w:p>
    <w:p w14:paraId="62B05C36">
      <w:pPr>
        <w:widowControl/>
        <w:adjustRightInd w:val="0"/>
        <w:snapToGrid w:val="0"/>
        <w:spacing w:line="578" w:lineRule="exact"/>
        <w:ind w:firstLine="640" w:firstLineChars="200"/>
        <w:contextualSpacing/>
        <w:jc w:val="left"/>
        <w:rPr>
          <w:rFonts w:eastAsia="仿宋_GB2312"/>
          <w:sz w:val="32"/>
          <w:lang w:val="zh-CN"/>
        </w:rPr>
      </w:pPr>
    </w:p>
    <w:p w14:paraId="6E0594D0">
      <w:pPr>
        <w:pStyle w:val="3"/>
        <w:spacing w:line="560" w:lineRule="exact"/>
        <w:ind w:left="0" w:leftChars="0" w:firstLine="640"/>
        <w:rPr>
          <w:rFonts w:ascii="Times New Roman" w:eastAsia="仿宋_GB2312"/>
          <w:sz w:val="32"/>
          <w:lang w:val="zh-CN"/>
        </w:rPr>
      </w:pPr>
      <w:r>
        <w:rPr>
          <w:rFonts w:hint="eastAsia" w:ascii="Times New Roman" w:eastAsia="仿宋_GB2312"/>
          <w:sz w:val="32"/>
          <w:lang w:val="zh-CN"/>
        </w:rPr>
        <w:t>附表：</w:t>
      </w:r>
      <w:r>
        <w:rPr>
          <w:rFonts w:hint="eastAsia" w:ascii="Times New Roman" w:eastAsia="仿宋_GB2312"/>
          <w:sz w:val="32"/>
        </w:rPr>
        <w:t>部门预算项目支出绩效自评表（</w:t>
      </w:r>
      <w:r>
        <w:rPr>
          <w:rFonts w:ascii="Times New Roman" w:eastAsia="仿宋_GB2312"/>
          <w:sz w:val="32"/>
        </w:rPr>
        <w:t>2024</w:t>
      </w:r>
      <w:r>
        <w:rPr>
          <w:rFonts w:hint="eastAsia" w:ascii="Times New Roman" w:eastAsia="仿宋_GB2312"/>
          <w:sz w:val="32"/>
        </w:rPr>
        <w:t>年度）</w:t>
      </w:r>
    </w:p>
    <w:p w14:paraId="0594E75F">
      <w:pPr>
        <w:pStyle w:val="8"/>
        <w:spacing w:before="93"/>
        <w:rPr>
          <w:rFonts w:ascii="Times New Roman" w:cs="宋体"/>
          <w:color w:val="FF0000"/>
          <w:sz w:val="32"/>
          <w:szCs w:val="32"/>
          <w:highlight w:val="yellow"/>
          <w:shd w:val="clear" w:color="auto" w:fill="FFFFFF"/>
          <w:lang w:val="zh-CN"/>
        </w:rPr>
      </w:pPr>
    </w:p>
    <w:p w14:paraId="01EA8C41">
      <w:pPr>
        <w:rPr>
          <w:rFonts w:eastAsia="黑体" w:cs="黑体"/>
          <w:kern w:val="0"/>
          <w:sz w:val="32"/>
          <w:szCs w:val="32"/>
          <w:shd w:val="clear" w:color="auto" w:fill="FFFFFF"/>
          <w:lang w:val="zh-CN"/>
        </w:rPr>
      </w:pPr>
      <w:r>
        <w:rPr>
          <w:rFonts w:eastAsia="黑体" w:cs="黑体"/>
          <w:kern w:val="0"/>
          <w:sz w:val="32"/>
          <w:szCs w:val="32"/>
          <w:shd w:val="clear" w:color="auto" w:fill="FFFFFF"/>
          <w:lang w:val="zh-CN"/>
        </w:rPr>
        <w:br w:type="page"/>
      </w:r>
    </w:p>
    <w:p w14:paraId="570A003E">
      <w:pPr>
        <w:pStyle w:val="8"/>
        <w:spacing w:before="93"/>
        <w:rPr>
          <w:rFonts w:ascii="Times New Roman" w:eastAsia="黑体" w:cs="黑体"/>
          <w:sz w:val="32"/>
          <w:szCs w:val="32"/>
        </w:rPr>
      </w:pPr>
      <w:r>
        <w:rPr>
          <w:rFonts w:hint="eastAsia" w:ascii="Times New Roman" w:eastAsia="黑体" w:cs="黑体"/>
          <w:sz w:val="32"/>
          <w:szCs w:val="32"/>
          <w:shd w:val="clear" w:color="auto" w:fill="FFFFFF"/>
          <w:lang w:val="zh-CN"/>
        </w:rPr>
        <w:t>附件</w:t>
      </w:r>
      <w:r>
        <w:rPr>
          <w:rFonts w:ascii="Times New Roman" w:eastAsia="黑体" w:cs="黑体"/>
          <w:sz w:val="32"/>
          <w:szCs w:val="32"/>
          <w:shd w:val="clear" w:color="auto" w:fill="FFFFFF"/>
        </w:rPr>
        <w:t>2</w:t>
      </w:r>
    </w:p>
    <w:p w14:paraId="561D90D6">
      <w:pPr>
        <w:pStyle w:val="37"/>
        <w:spacing w:line="578" w:lineRule="exact"/>
        <w:jc w:val="center"/>
        <w:rPr>
          <w:rFonts w:ascii="Times New Roman" w:hAnsi="Times New Roman" w:eastAsia="方正小标宋简体" w:cs="方正小标宋简体"/>
          <w:color w:val="auto"/>
          <w:kern w:val="2"/>
          <w:sz w:val="44"/>
          <w:szCs w:val="44"/>
          <w:lang w:val="en-US"/>
        </w:rPr>
      </w:pPr>
    </w:p>
    <w:p w14:paraId="25DB7D7E">
      <w:pPr>
        <w:pStyle w:val="37"/>
        <w:spacing w:line="578" w:lineRule="exact"/>
        <w:jc w:val="center"/>
        <w:rPr>
          <w:rFonts w:ascii="Times New Roman" w:hAnsi="Times New Roman" w:eastAsia="方正小标宋简体" w:cs="方正小标宋简体"/>
          <w:color w:val="auto"/>
          <w:kern w:val="2"/>
          <w:sz w:val="44"/>
          <w:szCs w:val="44"/>
          <w:lang w:val="en-US"/>
        </w:rPr>
      </w:pPr>
      <w:r>
        <w:rPr>
          <w:rFonts w:hint="eastAsia" w:ascii="Times New Roman" w:hAnsi="Times New Roman" w:eastAsia="方正小标宋简体" w:cs="方正小标宋简体"/>
          <w:color w:val="auto"/>
          <w:kern w:val="2"/>
          <w:sz w:val="44"/>
          <w:szCs w:val="44"/>
          <w:lang w:val="en-US"/>
        </w:rPr>
        <w:t>专项预算项目绩效评价报告</w:t>
      </w:r>
    </w:p>
    <w:p w14:paraId="7DA40C2C">
      <w:pPr>
        <w:pStyle w:val="37"/>
        <w:spacing w:line="578" w:lineRule="exact"/>
        <w:ind w:firstLine="640"/>
        <w:jc w:val="center"/>
        <w:rPr>
          <w:rFonts w:ascii="Times New Roman" w:hAnsi="Times New Roman"/>
          <w:color w:val="auto"/>
          <w:kern w:val="2"/>
          <w:sz w:val="32"/>
          <w:szCs w:val="32"/>
        </w:rPr>
      </w:pPr>
    </w:p>
    <w:p w14:paraId="6C742251">
      <w:pPr>
        <w:adjustRightInd w:val="0"/>
        <w:snapToGrid w:val="0"/>
        <w:spacing w:line="578" w:lineRule="exact"/>
        <w:ind w:firstLine="640" w:firstLineChars="200"/>
        <w:rPr>
          <w:rFonts w:eastAsia="黑体"/>
          <w:sz w:val="32"/>
          <w:szCs w:val="32"/>
          <w:lang w:val="zh-CN"/>
        </w:rPr>
      </w:pPr>
      <w:r>
        <w:rPr>
          <w:rFonts w:hint="eastAsia" w:eastAsia="黑体"/>
          <w:sz w:val="32"/>
          <w:szCs w:val="32"/>
        </w:rPr>
        <w:t>一、</w:t>
      </w:r>
      <w:r>
        <w:rPr>
          <w:rFonts w:hint="eastAsia" w:eastAsia="黑体"/>
          <w:sz w:val="32"/>
          <w:szCs w:val="32"/>
          <w:lang w:val="zh-CN"/>
        </w:rPr>
        <w:t>项目概况</w:t>
      </w:r>
    </w:p>
    <w:p w14:paraId="230F3D75">
      <w:pPr>
        <w:widowControl/>
        <w:adjustRightInd w:val="0"/>
        <w:snapToGrid w:val="0"/>
        <w:spacing w:line="578" w:lineRule="exact"/>
        <w:ind w:firstLine="643" w:firstLineChars="200"/>
        <w:contextualSpacing/>
        <w:jc w:val="left"/>
        <w:rPr>
          <w:rFonts w:eastAsia="仿宋_GB2312" w:cs="仿宋_GB2312"/>
          <w:kern w:val="0"/>
          <w:sz w:val="32"/>
          <w:szCs w:val="32"/>
          <w:lang w:val="zh-CN"/>
        </w:rPr>
      </w:pPr>
      <w:r>
        <w:rPr>
          <w:rFonts w:hint="eastAsia" w:eastAsia="楷体_GB2312"/>
          <w:b/>
          <w:sz w:val="32"/>
          <w:szCs w:val="32"/>
          <w:lang w:val="zh-CN"/>
        </w:rPr>
        <w:t>（一）设立背景及基本情况。</w:t>
      </w:r>
      <w:r>
        <w:rPr>
          <w:rFonts w:hint="eastAsia" w:eastAsia="仿宋_GB2312" w:cs="仿宋_GB2312"/>
          <w:kern w:val="0"/>
          <w:sz w:val="32"/>
          <w:szCs w:val="32"/>
          <w:lang w:val="zh-CN"/>
        </w:rPr>
        <w:t>正常开展九寨沟县信访局的各项日常工作，落实信访工作责任、畅通信访诉求表达渠道、健全信访工作机制，着力规范接待群众来信来访。始终坚持党对信访工作的绝对领导，以党的政治建设为统领，强化理论武装和党性教育，压紧压实党建、党风廉政、意识形态等工作责任制，推动全面从严治党向纵深发展。</w:t>
      </w:r>
    </w:p>
    <w:p w14:paraId="3D034636">
      <w:pPr>
        <w:widowControl/>
        <w:shd w:val="clear" w:color="auto" w:fill="FFFFFF"/>
        <w:spacing w:line="578" w:lineRule="exact"/>
        <w:ind w:firstLine="482" w:firstLineChars="150"/>
        <w:rPr>
          <w:rFonts w:eastAsia="仿宋_GB2312" w:cs="仿宋_GB2312"/>
          <w:kern w:val="0"/>
          <w:sz w:val="32"/>
          <w:szCs w:val="32"/>
          <w:lang w:val="zh-CN"/>
        </w:rPr>
      </w:pPr>
      <w:r>
        <w:rPr>
          <w:rFonts w:hint="eastAsia" w:eastAsia="楷体_GB2312"/>
          <w:b/>
          <w:sz w:val="32"/>
          <w:szCs w:val="32"/>
          <w:lang w:val="zh-CN"/>
        </w:rPr>
        <w:t>（二）</w:t>
      </w:r>
      <w:r>
        <w:rPr>
          <w:rFonts w:hint="eastAsia" w:eastAsia="楷体_GB2312"/>
          <w:b/>
          <w:sz w:val="32"/>
          <w:szCs w:val="32"/>
        </w:rPr>
        <w:t>实施目的及支持方向。</w:t>
      </w:r>
      <w:r>
        <w:rPr>
          <w:rFonts w:hint="eastAsia" w:eastAsia="仿宋_GB2312" w:cs="仿宋_GB2312"/>
          <w:kern w:val="0"/>
          <w:sz w:val="32"/>
          <w:szCs w:val="32"/>
          <w:lang w:val="zh-CN"/>
        </w:rPr>
        <w:t>切实做好厉行节约工作，全面落实各项管理制度要求，努力降低行政成本。严格公务接待费、差旅费、会议费和培训费审核审批程序，加强对公务用车的管理。做到一事一审批、一事一结账，会议费和培训费严格按制度规定的标准执行。各项费用严格履行财经</w:t>
      </w:r>
      <w:r>
        <w:rPr>
          <w:rFonts w:eastAsia="仿宋_GB2312" w:cs="仿宋_GB2312"/>
          <w:kern w:val="0"/>
          <w:sz w:val="32"/>
          <w:szCs w:val="32"/>
          <w:lang w:val="zh-CN"/>
        </w:rPr>
        <w:t>制度和</w:t>
      </w:r>
      <w:r>
        <w:rPr>
          <w:rFonts w:hint="eastAsia" w:eastAsia="仿宋_GB2312" w:cs="仿宋_GB2312"/>
          <w:kern w:val="0"/>
          <w:sz w:val="32"/>
          <w:szCs w:val="32"/>
          <w:lang w:val="zh-CN"/>
        </w:rPr>
        <w:t>程序，“三公”经费较好地控制在预算范围之内。</w:t>
      </w:r>
    </w:p>
    <w:p w14:paraId="192DAA47">
      <w:pPr>
        <w:widowControl/>
        <w:shd w:val="clear" w:color="auto" w:fill="FFFFFF"/>
        <w:spacing w:line="578" w:lineRule="exact"/>
        <w:ind w:firstLine="482" w:firstLineChars="150"/>
        <w:rPr>
          <w:rFonts w:eastAsia="仿宋_GB2312" w:cs="仿宋_GB2312"/>
          <w:kern w:val="0"/>
          <w:sz w:val="32"/>
          <w:szCs w:val="32"/>
          <w:lang w:val="zh-CN"/>
        </w:rPr>
      </w:pPr>
      <w:r>
        <w:rPr>
          <w:rFonts w:hint="eastAsia" w:eastAsia="楷体_GB2312"/>
          <w:b/>
          <w:sz w:val="32"/>
          <w:szCs w:val="32"/>
          <w:lang w:val="zh-CN"/>
        </w:rPr>
        <w:t>（三）</w:t>
      </w:r>
      <w:r>
        <w:rPr>
          <w:rFonts w:hint="eastAsia" w:eastAsia="楷体_GB2312"/>
          <w:b/>
          <w:sz w:val="32"/>
          <w:szCs w:val="32"/>
        </w:rPr>
        <w:t>预算安排及分配管理</w:t>
      </w:r>
      <w:r>
        <w:rPr>
          <w:rFonts w:hint="eastAsia" w:eastAsia="楷体_GB2312"/>
          <w:b/>
          <w:sz w:val="32"/>
          <w:szCs w:val="32"/>
          <w:lang w:val="zh-CN"/>
        </w:rPr>
        <w:t>。</w:t>
      </w:r>
      <w:r>
        <w:rPr>
          <w:rFonts w:hint="eastAsia" w:eastAsia="仿宋_GB2312" w:cs="仿宋_GB2312"/>
          <w:kern w:val="0"/>
          <w:sz w:val="32"/>
          <w:szCs w:val="32"/>
          <w:lang w:val="zh-CN"/>
        </w:rPr>
        <w:t>从整体情况来看，我局严格按照年初预算进行部门整体支出。在支出过程中，能严格遵守各项规章制度，“三公经费”从严管理，认真执行财</w:t>
      </w:r>
      <w:r>
        <w:rPr>
          <w:rFonts w:eastAsia="仿宋_GB2312" w:cs="仿宋_GB2312"/>
          <w:kern w:val="0"/>
          <w:sz w:val="32"/>
          <w:szCs w:val="32"/>
          <w:lang w:val="zh-CN"/>
        </w:rPr>
        <w:t>经</w:t>
      </w:r>
      <w:r>
        <w:rPr>
          <w:rFonts w:hint="eastAsia" w:eastAsia="仿宋_GB2312" w:cs="仿宋_GB2312"/>
          <w:kern w:val="0"/>
          <w:sz w:val="32"/>
          <w:szCs w:val="32"/>
          <w:lang w:val="zh-CN"/>
        </w:rPr>
        <w:t>制度。所有项目都详细制定了方案，严格按方案组织实施，并加强了监督。尤其是在专项经费支出上，按项目实施计划的进度情况进行资金拨付，无截留、无挪用等现象。我</w:t>
      </w:r>
      <w:r>
        <w:rPr>
          <w:rFonts w:eastAsia="仿宋_GB2312" w:cs="仿宋_GB2312"/>
          <w:kern w:val="0"/>
          <w:sz w:val="32"/>
          <w:szCs w:val="32"/>
          <w:lang w:val="zh-CN"/>
        </w:rPr>
        <w:t>局一直</w:t>
      </w:r>
      <w:r>
        <w:rPr>
          <w:rFonts w:hint="eastAsia" w:eastAsia="仿宋_GB2312" w:cs="仿宋_GB2312"/>
          <w:kern w:val="0"/>
          <w:sz w:val="32"/>
          <w:szCs w:val="32"/>
          <w:lang w:val="zh-CN"/>
        </w:rPr>
        <w:t>加强内部控制。重视单位内部管理制度建设及监督，加强财务管理，强化财务监督，增强法纪观念，遵守规章制度。为保证财务管理工作规范有序进行。对各项资金的管理、经费收支审批等均作了明确规定，正确组织资金的筹集、调度和使用，债权债务及时结算、结清。各项经费支出实行严格审批把关。严格执行上级关于“一把手不直接分管财务”的规定。</w:t>
      </w:r>
    </w:p>
    <w:p w14:paraId="67C1A6FE">
      <w:pPr>
        <w:widowControl/>
        <w:adjustRightInd w:val="0"/>
        <w:snapToGrid w:val="0"/>
        <w:spacing w:line="578" w:lineRule="exact"/>
        <w:ind w:firstLine="643" w:firstLineChars="200"/>
        <w:contextualSpacing/>
        <w:jc w:val="left"/>
        <w:rPr>
          <w:rFonts w:eastAsia="仿宋_GB2312" w:cs="仿宋_GB2312"/>
          <w:kern w:val="0"/>
          <w:sz w:val="32"/>
          <w:szCs w:val="32"/>
          <w:lang w:val="zh-CN"/>
        </w:rPr>
      </w:pPr>
      <w:r>
        <w:rPr>
          <w:rFonts w:hint="eastAsia" w:eastAsia="楷体_GB2312"/>
          <w:b/>
          <w:sz w:val="32"/>
          <w:szCs w:val="32"/>
          <w:lang w:val="zh-CN"/>
        </w:rPr>
        <w:t>（四）项目绩效目标设置。</w:t>
      </w:r>
      <w:r>
        <w:rPr>
          <w:rFonts w:hint="eastAsia" w:eastAsia="仿宋_GB2312" w:cs="仿宋_GB2312"/>
          <w:kern w:val="0"/>
          <w:sz w:val="32"/>
          <w:szCs w:val="32"/>
          <w:lang w:val="zh-CN"/>
        </w:rPr>
        <w:t>专项管理按照相关责任制度落实</w:t>
      </w:r>
      <w:r>
        <w:rPr>
          <w:rFonts w:eastAsia="仿宋_GB2312" w:cs="仿宋_GB2312"/>
          <w:kern w:val="0"/>
          <w:sz w:val="32"/>
          <w:szCs w:val="32"/>
          <w:lang w:val="zh-CN"/>
        </w:rPr>
        <w:t>到人</w:t>
      </w:r>
      <w:r>
        <w:rPr>
          <w:rFonts w:hint="eastAsia" w:eastAsia="仿宋_GB2312" w:cs="仿宋_GB2312"/>
          <w:kern w:val="0"/>
          <w:sz w:val="32"/>
          <w:szCs w:val="32"/>
          <w:lang w:val="zh-CN"/>
        </w:rPr>
        <w:t>，资金方面严格按照财经</w:t>
      </w:r>
      <w:r>
        <w:rPr>
          <w:rFonts w:eastAsia="仿宋_GB2312" w:cs="仿宋_GB2312"/>
          <w:kern w:val="0"/>
          <w:sz w:val="32"/>
          <w:szCs w:val="32"/>
          <w:lang w:val="zh-CN"/>
        </w:rPr>
        <w:t>制度和</w:t>
      </w:r>
      <w:r>
        <w:rPr>
          <w:rFonts w:hint="eastAsia" w:eastAsia="仿宋_GB2312" w:cs="仿宋_GB2312"/>
          <w:kern w:val="0"/>
          <w:sz w:val="32"/>
          <w:szCs w:val="32"/>
          <w:lang w:val="zh-CN"/>
        </w:rPr>
        <w:t>程序办理。保证了财务</w:t>
      </w:r>
      <w:r>
        <w:rPr>
          <w:rFonts w:eastAsia="仿宋_GB2312" w:cs="仿宋_GB2312"/>
          <w:kern w:val="0"/>
          <w:sz w:val="32"/>
          <w:szCs w:val="32"/>
          <w:lang w:val="zh-CN"/>
        </w:rPr>
        <w:t>工作</w:t>
      </w:r>
      <w:r>
        <w:rPr>
          <w:rFonts w:hint="eastAsia" w:eastAsia="仿宋_GB2312" w:cs="仿宋_GB2312"/>
          <w:kern w:val="0"/>
          <w:sz w:val="32"/>
          <w:szCs w:val="32"/>
          <w:lang w:val="zh-CN"/>
        </w:rPr>
        <w:t>顺利</w:t>
      </w:r>
      <w:r>
        <w:rPr>
          <w:rFonts w:eastAsia="仿宋_GB2312" w:cs="仿宋_GB2312"/>
          <w:kern w:val="0"/>
          <w:sz w:val="32"/>
          <w:szCs w:val="32"/>
          <w:lang w:val="zh-CN"/>
        </w:rPr>
        <w:t>实施和完成</w:t>
      </w:r>
      <w:r>
        <w:rPr>
          <w:rFonts w:hint="eastAsia" w:eastAsia="仿宋_GB2312" w:cs="仿宋_GB2312"/>
          <w:kern w:val="0"/>
          <w:sz w:val="32"/>
          <w:szCs w:val="32"/>
          <w:lang w:val="zh-CN"/>
        </w:rPr>
        <w:t>。</w:t>
      </w:r>
    </w:p>
    <w:p w14:paraId="0CE00873">
      <w:pPr>
        <w:adjustRightInd w:val="0"/>
        <w:snapToGrid w:val="0"/>
        <w:spacing w:line="578" w:lineRule="exact"/>
        <w:ind w:firstLine="640" w:firstLineChars="200"/>
        <w:rPr>
          <w:rFonts w:eastAsia="黑体"/>
          <w:sz w:val="32"/>
          <w:szCs w:val="32"/>
        </w:rPr>
      </w:pPr>
      <w:r>
        <w:rPr>
          <w:rFonts w:hint="eastAsia" w:eastAsia="黑体"/>
          <w:sz w:val="32"/>
          <w:szCs w:val="32"/>
        </w:rPr>
        <w:t>二、评价实施</w:t>
      </w:r>
    </w:p>
    <w:p w14:paraId="274333BC">
      <w:pPr>
        <w:autoSpaceDE w:val="0"/>
        <w:snapToGrid w:val="0"/>
        <w:spacing w:line="520" w:lineRule="exact"/>
        <w:ind w:firstLine="643" w:firstLineChars="200"/>
        <w:rPr>
          <w:rFonts w:eastAsia="仿宋_GB2312" w:cs="仿宋_GB2312"/>
          <w:kern w:val="0"/>
          <w:sz w:val="32"/>
          <w:szCs w:val="32"/>
          <w:lang w:val="zh-CN"/>
        </w:rPr>
      </w:pPr>
      <w:r>
        <w:rPr>
          <w:rFonts w:hint="eastAsia" w:eastAsia="楷体_GB2312"/>
          <w:b/>
          <w:sz w:val="32"/>
          <w:szCs w:val="32"/>
          <w:lang w:val="zh-CN"/>
        </w:rPr>
        <w:t>（一）评价目的。</w:t>
      </w:r>
      <w:r>
        <w:rPr>
          <w:rFonts w:hint="eastAsia" w:eastAsia="仿宋_GB2312" w:cs="仿宋_GB2312"/>
          <w:kern w:val="0"/>
          <w:sz w:val="32"/>
          <w:szCs w:val="32"/>
          <w:lang w:val="zh-CN"/>
        </w:rPr>
        <w:t>通过项目绩效自评有利于打破行政管理的封闭性，打造透明预算，从而使各利益相关方了解预算资金使用的安全性、效益性，并发挥其监督作用。</w:t>
      </w:r>
    </w:p>
    <w:p w14:paraId="0C7F29A3">
      <w:pPr>
        <w:adjustRightInd w:val="0"/>
        <w:snapToGrid w:val="0"/>
        <w:spacing w:line="578" w:lineRule="exact"/>
        <w:ind w:firstLine="643" w:firstLineChars="200"/>
        <w:rPr>
          <w:rFonts w:eastAsia="仿宋_GB2312" w:cs="仿宋_GB2312"/>
          <w:kern w:val="0"/>
          <w:sz w:val="32"/>
          <w:szCs w:val="32"/>
          <w:lang w:val="zh-CN"/>
        </w:rPr>
      </w:pPr>
      <w:r>
        <w:rPr>
          <w:rFonts w:hint="eastAsia" w:eastAsia="楷体_GB2312"/>
          <w:b/>
          <w:sz w:val="32"/>
          <w:szCs w:val="32"/>
          <w:lang w:val="zh-CN"/>
        </w:rPr>
        <w:t>（二）预设问题及评价重点。</w:t>
      </w:r>
      <w:r>
        <w:rPr>
          <w:rFonts w:hint="eastAsia" w:eastAsia="仿宋_GB2312" w:cs="仿宋_GB2312"/>
          <w:kern w:val="0"/>
          <w:sz w:val="32"/>
          <w:szCs w:val="32"/>
          <w:lang w:val="zh-CN"/>
        </w:rPr>
        <w:t>按照绩效评价指标体系，对资金支出使用全过程及其实施效果进行综合评价和判断。</w:t>
      </w:r>
    </w:p>
    <w:p w14:paraId="5CAA94D3">
      <w:pPr>
        <w:tabs>
          <w:tab w:val="left" w:pos="7080"/>
        </w:tabs>
        <w:ind w:firstLine="643" w:firstLineChars="200"/>
        <w:outlineLvl w:val="0"/>
        <w:rPr>
          <w:rFonts w:ascii="楷体_GB2312" w:hAnsi="楷体_GB2312" w:eastAsia="楷体_GB2312" w:cs="楷体_GB2312"/>
          <w:b/>
          <w:bCs/>
          <w:szCs w:val="32"/>
        </w:rPr>
      </w:pPr>
      <w:r>
        <w:rPr>
          <w:rFonts w:hint="eastAsia" w:eastAsia="楷体_GB2312"/>
          <w:b/>
          <w:sz w:val="32"/>
          <w:szCs w:val="32"/>
          <w:lang w:val="zh-CN"/>
        </w:rPr>
        <w:t>（三）评价选点。</w:t>
      </w:r>
      <w:r>
        <w:rPr>
          <w:rFonts w:hint="eastAsia" w:ascii="仿宋_GB2312" w:hAnsi="仿宋_GB2312" w:eastAsia="仿宋_GB2312" w:cs="仿宋_GB2312"/>
          <w:sz w:val="32"/>
          <w:szCs w:val="32"/>
        </w:rPr>
        <w:t>对资金的监管，严格资金的使用方向，严把拨付审核关，严明资金拨付时效，做到了专款专用，专人管理。</w:t>
      </w:r>
    </w:p>
    <w:p w14:paraId="0BED6E24">
      <w:pPr>
        <w:spacing w:line="578" w:lineRule="exact"/>
        <w:ind w:firstLine="640"/>
        <w:rPr>
          <w:rFonts w:eastAsia="仿宋_GB2312" w:cs="仿宋_GB2312"/>
          <w:kern w:val="0"/>
          <w:sz w:val="32"/>
          <w:szCs w:val="32"/>
          <w:lang w:val="zh-CN"/>
        </w:rPr>
      </w:pPr>
      <w:r>
        <w:rPr>
          <w:rFonts w:hint="eastAsia" w:eastAsia="楷体_GB2312"/>
          <w:b/>
          <w:sz w:val="32"/>
          <w:szCs w:val="32"/>
          <w:lang w:val="zh-CN"/>
        </w:rPr>
        <w:t>（四）评价方法。</w:t>
      </w:r>
      <w:r>
        <w:rPr>
          <w:rFonts w:hint="eastAsia" w:eastAsia="仿宋_GB2312" w:cs="仿宋_GB2312"/>
          <w:kern w:val="0"/>
          <w:sz w:val="32"/>
          <w:szCs w:val="32"/>
          <w:lang w:val="zh-CN"/>
        </w:rPr>
        <w:t>采用成本效益分析法、标杆管理法、案卷研究法、单位自评法、实地勘察法、问卷调查法、座谈调研法等多种方法。</w:t>
      </w:r>
    </w:p>
    <w:p w14:paraId="1F3272BC">
      <w:pPr>
        <w:spacing w:line="578" w:lineRule="exact"/>
        <w:ind w:firstLine="640"/>
        <w:rPr>
          <w:rFonts w:eastAsia="仿宋_GB2312"/>
          <w:bCs/>
        </w:rPr>
      </w:pPr>
      <w:r>
        <w:rPr>
          <w:rFonts w:hint="eastAsia" w:eastAsia="楷体_GB2312"/>
          <w:b/>
          <w:sz w:val="32"/>
          <w:szCs w:val="32"/>
          <w:lang w:val="zh-CN"/>
        </w:rPr>
        <w:t>（五）评价组织。</w:t>
      </w:r>
      <w:r>
        <w:rPr>
          <w:rFonts w:hint="eastAsia" w:eastAsia="仿宋_GB2312" w:cs="仿宋_GB2312"/>
          <w:kern w:val="0"/>
          <w:sz w:val="32"/>
          <w:szCs w:val="32"/>
          <w:lang w:val="zh-CN"/>
        </w:rPr>
        <w:t>评价组人员构成和职责分工。</w:t>
      </w:r>
    </w:p>
    <w:p w14:paraId="48A29616">
      <w:pPr>
        <w:adjustRightInd w:val="0"/>
        <w:snapToGrid w:val="0"/>
        <w:spacing w:line="578" w:lineRule="exact"/>
        <w:ind w:firstLine="640" w:firstLineChars="200"/>
        <w:rPr>
          <w:sz w:val="32"/>
          <w:szCs w:val="32"/>
          <w:lang w:val="zh-CN"/>
        </w:rPr>
      </w:pPr>
      <w:r>
        <w:rPr>
          <w:rFonts w:hint="eastAsia" w:eastAsia="黑体"/>
          <w:sz w:val="32"/>
          <w:szCs w:val="32"/>
        </w:rPr>
        <w:t>三、绩效分析</w:t>
      </w:r>
      <w:r>
        <w:rPr>
          <w:sz w:val="32"/>
          <w:szCs w:val="32"/>
          <w:lang w:val="zh-CN"/>
        </w:rPr>
        <w:tab/>
      </w:r>
    </w:p>
    <w:p w14:paraId="21BFBF9C">
      <w:pPr>
        <w:spacing w:line="578" w:lineRule="exact"/>
        <w:ind w:firstLine="640"/>
        <w:rPr>
          <w:rFonts w:eastAsia="仿宋_GB2312" w:cs="仿宋_GB2312"/>
          <w:kern w:val="0"/>
          <w:sz w:val="32"/>
          <w:szCs w:val="32"/>
        </w:rPr>
      </w:pPr>
      <w:r>
        <w:rPr>
          <w:rFonts w:hint="eastAsia" w:eastAsia="仿宋_GB2312" w:cs="仿宋_GB2312"/>
          <w:kern w:val="0"/>
          <w:sz w:val="32"/>
          <w:szCs w:val="32"/>
          <w:lang w:val="zh-CN"/>
        </w:rPr>
        <w:t>根据项目预算绩效评价指标体系通用指标、专用指标、个性指标涉及二、三级指标进行逐项绩效分析并评分</w:t>
      </w:r>
      <w:r>
        <w:rPr>
          <w:rFonts w:hint="eastAsia" w:eastAsia="仿宋_GB2312" w:cs="仿宋_GB2312"/>
          <w:kern w:val="0"/>
          <w:sz w:val="32"/>
          <w:szCs w:val="32"/>
        </w:rPr>
        <w:t>。</w:t>
      </w:r>
    </w:p>
    <w:p w14:paraId="6FD8373F">
      <w:pPr>
        <w:spacing w:line="578" w:lineRule="exact"/>
        <w:ind w:firstLine="640"/>
        <w:rPr>
          <w:rFonts w:eastAsia="楷体_GB2312"/>
          <w:b/>
          <w:sz w:val="32"/>
          <w:szCs w:val="32"/>
        </w:rPr>
      </w:pPr>
      <w:r>
        <w:rPr>
          <w:rFonts w:hint="eastAsia" w:eastAsia="楷体_GB2312"/>
          <w:b/>
          <w:sz w:val="32"/>
          <w:szCs w:val="32"/>
          <w:lang w:val="zh-CN"/>
        </w:rPr>
        <w:t>（一）</w:t>
      </w:r>
      <w:r>
        <w:rPr>
          <w:rFonts w:hint="eastAsia" w:eastAsia="楷体_GB2312"/>
          <w:b/>
          <w:sz w:val="32"/>
          <w:szCs w:val="32"/>
        </w:rPr>
        <w:t>通用指标</w:t>
      </w:r>
      <w:r>
        <w:rPr>
          <w:rFonts w:hint="eastAsia" w:eastAsia="楷体_GB2312"/>
          <w:b/>
          <w:bCs/>
          <w:color w:val="000000"/>
          <w:kern w:val="0"/>
          <w:sz w:val="32"/>
          <w:szCs w:val="32"/>
          <w:shd w:val="clear" w:color="auto" w:fill="FFFFFF"/>
          <w:lang w:val="zh-CN"/>
        </w:rPr>
        <w:t>绩效分析。</w:t>
      </w:r>
    </w:p>
    <w:p w14:paraId="3C73BC34">
      <w:pPr>
        <w:spacing w:line="578" w:lineRule="exact"/>
        <w:ind w:firstLine="640"/>
        <w:rPr>
          <w:rFonts w:eastAsia="仿宋_GB2312" w:cs="仿宋_GB2312"/>
          <w:kern w:val="0"/>
          <w:sz w:val="32"/>
          <w:szCs w:val="32"/>
          <w:lang w:val="zh-CN"/>
        </w:rPr>
      </w:pPr>
      <w:r>
        <w:rPr>
          <w:rFonts w:eastAsia="仿宋_GB2312" w:cs="仿宋_GB2312"/>
          <w:kern w:val="0"/>
          <w:sz w:val="32"/>
          <w:szCs w:val="32"/>
        </w:rPr>
        <w:t>1.</w:t>
      </w:r>
      <w:r>
        <w:rPr>
          <w:rFonts w:hint="eastAsia" w:eastAsia="仿宋_GB2312" w:cs="仿宋_GB2312"/>
          <w:kern w:val="0"/>
          <w:sz w:val="32"/>
          <w:szCs w:val="32"/>
          <w:lang w:val="zh-CN"/>
        </w:rPr>
        <w:t>项目决策。围绕决策程序、规划论证、资金投向进行绩效分析。</w:t>
      </w:r>
    </w:p>
    <w:p w14:paraId="7EBEB6AB">
      <w:pPr>
        <w:spacing w:line="578" w:lineRule="exact"/>
        <w:ind w:firstLine="640"/>
        <w:rPr>
          <w:rFonts w:eastAsia="仿宋_GB2312" w:cs="仿宋_GB2312"/>
          <w:kern w:val="0"/>
          <w:sz w:val="32"/>
          <w:szCs w:val="32"/>
          <w:lang w:val="zh-CN"/>
        </w:rPr>
      </w:pPr>
      <w:r>
        <w:rPr>
          <w:rFonts w:eastAsia="仿宋_GB2312" w:cs="仿宋_GB2312"/>
          <w:kern w:val="0"/>
          <w:sz w:val="32"/>
          <w:szCs w:val="32"/>
        </w:rPr>
        <w:t>2.</w:t>
      </w:r>
      <w:r>
        <w:rPr>
          <w:rFonts w:hint="eastAsia" w:eastAsia="仿宋_GB2312" w:cs="仿宋_GB2312"/>
          <w:kern w:val="0"/>
          <w:sz w:val="32"/>
          <w:szCs w:val="32"/>
          <w:lang w:val="zh-CN"/>
        </w:rPr>
        <w:t>项目管理。围绕制度办法、分配管理、绩效监管进行绩效分析。</w:t>
      </w:r>
    </w:p>
    <w:p w14:paraId="3C1CAD51">
      <w:pPr>
        <w:spacing w:line="578" w:lineRule="exact"/>
        <w:ind w:firstLine="640"/>
        <w:rPr>
          <w:rFonts w:eastAsia="仿宋_GB2312" w:cs="仿宋_GB2312"/>
          <w:kern w:val="0"/>
          <w:sz w:val="32"/>
          <w:szCs w:val="32"/>
          <w:lang w:val="zh-CN"/>
        </w:rPr>
      </w:pPr>
      <w:r>
        <w:rPr>
          <w:rFonts w:eastAsia="仿宋_GB2312" w:cs="仿宋_GB2312"/>
          <w:kern w:val="0"/>
          <w:sz w:val="32"/>
          <w:szCs w:val="32"/>
        </w:rPr>
        <w:t>3.</w:t>
      </w:r>
      <w:r>
        <w:rPr>
          <w:rFonts w:hint="eastAsia" w:eastAsia="仿宋_GB2312" w:cs="仿宋_GB2312"/>
          <w:kern w:val="0"/>
          <w:sz w:val="32"/>
          <w:szCs w:val="32"/>
        </w:rPr>
        <w:t>项目实施。</w:t>
      </w:r>
      <w:r>
        <w:rPr>
          <w:rFonts w:hint="eastAsia" w:eastAsia="仿宋_GB2312" w:cs="仿宋_GB2312"/>
          <w:kern w:val="0"/>
          <w:sz w:val="32"/>
          <w:szCs w:val="32"/>
          <w:lang w:val="zh-CN"/>
        </w:rPr>
        <w:t>围绕预算执行、资金使用进行绩效分析。</w:t>
      </w:r>
    </w:p>
    <w:p w14:paraId="0D8A3005">
      <w:pPr>
        <w:spacing w:line="578" w:lineRule="exact"/>
        <w:ind w:firstLine="640"/>
        <w:rPr>
          <w:rFonts w:eastAsia="仿宋_GB2312" w:cs="仿宋_GB2312"/>
          <w:kern w:val="0"/>
          <w:sz w:val="32"/>
          <w:szCs w:val="32"/>
          <w:lang w:val="zh-CN"/>
        </w:rPr>
      </w:pPr>
      <w:r>
        <w:rPr>
          <w:rFonts w:eastAsia="仿宋_GB2312" w:cs="仿宋_GB2312"/>
          <w:kern w:val="0"/>
          <w:sz w:val="32"/>
          <w:szCs w:val="32"/>
        </w:rPr>
        <w:t>4.</w:t>
      </w:r>
      <w:r>
        <w:rPr>
          <w:rFonts w:hint="eastAsia" w:eastAsia="仿宋_GB2312" w:cs="仿宋_GB2312"/>
          <w:kern w:val="0"/>
          <w:sz w:val="32"/>
          <w:szCs w:val="32"/>
        </w:rPr>
        <w:t>项目结果。围绕</w:t>
      </w:r>
      <w:r>
        <w:rPr>
          <w:rFonts w:hint="eastAsia" w:eastAsia="仿宋_GB2312" w:cs="仿宋_GB2312"/>
          <w:kern w:val="0"/>
          <w:sz w:val="32"/>
          <w:szCs w:val="32"/>
          <w:lang w:val="zh-CN"/>
        </w:rPr>
        <w:t>目标完成、完成时效进行绩效分析。</w:t>
      </w:r>
    </w:p>
    <w:p w14:paraId="3BC514A2">
      <w:pPr>
        <w:spacing w:line="578" w:lineRule="exact"/>
        <w:ind w:firstLine="640"/>
        <w:rPr>
          <w:rFonts w:eastAsia="仿宋_GB2312" w:cs="仿宋_GB2312"/>
          <w:kern w:val="0"/>
          <w:sz w:val="32"/>
          <w:szCs w:val="32"/>
          <w:lang w:val="zh-CN"/>
        </w:rPr>
      </w:pPr>
      <w:r>
        <w:rPr>
          <w:rFonts w:hint="eastAsia" w:eastAsia="楷体_GB2312"/>
          <w:b/>
          <w:sz w:val="32"/>
          <w:szCs w:val="32"/>
          <w:lang w:val="zh-CN"/>
        </w:rPr>
        <w:t>（二）</w:t>
      </w:r>
      <w:r>
        <w:rPr>
          <w:rFonts w:hint="eastAsia" w:eastAsia="楷体_GB2312"/>
          <w:b/>
          <w:sz w:val="32"/>
          <w:szCs w:val="32"/>
        </w:rPr>
        <w:t>专用指标</w:t>
      </w:r>
      <w:r>
        <w:rPr>
          <w:rFonts w:hint="eastAsia" w:eastAsia="楷体_GB2312"/>
          <w:b/>
          <w:bCs/>
          <w:color w:val="000000"/>
          <w:kern w:val="0"/>
          <w:sz w:val="32"/>
          <w:szCs w:val="32"/>
          <w:shd w:val="clear" w:color="auto" w:fill="FFFFFF"/>
          <w:lang w:val="zh-CN"/>
        </w:rPr>
        <w:t>绩效分析。</w:t>
      </w:r>
      <w:r>
        <w:rPr>
          <w:rFonts w:hint="eastAsia" w:eastAsia="仿宋_GB2312" w:cs="仿宋_GB2312"/>
          <w:kern w:val="0"/>
          <w:sz w:val="32"/>
          <w:szCs w:val="32"/>
          <w:lang w:val="zh-CN"/>
        </w:rPr>
        <w:t>根据</w:t>
      </w:r>
      <w:r>
        <w:rPr>
          <w:rFonts w:hint="eastAsia" w:eastAsia="仿宋_GB2312" w:cs="仿宋_GB2312"/>
          <w:kern w:val="0"/>
          <w:sz w:val="32"/>
          <w:szCs w:val="32"/>
        </w:rPr>
        <w:t>专项预算项目资金支持对象选择所属指标进行绩效分析。支持对象</w:t>
      </w:r>
      <w:r>
        <w:rPr>
          <w:rFonts w:hint="eastAsia" w:eastAsia="仿宋_GB2312" w:cs="仿宋_GB2312"/>
          <w:kern w:val="0"/>
          <w:sz w:val="32"/>
          <w:szCs w:val="32"/>
          <w:lang w:val="zh-CN"/>
        </w:rPr>
        <w:t>包括产业发展、民生保障、基础设施、行政运转等方面。</w:t>
      </w:r>
    </w:p>
    <w:p w14:paraId="3964283A">
      <w:pPr>
        <w:spacing w:line="578" w:lineRule="exact"/>
        <w:ind w:firstLine="640"/>
        <w:rPr>
          <w:rFonts w:eastAsia="仿宋_GB2312" w:cs="仿宋_GB2312"/>
          <w:kern w:val="0"/>
          <w:sz w:val="32"/>
          <w:szCs w:val="32"/>
        </w:rPr>
      </w:pPr>
      <w:r>
        <w:rPr>
          <w:rFonts w:eastAsia="仿宋_GB2312" w:cs="仿宋_GB2312"/>
          <w:kern w:val="0"/>
          <w:sz w:val="32"/>
          <w:szCs w:val="32"/>
        </w:rPr>
        <w:t>1.</w:t>
      </w:r>
      <w:r>
        <w:rPr>
          <w:rFonts w:hint="eastAsia" w:eastAsia="仿宋_GB2312" w:cs="仿宋_GB2312"/>
          <w:kern w:val="0"/>
          <w:sz w:val="32"/>
          <w:szCs w:val="32"/>
        </w:rPr>
        <w:t>产业发展。围绕符合性、成长性、经济性进行绩效分析。</w:t>
      </w:r>
    </w:p>
    <w:p w14:paraId="44965B87">
      <w:pPr>
        <w:spacing w:line="578" w:lineRule="exact"/>
        <w:ind w:firstLine="640"/>
        <w:rPr>
          <w:rFonts w:eastAsia="仿宋_GB2312" w:cs="仿宋_GB2312"/>
          <w:kern w:val="0"/>
          <w:sz w:val="32"/>
          <w:szCs w:val="32"/>
        </w:rPr>
      </w:pPr>
      <w:r>
        <w:rPr>
          <w:rFonts w:eastAsia="仿宋_GB2312" w:cs="仿宋_GB2312"/>
          <w:kern w:val="0"/>
          <w:sz w:val="32"/>
          <w:szCs w:val="32"/>
        </w:rPr>
        <w:t>2.</w:t>
      </w:r>
      <w:r>
        <w:rPr>
          <w:rFonts w:hint="eastAsia" w:eastAsia="仿宋_GB2312" w:cs="仿宋_GB2312"/>
          <w:kern w:val="0"/>
          <w:sz w:val="32"/>
          <w:szCs w:val="32"/>
          <w:lang w:val="zh-CN"/>
        </w:rPr>
        <w:t>民生保障。</w:t>
      </w:r>
      <w:r>
        <w:rPr>
          <w:rFonts w:hint="eastAsia" w:eastAsia="仿宋_GB2312" w:cs="仿宋_GB2312"/>
          <w:kern w:val="0"/>
          <w:sz w:val="32"/>
          <w:szCs w:val="32"/>
        </w:rPr>
        <w:t>围绕区域均衡性、对象精准性、标准合理性、群众满意度进行绩效分析。</w:t>
      </w:r>
    </w:p>
    <w:p w14:paraId="46DF0DF1">
      <w:pPr>
        <w:spacing w:line="578" w:lineRule="exact"/>
        <w:ind w:firstLine="640"/>
        <w:rPr>
          <w:rFonts w:eastAsia="仿宋_GB2312" w:cs="仿宋_GB2312"/>
          <w:kern w:val="0"/>
          <w:sz w:val="32"/>
          <w:szCs w:val="32"/>
        </w:rPr>
      </w:pPr>
      <w:r>
        <w:rPr>
          <w:rFonts w:eastAsia="仿宋_GB2312" w:cs="仿宋_GB2312"/>
          <w:kern w:val="0"/>
          <w:sz w:val="32"/>
          <w:szCs w:val="32"/>
        </w:rPr>
        <w:t>3.</w:t>
      </w:r>
      <w:r>
        <w:rPr>
          <w:rFonts w:hint="eastAsia" w:eastAsia="仿宋_GB2312" w:cs="仿宋_GB2312"/>
          <w:kern w:val="0"/>
          <w:sz w:val="32"/>
          <w:szCs w:val="32"/>
        </w:rPr>
        <w:t>基础设施。在建项目围绕工程进度和资金拨付进行绩效分析；建成项目围绕项目验收、功能实现、后续管护进行</w:t>
      </w:r>
      <w:r>
        <w:rPr>
          <w:rFonts w:hint="eastAsia" w:eastAsia="仿宋_GB2312" w:cs="仿宋_GB2312"/>
          <w:kern w:val="0"/>
          <w:sz w:val="32"/>
          <w:szCs w:val="32"/>
          <w:lang w:val="zh-CN"/>
        </w:rPr>
        <w:t>绩效分析。</w:t>
      </w:r>
    </w:p>
    <w:p w14:paraId="4493743C">
      <w:pPr>
        <w:spacing w:line="578" w:lineRule="exact"/>
        <w:ind w:firstLine="640"/>
        <w:rPr>
          <w:rFonts w:eastAsia="仿宋_GB2312" w:cs="仿宋_GB2312"/>
          <w:kern w:val="0"/>
          <w:sz w:val="32"/>
          <w:szCs w:val="32"/>
        </w:rPr>
      </w:pPr>
      <w:r>
        <w:rPr>
          <w:rFonts w:eastAsia="仿宋_GB2312" w:cs="仿宋_GB2312"/>
          <w:kern w:val="0"/>
          <w:sz w:val="32"/>
          <w:szCs w:val="32"/>
        </w:rPr>
        <w:t>4.</w:t>
      </w:r>
      <w:r>
        <w:rPr>
          <w:rFonts w:hint="eastAsia" w:eastAsia="仿宋_GB2312" w:cs="仿宋_GB2312"/>
          <w:kern w:val="0"/>
          <w:sz w:val="32"/>
          <w:szCs w:val="32"/>
          <w:lang w:val="zh-CN"/>
        </w:rPr>
        <w:t>行政运转。围绕用途合规性、程序合规性、标准合规性进行绩效分析。</w:t>
      </w:r>
    </w:p>
    <w:p w14:paraId="5004958E">
      <w:pPr>
        <w:spacing w:line="578" w:lineRule="exact"/>
        <w:ind w:firstLine="640"/>
        <w:rPr>
          <w:rFonts w:eastAsia="仿宋_GB2312" w:cs="仿宋_GB2312"/>
          <w:kern w:val="0"/>
          <w:sz w:val="32"/>
          <w:szCs w:val="32"/>
        </w:rPr>
      </w:pPr>
      <w:r>
        <w:rPr>
          <w:rFonts w:hint="eastAsia" w:eastAsia="楷体_GB2312"/>
          <w:b/>
          <w:sz w:val="32"/>
          <w:szCs w:val="32"/>
          <w:lang w:val="zh-CN"/>
        </w:rPr>
        <w:t>（三）</w:t>
      </w:r>
      <w:r>
        <w:rPr>
          <w:rFonts w:hint="eastAsia" w:eastAsia="楷体_GB2312"/>
          <w:b/>
          <w:sz w:val="32"/>
          <w:szCs w:val="32"/>
        </w:rPr>
        <w:t>个性指标</w:t>
      </w:r>
      <w:r>
        <w:rPr>
          <w:rFonts w:hint="eastAsia" w:eastAsia="楷体_GB2312"/>
          <w:b/>
          <w:bCs/>
          <w:color w:val="000000"/>
          <w:kern w:val="0"/>
          <w:sz w:val="32"/>
          <w:szCs w:val="32"/>
          <w:shd w:val="clear" w:color="auto" w:fill="FFFFFF"/>
          <w:lang w:val="zh-CN"/>
        </w:rPr>
        <w:t>绩效分析。</w:t>
      </w:r>
      <w:r>
        <w:rPr>
          <w:rFonts w:hint="eastAsia" w:eastAsia="仿宋_GB2312" w:cs="仿宋_GB2312"/>
          <w:kern w:val="0"/>
          <w:sz w:val="32"/>
          <w:szCs w:val="32"/>
          <w:lang w:val="zh-CN"/>
        </w:rPr>
        <w:t>根据项目个性自行设定部分指标，反映该项指标执行完成情况。</w:t>
      </w:r>
    </w:p>
    <w:p w14:paraId="6750ACCB">
      <w:pPr>
        <w:spacing w:line="578" w:lineRule="exact"/>
        <w:ind w:firstLine="640"/>
        <w:rPr>
          <w:rFonts w:ascii="黑体" w:hAnsi="黑体" w:eastAsia="黑体" w:cs="黑体"/>
          <w:kern w:val="0"/>
          <w:sz w:val="32"/>
          <w:szCs w:val="32"/>
        </w:rPr>
      </w:pPr>
      <w:r>
        <w:rPr>
          <w:rFonts w:hint="eastAsia" w:ascii="黑体" w:hAnsi="黑体" w:eastAsia="黑体" w:cs="黑体"/>
          <w:kern w:val="0"/>
          <w:sz w:val="32"/>
          <w:szCs w:val="32"/>
        </w:rPr>
        <w:t>四、评价结论</w:t>
      </w:r>
    </w:p>
    <w:p w14:paraId="1EDF3AB0">
      <w:pPr>
        <w:widowControl/>
        <w:adjustRightInd w:val="0"/>
        <w:snapToGrid w:val="0"/>
        <w:spacing w:line="578" w:lineRule="exact"/>
        <w:ind w:firstLine="640" w:firstLineChars="200"/>
        <w:contextualSpacing/>
        <w:jc w:val="left"/>
        <w:rPr>
          <w:rFonts w:eastAsia="仿宋_GB2312" w:cs="仿宋_GB2312"/>
          <w:kern w:val="0"/>
          <w:sz w:val="32"/>
          <w:szCs w:val="32"/>
          <w:lang w:val="zh-CN"/>
        </w:rPr>
      </w:pPr>
      <w:r>
        <w:rPr>
          <w:rFonts w:eastAsia="仿宋_GB2312" w:cs="仿宋_GB2312"/>
          <w:kern w:val="0"/>
          <w:sz w:val="32"/>
          <w:szCs w:val="32"/>
          <w:lang w:val="zh-CN"/>
        </w:rPr>
        <w:t>2024</w:t>
      </w:r>
      <w:r>
        <w:rPr>
          <w:rFonts w:hint="eastAsia" w:eastAsia="仿宋_GB2312" w:cs="仿宋_GB2312"/>
          <w:kern w:val="0"/>
          <w:sz w:val="32"/>
          <w:szCs w:val="32"/>
          <w:lang w:val="zh-CN"/>
        </w:rPr>
        <w:t>年度我局部门整体支出绩效评价自评得分为</w:t>
      </w:r>
      <w:r>
        <w:rPr>
          <w:rFonts w:eastAsia="仿宋_GB2312" w:cs="仿宋_GB2312"/>
          <w:kern w:val="0"/>
          <w:sz w:val="32"/>
          <w:szCs w:val="32"/>
          <w:lang w:val="zh-CN"/>
        </w:rPr>
        <w:t>97</w:t>
      </w:r>
      <w:r>
        <w:rPr>
          <w:rFonts w:hint="eastAsia" w:eastAsia="仿宋_GB2312" w:cs="仿宋_GB2312"/>
          <w:kern w:val="0"/>
          <w:sz w:val="32"/>
          <w:szCs w:val="32"/>
          <w:lang w:val="zh-CN"/>
        </w:rPr>
        <w:t>分。从整体上看，我局资金维护决策正确，资金管理规范，政策决策有力，有效发挥了财政资金使用效率。在人员经费支出上，严格执行县委、县政府的各项制度。在项目经费的使用上，严格按照项目资金实施方案执行。三公经费的使用严格按照预算执行。</w:t>
      </w:r>
    </w:p>
    <w:p w14:paraId="177702D5">
      <w:pPr>
        <w:spacing w:line="578" w:lineRule="exact"/>
        <w:ind w:firstLine="640"/>
        <w:rPr>
          <w:rFonts w:ascii="黑体" w:hAnsi="黑体" w:eastAsia="黑体" w:cs="黑体"/>
          <w:kern w:val="0"/>
          <w:sz w:val="32"/>
          <w:szCs w:val="32"/>
        </w:rPr>
      </w:pPr>
      <w:r>
        <w:rPr>
          <w:rFonts w:hint="eastAsia" w:ascii="黑体" w:hAnsi="黑体" w:eastAsia="黑体" w:cs="黑体"/>
          <w:kern w:val="0"/>
          <w:sz w:val="32"/>
          <w:szCs w:val="32"/>
        </w:rPr>
        <w:t>五、存在主要问题</w:t>
      </w:r>
    </w:p>
    <w:p w14:paraId="48E3834B">
      <w:pPr>
        <w:autoSpaceDE w:val="0"/>
        <w:snapToGrid w:val="0"/>
        <w:spacing w:line="520" w:lineRule="exact"/>
        <w:ind w:firstLine="640" w:firstLineChars="200"/>
        <w:rPr>
          <w:rFonts w:eastAsia="仿宋_GB2312" w:cs="仿宋_GB2312"/>
          <w:kern w:val="0"/>
          <w:sz w:val="32"/>
          <w:szCs w:val="32"/>
        </w:rPr>
      </w:pPr>
      <w:r>
        <w:rPr>
          <w:rFonts w:hint="eastAsia" w:eastAsia="仿宋_GB2312" w:cs="仿宋_GB2312"/>
          <w:kern w:val="0"/>
          <w:sz w:val="32"/>
          <w:szCs w:val="32"/>
        </w:rPr>
        <w:t>主要存在的问题是预算编制不够准确和细化，预算的调整数比较大。内控制度编制不够完善，没有完全做到用制度管人。</w:t>
      </w:r>
    </w:p>
    <w:p w14:paraId="3093227C">
      <w:pPr>
        <w:spacing w:line="578" w:lineRule="exact"/>
        <w:ind w:firstLine="640"/>
        <w:rPr>
          <w:rFonts w:ascii="黑体" w:hAnsi="黑体" w:eastAsia="黑体" w:cs="黑体"/>
          <w:kern w:val="0"/>
          <w:sz w:val="32"/>
          <w:szCs w:val="32"/>
          <w:lang w:val="zh-CN"/>
        </w:rPr>
      </w:pPr>
      <w:r>
        <w:rPr>
          <w:rFonts w:hint="eastAsia" w:ascii="黑体" w:hAnsi="黑体" w:eastAsia="黑体" w:cs="黑体"/>
          <w:kern w:val="0"/>
          <w:sz w:val="32"/>
          <w:szCs w:val="32"/>
          <w:lang w:val="zh-CN"/>
        </w:rPr>
        <w:t>六、改进建议</w:t>
      </w:r>
    </w:p>
    <w:p w14:paraId="72704330">
      <w:pPr>
        <w:tabs>
          <w:tab w:val="left" w:pos="7080"/>
        </w:tabs>
        <w:ind w:firstLine="640" w:firstLineChars="200"/>
        <w:outlineLvl w:val="0"/>
        <w:rPr>
          <w:rFonts w:ascii="仿宋_GB2312" w:hAnsi="仿宋_GB2312" w:eastAsia="仿宋_GB2312" w:cs="仿宋_GB2312"/>
          <w:sz w:val="32"/>
          <w:szCs w:val="32"/>
        </w:rPr>
      </w:pPr>
      <w:r>
        <w:rPr>
          <w:rFonts w:hint="eastAsia" w:eastAsia="仿宋_GB2312" w:cs="仿宋_GB2312"/>
          <w:kern w:val="0"/>
          <w:sz w:val="32"/>
          <w:szCs w:val="32"/>
        </w:rPr>
        <w:t>加强年初预算的编制工作，提高预算编制的准确性和细化性。</w:t>
      </w:r>
      <w:r>
        <w:rPr>
          <w:rFonts w:hint="eastAsia" w:ascii="仿宋_GB2312" w:hAnsi="仿宋_GB2312" w:eastAsia="仿宋_GB2312" w:cs="仿宋_GB2312"/>
          <w:sz w:val="32"/>
          <w:szCs w:val="32"/>
        </w:rPr>
        <w:t>认真做好绩效自评，总结经验不足，加以改进，将继续拟应用于以后年度开展工作。适时公开透明接受广大人民群众、财政等主管部门的监督、检查，合理利用资金，使国家资金使用合理化、安全化、高效化。</w:t>
      </w:r>
    </w:p>
    <w:p w14:paraId="57883FB2">
      <w:pPr>
        <w:autoSpaceDE w:val="0"/>
        <w:snapToGrid w:val="0"/>
        <w:spacing w:line="520" w:lineRule="exact"/>
        <w:ind w:firstLine="640" w:firstLineChars="200"/>
        <w:rPr>
          <w:rFonts w:eastAsia="仿宋_GB2312" w:cs="仿宋_GB2312"/>
          <w:kern w:val="0"/>
          <w:sz w:val="32"/>
          <w:szCs w:val="32"/>
        </w:rPr>
      </w:pPr>
    </w:p>
    <w:p w14:paraId="254B18AE">
      <w:pPr>
        <w:spacing w:line="578" w:lineRule="exact"/>
        <w:ind w:firstLine="640"/>
        <w:rPr>
          <w:rFonts w:eastAsia="仿宋_GB2312" w:cs="仿宋_GB2312"/>
          <w:kern w:val="0"/>
          <w:sz w:val="32"/>
          <w:szCs w:val="32"/>
        </w:rPr>
      </w:pPr>
    </w:p>
    <w:p w14:paraId="2D59F667">
      <w:pPr>
        <w:spacing w:line="578" w:lineRule="exact"/>
        <w:ind w:firstLine="640"/>
        <w:rPr>
          <w:rFonts w:eastAsia="仿宋_GB2312" w:cs="仿宋_GB2312"/>
          <w:kern w:val="0"/>
          <w:sz w:val="32"/>
          <w:szCs w:val="32"/>
        </w:rPr>
      </w:pPr>
    </w:p>
    <w:p w14:paraId="2EFEA631">
      <w:pPr>
        <w:spacing w:line="578" w:lineRule="exact"/>
        <w:ind w:firstLine="640"/>
        <w:rPr>
          <w:rFonts w:eastAsia="仿宋_GB2312" w:cs="仿宋_GB2312"/>
          <w:kern w:val="0"/>
          <w:sz w:val="32"/>
          <w:szCs w:val="32"/>
        </w:rPr>
      </w:pPr>
      <w:bookmarkStart w:id="48" w:name="_Toc15396618"/>
      <w:r>
        <w:rPr>
          <w:rFonts w:eastAsia="仿宋_GB2312" w:cs="仿宋_GB2312"/>
          <w:kern w:val="0"/>
          <w:sz w:val="32"/>
          <w:szCs w:val="32"/>
        </w:rPr>
        <w:br w:type="page"/>
      </w:r>
    </w:p>
    <w:p w14:paraId="33B5EDE1">
      <w:pPr>
        <w:widowControl/>
        <w:jc w:val="center"/>
        <w:rPr>
          <w:rFonts w:eastAsia="仿宋"/>
        </w:rPr>
      </w:pPr>
      <w:r>
        <w:rPr>
          <w:rFonts w:hint="eastAsia" w:eastAsia="黑体"/>
          <w:sz w:val="44"/>
          <w:szCs w:val="44"/>
        </w:rPr>
        <w:t>第</w:t>
      </w:r>
      <w:r>
        <w:rPr>
          <w:rStyle w:val="19"/>
          <w:rFonts w:hint="eastAsia" w:eastAsia="黑体"/>
          <w:b w:val="0"/>
        </w:rPr>
        <w:t>五部分</w:t>
      </w:r>
      <w:r>
        <w:rPr>
          <w:rStyle w:val="19"/>
          <w:rFonts w:eastAsia="黑体"/>
          <w:b w:val="0"/>
        </w:rPr>
        <w:t xml:space="preserve"> </w:t>
      </w:r>
      <w:r>
        <w:rPr>
          <w:rStyle w:val="19"/>
          <w:rFonts w:hint="eastAsia" w:eastAsia="黑体"/>
          <w:b w:val="0"/>
        </w:rPr>
        <w:t>附表</w:t>
      </w:r>
      <w:bookmarkEnd w:id="46"/>
      <w:bookmarkEnd w:id="48"/>
      <w:bookmarkStart w:id="49" w:name="_Toc15396619"/>
    </w:p>
    <w:p w14:paraId="3D247F2B">
      <w:pPr>
        <w:pStyle w:val="14"/>
        <w:adjustRightInd w:val="0"/>
        <w:snapToGrid w:val="0"/>
        <w:spacing w:line="560" w:lineRule="exact"/>
        <w:jc w:val="left"/>
        <w:rPr>
          <w:rFonts w:eastAsia="仿宋_GB2312" w:cs="仿宋_GB2312"/>
          <w:sz w:val="32"/>
          <w:szCs w:val="32"/>
        </w:rPr>
      </w:pPr>
    </w:p>
    <w:p w14:paraId="555A104B">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一、收入支出决算总表</w:t>
      </w:r>
      <w:bookmarkEnd w:id="49"/>
    </w:p>
    <w:p w14:paraId="239D70F6">
      <w:pPr>
        <w:pStyle w:val="14"/>
        <w:adjustRightInd w:val="0"/>
        <w:snapToGrid w:val="0"/>
        <w:spacing w:line="560" w:lineRule="exact"/>
        <w:jc w:val="left"/>
        <w:rPr>
          <w:rFonts w:eastAsia="仿宋_GB2312" w:cs="仿宋_GB2312"/>
          <w:sz w:val="32"/>
          <w:szCs w:val="32"/>
        </w:rPr>
      </w:pPr>
      <w:bookmarkStart w:id="50" w:name="_Toc15396620"/>
      <w:r>
        <w:rPr>
          <w:rFonts w:hint="eastAsia" w:eastAsia="仿宋_GB2312" w:cs="仿宋_GB2312"/>
          <w:sz w:val="32"/>
          <w:szCs w:val="32"/>
        </w:rPr>
        <w:t>二、收入决算表</w:t>
      </w:r>
      <w:bookmarkEnd w:id="50"/>
    </w:p>
    <w:p w14:paraId="702C028C">
      <w:pPr>
        <w:pStyle w:val="14"/>
        <w:adjustRightInd w:val="0"/>
        <w:snapToGrid w:val="0"/>
        <w:spacing w:line="560" w:lineRule="exact"/>
        <w:jc w:val="left"/>
        <w:rPr>
          <w:rFonts w:eastAsia="仿宋_GB2312" w:cs="仿宋_GB2312"/>
          <w:sz w:val="32"/>
          <w:szCs w:val="32"/>
        </w:rPr>
      </w:pPr>
      <w:bookmarkStart w:id="51" w:name="_Toc15396621"/>
      <w:r>
        <w:rPr>
          <w:rFonts w:hint="eastAsia" w:eastAsia="仿宋_GB2312" w:cs="仿宋_GB2312"/>
          <w:sz w:val="32"/>
          <w:szCs w:val="32"/>
        </w:rPr>
        <w:t>三、支出决算表</w:t>
      </w:r>
      <w:bookmarkEnd w:id="51"/>
    </w:p>
    <w:p w14:paraId="099F6594">
      <w:pPr>
        <w:pStyle w:val="14"/>
        <w:adjustRightInd w:val="0"/>
        <w:snapToGrid w:val="0"/>
        <w:spacing w:line="560" w:lineRule="exact"/>
        <w:jc w:val="left"/>
        <w:rPr>
          <w:rFonts w:eastAsia="仿宋_GB2312" w:cs="仿宋_GB2312"/>
          <w:sz w:val="32"/>
          <w:szCs w:val="32"/>
        </w:rPr>
      </w:pPr>
      <w:bookmarkStart w:id="52" w:name="_Toc15396622"/>
      <w:r>
        <w:rPr>
          <w:rFonts w:hint="eastAsia" w:eastAsia="仿宋_GB2312" w:cs="仿宋_GB2312"/>
          <w:sz w:val="32"/>
          <w:szCs w:val="32"/>
        </w:rPr>
        <w:t>四、财政拨款收入支出决算总表</w:t>
      </w:r>
      <w:bookmarkEnd w:id="52"/>
    </w:p>
    <w:p w14:paraId="3CF82424">
      <w:pPr>
        <w:pStyle w:val="14"/>
        <w:adjustRightInd w:val="0"/>
        <w:snapToGrid w:val="0"/>
        <w:spacing w:line="560" w:lineRule="exact"/>
        <w:jc w:val="left"/>
        <w:rPr>
          <w:rFonts w:eastAsia="仿宋_GB2312" w:cs="仿宋_GB2312"/>
          <w:sz w:val="32"/>
          <w:szCs w:val="32"/>
        </w:rPr>
      </w:pPr>
      <w:bookmarkStart w:id="53" w:name="_Toc15396623"/>
      <w:r>
        <w:rPr>
          <w:rFonts w:hint="eastAsia" w:eastAsia="仿宋_GB2312" w:cs="仿宋_GB2312"/>
          <w:sz w:val="32"/>
          <w:szCs w:val="32"/>
        </w:rPr>
        <w:t>五、财政拨款支出决算明细表</w:t>
      </w:r>
      <w:bookmarkEnd w:id="53"/>
      <w:bookmarkStart w:id="54" w:name="_Toc15396624"/>
    </w:p>
    <w:p w14:paraId="7A464445">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六、一般公共预算财政拨款支出决算表</w:t>
      </w:r>
      <w:bookmarkEnd w:id="54"/>
    </w:p>
    <w:p w14:paraId="7F0B5AFE">
      <w:pPr>
        <w:pStyle w:val="14"/>
        <w:adjustRightInd w:val="0"/>
        <w:snapToGrid w:val="0"/>
        <w:spacing w:line="560" w:lineRule="exact"/>
        <w:jc w:val="left"/>
        <w:rPr>
          <w:rFonts w:eastAsia="仿宋_GB2312" w:cs="仿宋_GB2312"/>
          <w:sz w:val="32"/>
          <w:szCs w:val="32"/>
        </w:rPr>
      </w:pPr>
      <w:bookmarkStart w:id="55" w:name="_Toc15396625"/>
      <w:r>
        <w:rPr>
          <w:rFonts w:hint="eastAsia" w:eastAsia="仿宋_GB2312" w:cs="仿宋_GB2312"/>
          <w:sz w:val="32"/>
          <w:szCs w:val="32"/>
        </w:rPr>
        <w:t>七、一般公共预算财政拨款支出决算明细表</w:t>
      </w:r>
      <w:bookmarkEnd w:id="55"/>
    </w:p>
    <w:p w14:paraId="4A2CEE8B">
      <w:pPr>
        <w:pStyle w:val="14"/>
        <w:adjustRightInd w:val="0"/>
        <w:snapToGrid w:val="0"/>
        <w:spacing w:line="560" w:lineRule="exact"/>
        <w:jc w:val="left"/>
        <w:rPr>
          <w:rFonts w:eastAsia="仿宋_GB2312" w:cs="仿宋_GB2312"/>
          <w:sz w:val="32"/>
          <w:szCs w:val="32"/>
        </w:rPr>
      </w:pPr>
      <w:bookmarkStart w:id="56" w:name="_Toc15396626"/>
      <w:r>
        <w:rPr>
          <w:rFonts w:hint="eastAsia" w:eastAsia="仿宋_GB2312" w:cs="仿宋_GB2312"/>
          <w:sz w:val="32"/>
          <w:szCs w:val="32"/>
        </w:rPr>
        <w:t>八、一般公共预算财政拨款基本支出决算表</w:t>
      </w:r>
      <w:bookmarkEnd w:id="56"/>
    </w:p>
    <w:p w14:paraId="713716DC">
      <w:pPr>
        <w:pStyle w:val="14"/>
        <w:adjustRightInd w:val="0"/>
        <w:snapToGrid w:val="0"/>
        <w:spacing w:line="560" w:lineRule="exact"/>
        <w:jc w:val="left"/>
        <w:rPr>
          <w:rFonts w:eastAsia="仿宋_GB2312" w:cs="仿宋_GB2312"/>
          <w:sz w:val="32"/>
          <w:szCs w:val="32"/>
        </w:rPr>
      </w:pPr>
      <w:bookmarkStart w:id="57" w:name="_Toc15396627"/>
      <w:r>
        <w:rPr>
          <w:rFonts w:hint="eastAsia" w:eastAsia="仿宋_GB2312" w:cs="仿宋_GB2312"/>
          <w:sz w:val="32"/>
          <w:szCs w:val="32"/>
        </w:rPr>
        <w:t>九、一般公共预算财政拨款项目支出决算表</w:t>
      </w:r>
      <w:bookmarkEnd w:id="57"/>
    </w:p>
    <w:p w14:paraId="5709D550">
      <w:pPr>
        <w:pStyle w:val="14"/>
        <w:adjustRightInd w:val="0"/>
        <w:snapToGrid w:val="0"/>
        <w:spacing w:line="560" w:lineRule="exact"/>
        <w:jc w:val="left"/>
        <w:rPr>
          <w:rFonts w:eastAsia="仿宋_GB2312" w:cs="仿宋_GB2312"/>
          <w:sz w:val="32"/>
          <w:szCs w:val="32"/>
        </w:rPr>
      </w:pPr>
      <w:bookmarkStart w:id="58" w:name="_Toc15396628"/>
      <w:r>
        <w:rPr>
          <w:rFonts w:hint="eastAsia" w:eastAsia="仿宋_GB2312" w:cs="仿宋_GB2312"/>
          <w:sz w:val="32"/>
          <w:szCs w:val="32"/>
        </w:rPr>
        <w:t>十、</w:t>
      </w:r>
      <w:bookmarkEnd w:id="58"/>
      <w:r>
        <w:rPr>
          <w:rFonts w:hint="eastAsia" w:eastAsia="仿宋_GB2312" w:cs="仿宋_GB2312"/>
          <w:sz w:val="32"/>
          <w:szCs w:val="32"/>
        </w:rPr>
        <w:t>政府性基金预算财政拨款收入支出决算表</w:t>
      </w:r>
    </w:p>
    <w:p w14:paraId="0DC427B2">
      <w:pPr>
        <w:pStyle w:val="14"/>
        <w:adjustRightInd w:val="0"/>
        <w:snapToGrid w:val="0"/>
        <w:spacing w:line="560" w:lineRule="exact"/>
        <w:jc w:val="left"/>
        <w:rPr>
          <w:rFonts w:eastAsia="仿宋_GB2312" w:cs="仿宋_GB2312"/>
          <w:sz w:val="32"/>
          <w:szCs w:val="32"/>
        </w:rPr>
      </w:pPr>
      <w:bookmarkStart w:id="59" w:name="_Toc15396629"/>
      <w:r>
        <w:rPr>
          <w:rFonts w:hint="eastAsia" w:eastAsia="仿宋_GB2312" w:cs="仿宋_GB2312"/>
          <w:sz w:val="32"/>
          <w:szCs w:val="32"/>
        </w:rPr>
        <w:t>十一、</w:t>
      </w:r>
      <w:bookmarkEnd w:id="59"/>
      <w:r>
        <w:rPr>
          <w:rFonts w:hint="eastAsia" w:eastAsia="仿宋_GB2312" w:cs="仿宋_GB2312"/>
          <w:sz w:val="32"/>
          <w:szCs w:val="32"/>
        </w:rPr>
        <w:t>国有资本经营预算财政拨款收入支出决算表</w:t>
      </w:r>
    </w:p>
    <w:p w14:paraId="55C50F7B">
      <w:pPr>
        <w:pStyle w:val="14"/>
        <w:adjustRightInd w:val="0"/>
        <w:snapToGrid w:val="0"/>
        <w:spacing w:line="560" w:lineRule="exact"/>
        <w:jc w:val="left"/>
        <w:rPr>
          <w:rFonts w:eastAsia="仿宋_GB2312" w:cs="仿宋_GB2312"/>
          <w:sz w:val="32"/>
          <w:szCs w:val="32"/>
        </w:rPr>
      </w:pPr>
      <w:bookmarkStart w:id="60" w:name="_Toc15396630"/>
      <w:r>
        <w:rPr>
          <w:rFonts w:hint="eastAsia" w:eastAsia="仿宋_GB2312" w:cs="仿宋_GB2312"/>
          <w:sz w:val="32"/>
          <w:szCs w:val="32"/>
        </w:rPr>
        <w:t>十二、</w:t>
      </w:r>
      <w:bookmarkEnd w:id="60"/>
      <w:r>
        <w:rPr>
          <w:rFonts w:hint="eastAsia" w:eastAsia="仿宋_GB2312" w:cs="仿宋_GB2312"/>
          <w:sz w:val="32"/>
          <w:szCs w:val="32"/>
        </w:rPr>
        <w:t>国有资本经营预算财政拨款支出决算表</w:t>
      </w:r>
    </w:p>
    <w:p w14:paraId="7E88E15D">
      <w:pPr>
        <w:pStyle w:val="14"/>
        <w:adjustRightInd w:val="0"/>
        <w:snapToGrid w:val="0"/>
        <w:spacing w:line="560" w:lineRule="exact"/>
        <w:jc w:val="left"/>
        <w:rPr>
          <w:rFonts w:eastAsia="仿宋_GB2312" w:cs="仿宋_GB2312"/>
          <w:sz w:val="32"/>
          <w:szCs w:val="32"/>
        </w:rPr>
      </w:pPr>
      <w:bookmarkStart w:id="61" w:name="_Toc15396631"/>
      <w:r>
        <w:rPr>
          <w:rFonts w:hint="eastAsia" w:eastAsia="仿宋_GB2312" w:cs="仿宋_GB2312"/>
          <w:sz w:val="32"/>
          <w:szCs w:val="32"/>
        </w:rPr>
        <w:t>十三、</w:t>
      </w:r>
      <w:bookmarkEnd w:id="61"/>
      <w:r>
        <w:rPr>
          <w:rFonts w:hint="eastAsia" w:eastAsia="仿宋_GB2312" w:cs="仿宋_GB2312"/>
          <w:sz w:val="32"/>
          <w:szCs w:val="32"/>
        </w:rPr>
        <w:t>财政拨款“三公”经费支出决算表</w:t>
      </w:r>
    </w:p>
    <w:p w14:paraId="3F561C69"/>
    <w:p w14:paraId="65D20164"/>
    <w:p w14:paraId="3A8FD061">
      <w:pPr>
        <w:widowControl/>
        <w:jc w:val="center"/>
      </w:pPr>
    </w:p>
    <w:p w14:paraId="30636759"/>
    <w:sectPr>
      <w:footerReference r:id="rId9" w:type="first"/>
      <w:headerReference r:id="rId7" w:type="default"/>
      <w:footerReference r:id="rId8" w:type="default"/>
      <w:pgSz w:w="11906" w:h="16838"/>
      <w:pgMar w:top="1440" w:right="1800" w:bottom="1440" w:left="1800" w:header="851" w:footer="992" w:gutter="0"/>
      <w:pgNumType w:fmt="numberInDash" w:start="1" w:chapStyle="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A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
    <w:altName w:val="Segoe Print"/>
    <w:panose1 w:val="00000000000000000000"/>
    <w:charset w:val="00"/>
    <w:family w:val="roman"/>
    <w:pitch w:val="default"/>
    <w:sig w:usb0="00000000" w:usb1="00000000" w:usb2="00000000" w:usb3="00000000" w:csb0="00000001" w:csb1="00000000"/>
  </w:font>
  <w:font w:name="Segoe Print">
    <w:panose1 w:val="02000800000000000000"/>
    <w:charset w:val="00"/>
    <w:family w:val="auto"/>
    <w:pitch w:val="default"/>
    <w:sig w:usb0="0000028F" w:usb1="00000000" w:usb2="00000000" w:usb3="00000000" w:csb0="2000009F" w:csb1="4701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84C84">
    <w:pPr>
      <w:pStyle w:val="11"/>
      <w:jc w:val="center"/>
    </w:pPr>
  </w:p>
  <w:p w14:paraId="078C16A3">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2C460">
    <w:pPr>
      <w:pStyle w:val="11"/>
      <w:ind w:right="270"/>
      <w:jc w:val="right"/>
    </w:pPr>
  </w:p>
  <w:p w14:paraId="794D70C8">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74A871">
    <w:pPr>
      <w:pStyle w:val="11"/>
      <w:jc w:val="right"/>
    </w:pPr>
    <w:r>
      <w:fldChar w:fldCharType="begin"/>
    </w:r>
    <w:r>
      <w:instrText xml:space="preserve">PAGE   \* MERGEFORMAT</w:instrText>
    </w:r>
    <w:r>
      <w:fldChar w:fldCharType="separate"/>
    </w:r>
    <w:r>
      <w:rPr>
        <w:lang w:val="zh-CN"/>
      </w:rPr>
      <w:t>-</w:t>
    </w:r>
    <w:r>
      <w:t xml:space="preserve"> 1 -</w:t>
    </w:r>
    <w:r>
      <w:fldChar w:fldCharType="end"/>
    </w:r>
  </w:p>
  <w:p w14:paraId="0007EF6A">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50D474">
    <w:pPr>
      <w:pStyle w:val="11"/>
      <w:jc w:val="right"/>
    </w:pPr>
    <w:r>
      <w:fldChar w:fldCharType="begin"/>
    </w:r>
    <w:r>
      <w:instrText xml:space="preserve">PAGE   \* MERGEFORMAT</w:instrText>
    </w:r>
    <w:r>
      <w:fldChar w:fldCharType="separate"/>
    </w:r>
    <w:r>
      <w:rPr>
        <w:lang w:val="zh-CN"/>
      </w:rPr>
      <w:t>-</w:t>
    </w:r>
    <w:r>
      <w:t xml:space="preserve"> 21 -</w:t>
    </w:r>
    <w:r>
      <w:fldChar w:fldCharType="end"/>
    </w:r>
  </w:p>
  <w:p w14:paraId="1B6A595A">
    <w:pPr>
      <w:pStyle w:val="1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E5E19B">
    <w:pPr>
      <w:pStyle w:val="11"/>
      <w:jc w:val="right"/>
    </w:pPr>
    <w:r>
      <w:fldChar w:fldCharType="begin"/>
    </w:r>
    <w:r>
      <w:instrText xml:space="preserve">PAGE   \* MERGEFORMAT</w:instrText>
    </w:r>
    <w:r>
      <w:fldChar w:fldCharType="separate"/>
    </w:r>
    <w:r>
      <w:rPr>
        <w:lang w:val="zh-CN"/>
      </w:rPr>
      <w:t>-</w:t>
    </w:r>
    <w:r>
      <w:t xml:space="preserve"> 1 -</w:t>
    </w:r>
    <w:r>
      <w:fldChar w:fldCharType="end"/>
    </w:r>
  </w:p>
  <w:p w14:paraId="0BA058A2">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A20AB">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E0E58A">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6B39B2"/>
    <w:multiLevelType w:val="multilevel"/>
    <w:tmpl w:val="046B39B2"/>
    <w:lvl w:ilvl="0" w:tentative="0">
      <w:start w:val="1"/>
      <w:numFmt w:val="japaneseCounting"/>
      <w:lvlText w:val="%1、"/>
      <w:lvlJc w:val="left"/>
      <w:pPr>
        <w:ind w:left="660" w:hanging="6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1370"/>
    <w:rsid w:val="00260C38"/>
    <w:rsid w:val="002616C0"/>
    <w:rsid w:val="00265372"/>
    <w:rsid w:val="002662AA"/>
    <w:rsid w:val="00280496"/>
    <w:rsid w:val="00294DC9"/>
    <w:rsid w:val="0029502B"/>
    <w:rsid w:val="00295495"/>
    <w:rsid w:val="002A31DE"/>
    <w:rsid w:val="002B2613"/>
    <w:rsid w:val="002D6D05"/>
    <w:rsid w:val="002F1818"/>
    <w:rsid w:val="002F567B"/>
    <w:rsid w:val="002F59D0"/>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A333E"/>
    <w:rsid w:val="005B5C64"/>
    <w:rsid w:val="005C5337"/>
    <w:rsid w:val="005C6BD0"/>
    <w:rsid w:val="005D1C8B"/>
    <w:rsid w:val="005D468D"/>
    <w:rsid w:val="005D5CED"/>
    <w:rsid w:val="005F1A4C"/>
    <w:rsid w:val="00605688"/>
    <w:rsid w:val="00606962"/>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67D7C"/>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97B"/>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421"/>
    <w:rsid w:val="008939CD"/>
    <w:rsid w:val="008B477F"/>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940D6"/>
    <w:rsid w:val="009B2C43"/>
    <w:rsid w:val="009B4EAE"/>
    <w:rsid w:val="009B7573"/>
    <w:rsid w:val="009C1870"/>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013E"/>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39F5"/>
    <w:rsid w:val="00C87FD8"/>
    <w:rsid w:val="00C91381"/>
    <w:rsid w:val="00C91CBB"/>
    <w:rsid w:val="00CB4E70"/>
    <w:rsid w:val="00CC09B6"/>
    <w:rsid w:val="00CC666F"/>
    <w:rsid w:val="00CD1E3F"/>
    <w:rsid w:val="00CE44F6"/>
    <w:rsid w:val="00CE49DA"/>
    <w:rsid w:val="00CE7B61"/>
    <w:rsid w:val="00D00095"/>
    <w:rsid w:val="00D0490D"/>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208C"/>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916F1E"/>
    <w:rsid w:val="061E35DE"/>
    <w:rsid w:val="066E0107"/>
    <w:rsid w:val="07996F6E"/>
    <w:rsid w:val="07DFD8BA"/>
    <w:rsid w:val="09867E8F"/>
    <w:rsid w:val="0A2032A3"/>
    <w:rsid w:val="0CA8290A"/>
    <w:rsid w:val="0D35B1ED"/>
    <w:rsid w:val="0E254B6B"/>
    <w:rsid w:val="0F98263C"/>
    <w:rsid w:val="101860EC"/>
    <w:rsid w:val="101F47CC"/>
    <w:rsid w:val="10C055FF"/>
    <w:rsid w:val="11694EBD"/>
    <w:rsid w:val="11772AA4"/>
    <w:rsid w:val="118107EC"/>
    <w:rsid w:val="12E24EE2"/>
    <w:rsid w:val="13D50BC4"/>
    <w:rsid w:val="14B17F78"/>
    <w:rsid w:val="165E0673"/>
    <w:rsid w:val="16B831D5"/>
    <w:rsid w:val="16BB723D"/>
    <w:rsid w:val="17E50567"/>
    <w:rsid w:val="186504BB"/>
    <w:rsid w:val="19A445FC"/>
    <w:rsid w:val="1BE8440E"/>
    <w:rsid w:val="1D155CEE"/>
    <w:rsid w:val="1D1638FE"/>
    <w:rsid w:val="1E312DEB"/>
    <w:rsid w:val="1E740ACF"/>
    <w:rsid w:val="1FF35744"/>
    <w:rsid w:val="1FF6BC77"/>
    <w:rsid w:val="2186353C"/>
    <w:rsid w:val="23860B96"/>
    <w:rsid w:val="240371BF"/>
    <w:rsid w:val="244F3473"/>
    <w:rsid w:val="24C97D99"/>
    <w:rsid w:val="25A718F0"/>
    <w:rsid w:val="25BB59F6"/>
    <w:rsid w:val="260F557C"/>
    <w:rsid w:val="26970054"/>
    <w:rsid w:val="281408E2"/>
    <w:rsid w:val="290872AC"/>
    <w:rsid w:val="29FD04D3"/>
    <w:rsid w:val="2BFF7BC6"/>
    <w:rsid w:val="2C8A61B5"/>
    <w:rsid w:val="2DF04E50"/>
    <w:rsid w:val="2E586DFA"/>
    <w:rsid w:val="2F040D46"/>
    <w:rsid w:val="2F6B035B"/>
    <w:rsid w:val="2FAE5751"/>
    <w:rsid w:val="2FB1A395"/>
    <w:rsid w:val="2FD9A7D8"/>
    <w:rsid w:val="2FDBF714"/>
    <w:rsid w:val="30AB6865"/>
    <w:rsid w:val="319F7F4E"/>
    <w:rsid w:val="32BD1EF1"/>
    <w:rsid w:val="3304709D"/>
    <w:rsid w:val="33A773CB"/>
    <w:rsid w:val="349D6851"/>
    <w:rsid w:val="36AA5135"/>
    <w:rsid w:val="36BE0DA7"/>
    <w:rsid w:val="376B6AA6"/>
    <w:rsid w:val="376D39B2"/>
    <w:rsid w:val="37E16F03"/>
    <w:rsid w:val="37F53A3B"/>
    <w:rsid w:val="389B6C89"/>
    <w:rsid w:val="38D469F0"/>
    <w:rsid w:val="39627CCD"/>
    <w:rsid w:val="397BAF1F"/>
    <w:rsid w:val="3AB79AF3"/>
    <w:rsid w:val="3AE834C0"/>
    <w:rsid w:val="3B7EF35A"/>
    <w:rsid w:val="3B9FDB6C"/>
    <w:rsid w:val="3BF5BC2F"/>
    <w:rsid w:val="3CEBA265"/>
    <w:rsid w:val="3D98207C"/>
    <w:rsid w:val="3DEE7CF3"/>
    <w:rsid w:val="3E740A63"/>
    <w:rsid w:val="3E78745D"/>
    <w:rsid w:val="3EE17838"/>
    <w:rsid w:val="3F55381A"/>
    <w:rsid w:val="3F7F7599"/>
    <w:rsid w:val="3FF4CAE0"/>
    <w:rsid w:val="3FF7B227"/>
    <w:rsid w:val="44E268DA"/>
    <w:rsid w:val="450D13D7"/>
    <w:rsid w:val="45506656"/>
    <w:rsid w:val="486A6C7A"/>
    <w:rsid w:val="4A627F82"/>
    <w:rsid w:val="4B0E749A"/>
    <w:rsid w:val="4B2477C4"/>
    <w:rsid w:val="4B4F25DA"/>
    <w:rsid w:val="4BE068DB"/>
    <w:rsid w:val="4D577224"/>
    <w:rsid w:val="4DBF1CEB"/>
    <w:rsid w:val="4DF0007C"/>
    <w:rsid w:val="4EAB630A"/>
    <w:rsid w:val="4ECE2238"/>
    <w:rsid w:val="4F833267"/>
    <w:rsid w:val="4FE9BD67"/>
    <w:rsid w:val="4FFB052F"/>
    <w:rsid w:val="537E6D0A"/>
    <w:rsid w:val="53F74C96"/>
    <w:rsid w:val="55170BA8"/>
    <w:rsid w:val="553218C9"/>
    <w:rsid w:val="567E1AA5"/>
    <w:rsid w:val="56E47B74"/>
    <w:rsid w:val="57175D52"/>
    <w:rsid w:val="57BD3DD4"/>
    <w:rsid w:val="5AF92295"/>
    <w:rsid w:val="5B250254"/>
    <w:rsid w:val="5BDD79E6"/>
    <w:rsid w:val="5BF561CA"/>
    <w:rsid w:val="5BFF5DFC"/>
    <w:rsid w:val="5CD71FC4"/>
    <w:rsid w:val="5D1F11B5"/>
    <w:rsid w:val="5D695134"/>
    <w:rsid w:val="5DAE1B18"/>
    <w:rsid w:val="5DE7D9E5"/>
    <w:rsid w:val="5ECEC941"/>
    <w:rsid w:val="5FBF9FF3"/>
    <w:rsid w:val="5FCD4E2C"/>
    <w:rsid w:val="5FEF394A"/>
    <w:rsid w:val="5FF67715"/>
    <w:rsid w:val="62BF3928"/>
    <w:rsid w:val="63B3701E"/>
    <w:rsid w:val="647F5392"/>
    <w:rsid w:val="65E66580"/>
    <w:rsid w:val="664B1D71"/>
    <w:rsid w:val="664B4E8E"/>
    <w:rsid w:val="67277B67"/>
    <w:rsid w:val="67AA3209"/>
    <w:rsid w:val="698D0931"/>
    <w:rsid w:val="6A7FE5F3"/>
    <w:rsid w:val="6B053271"/>
    <w:rsid w:val="6BDD78B3"/>
    <w:rsid w:val="6C4A05C8"/>
    <w:rsid w:val="6C8742B8"/>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E3355F"/>
    <w:rsid w:val="76FF5125"/>
    <w:rsid w:val="776F6FFA"/>
    <w:rsid w:val="778769C8"/>
    <w:rsid w:val="77A75DCA"/>
    <w:rsid w:val="77DC22F5"/>
    <w:rsid w:val="783E271A"/>
    <w:rsid w:val="78616DE9"/>
    <w:rsid w:val="78E875D7"/>
    <w:rsid w:val="79086DAD"/>
    <w:rsid w:val="79D7FD79"/>
    <w:rsid w:val="79EE5BA4"/>
    <w:rsid w:val="7A894339"/>
    <w:rsid w:val="7AD284E8"/>
    <w:rsid w:val="7AFF7572"/>
    <w:rsid w:val="7B6C7DFB"/>
    <w:rsid w:val="7BBFBED0"/>
    <w:rsid w:val="7BC3E394"/>
    <w:rsid w:val="7C1F3737"/>
    <w:rsid w:val="7CBFC87B"/>
    <w:rsid w:val="7CFE0F48"/>
    <w:rsid w:val="7D272ABC"/>
    <w:rsid w:val="7D7EC23E"/>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nhideWhenUsed="0" w:uiPriority="39" w:semiHidden="0" w:name="toc 2"/>
    <w:lsdException w:qFormat="1" w:unhideWhenUsed="0" w:uiPriority="99" w:semiHidden="0" w:name="toc 3"/>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nhideWhenUsed="0" w:uiPriority="99" w:name="footnote text"/>
    <w:lsdException w:uiPriority="99" w:name="annotation text"/>
    <w:lsdException w:qFormat="1" w:unhideWhenUsed="0" w:uiPriority="99"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19"/>
    <w:qFormat/>
    <w:uiPriority w:val="99"/>
    <w:pPr>
      <w:keepNext/>
      <w:keepLines/>
      <w:spacing w:before="340" w:after="330" w:line="578" w:lineRule="auto"/>
      <w:outlineLvl w:val="0"/>
    </w:pPr>
    <w:rPr>
      <w:b/>
      <w:bCs/>
      <w:kern w:val="44"/>
      <w:sz w:val="44"/>
      <w:szCs w:val="44"/>
    </w:rPr>
  </w:style>
  <w:style w:type="paragraph" w:styleId="6">
    <w:name w:val="heading 2"/>
    <w:basedOn w:val="1"/>
    <w:next w:val="1"/>
    <w:link w:val="20"/>
    <w:qFormat/>
    <w:uiPriority w:val="99"/>
    <w:pPr>
      <w:keepNext/>
      <w:keepLines/>
      <w:spacing w:before="260" w:after="260" w:line="416" w:lineRule="auto"/>
      <w:outlineLvl w:val="1"/>
    </w:pPr>
    <w:rPr>
      <w:rFonts w:ascii="Cambria" w:hAnsi="Cambria"/>
      <w:b/>
      <w:bCs/>
      <w:sz w:val="32"/>
      <w:szCs w:val="32"/>
    </w:rPr>
  </w:style>
  <w:style w:type="paragraph" w:styleId="7">
    <w:name w:val="heading 3"/>
    <w:basedOn w:val="1"/>
    <w:next w:val="1"/>
    <w:link w:val="21"/>
    <w:qFormat/>
    <w:uiPriority w:val="9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link w:val="22"/>
    <w:semiHidden/>
    <w:uiPriority w:val="99"/>
    <w:pPr>
      <w:snapToGrid w:val="0"/>
      <w:jc w:val="left"/>
    </w:pPr>
    <w:rPr>
      <w:sz w:val="18"/>
      <w:szCs w:val="18"/>
    </w:rPr>
  </w:style>
  <w:style w:type="paragraph" w:styleId="3">
    <w:name w:val="Body Text First Indent 2"/>
    <w:basedOn w:val="4"/>
    <w:link w:val="24"/>
    <w:qFormat/>
    <w:uiPriority w:val="99"/>
    <w:pPr>
      <w:ind w:firstLine="420" w:firstLineChars="200"/>
    </w:pPr>
  </w:style>
  <w:style w:type="paragraph" w:styleId="4">
    <w:name w:val="Body Text Indent"/>
    <w:basedOn w:val="1"/>
    <w:next w:val="3"/>
    <w:link w:val="23"/>
    <w:qFormat/>
    <w:uiPriority w:val="99"/>
    <w:pPr>
      <w:spacing w:after="120"/>
      <w:ind w:left="200" w:leftChars="200"/>
    </w:pPr>
    <w:rPr>
      <w:rFonts w:ascii="仿宋_GB2312"/>
      <w:szCs w:val="32"/>
    </w:rPr>
  </w:style>
  <w:style w:type="paragraph" w:styleId="8">
    <w:name w:val="Body Text"/>
    <w:basedOn w:val="1"/>
    <w:link w:val="32"/>
    <w:qFormat/>
    <w:uiPriority w:val="99"/>
    <w:pPr>
      <w:spacing w:beforeLines="30"/>
    </w:pPr>
    <w:rPr>
      <w:rFonts w:ascii="仿宋_GB2312" w:eastAsia="仿宋_GB2312"/>
      <w:kern w:val="0"/>
      <w:sz w:val="24"/>
      <w:szCs w:val="20"/>
    </w:rPr>
  </w:style>
  <w:style w:type="paragraph" w:styleId="9">
    <w:name w:val="toc 3"/>
    <w:basedOn w:val="1"/>
    <w:next w:val="1"/>
    <w:qFormat/>
    <w:uiPriority w:val="99"/>
    <w:pPr>
      <w:tabs>
        <w:tab w:val="right" w:leader="dot" w:pos="8296"/>
      </w:tabs>
      <w:ind w:left="840" w:leftChars="400"/>
    </w:pPr>
  </w:style>
  <w:style w:type="paragraph" w:styleId="10">
    <w:name w:val="Balloon Text"/>
    <w:basedOn w:val="1"/>
    <w:link w:val="26"/>
    <w:semiHidden/>
    <w:uiPriority w:val="99"/>
    <w:rPr>
      <w:sz w:val="18"/>
      <w:szCs w:val="18"/>
    </w:rPr>
  </w:style>
  <w:style w:type="paragraph" w:styleId="11">
    <w:name w:val="footer"/>
    <w:basedOn w:val="1"/>
    <w:link w:val="31"/>
    <w:uiPriority w:val="99"/>
    <w:pPr>
      <w:tabs>
        <w:tab w:val="center" w:pos="4153"/>
        <w:tab w:val="right" w:pos="8306"/>
      </w:tabs>
      <w:snapToGrid w:val="0"/>
      <w:jc w:val="left"/>
    </w:pPr>
    <w:rPr>
      <w:rFonts w:ascii="Calibri" w:hAnsi="Calibri"/>
      <w:kern w:val="0"/>
      <w:sz w:val="18"/>
      <w:szCs w:val="20"/>
    </w:rPr>
  </w:style>
  <w:style w:type="paragraph" w:styleId="12">
    <w:name w:val="header"/>
    <w:basedOn w:val="1"/>
    <w:link w:val="30"/>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3">
    <w:name w:val="toc 1"/>
    <w:basedOn w:val="1"/>
    <w:next w:val="1"/>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iPriority w:val="39"/>
    <w:pPr>
      <w:tabs>
        <w:tab w:val="right" w:leader="dot" w:pos="8296"/>
      </w:tabs>
      <w:ind w:left="420" w:leftChars="200"/>
    </w:pPr>
  </w:style>
  <w:style w:type="character" w:styleId="17">
    <w:name w:val="Strong"/>
    <w:basedOn w:val="16"/>
    <w:qFormat/>
    <w:uiPriority w:val="99"/>
    <w:rPr>
      <w:rFonts w:cs="Times New Roman"/>
      <w:b/>
    </w:rPr>
  </w:style>
  <w:style w:type="character" w:styleId="18">
    <w:name w:val="Hyperlink"/>
    <w:basedOn w:val="16"/>
    <w:qFormat/>
    <w:uiPriority w:val="99"/>
    <w:rPr>
      <w:rFonts w:cs="Times New Roman"/>
      <w:color w:val="0000FF"/>
      <w:u w:val="single"/>
    </w:rPr>
  </w:style>
  <w:style w:type="character" w:customStyle="1" w:styleId="19">
    <w:name w:val="标题 1 Char"/>
    <w:basedOn w:val="16"/>
    <w:link w:val="5"/>
    <w:qFormat/>
    <w:locked/>
    <w:uiPriority w:val="99"/>
    <w:rPr>
      <w:rFonts w:ascii="Times New Roman" w:hAnsi="Times New Roman" w:cs="Times New Roman"/>
      <w:b/>
      <w:bCs/>
      <w:kern w:val="44"/>
      <w:sz w:val="44"/>
      <w:szCs w:val="44"/>
    </w:rPr>
  </w:style>
  <w:style w:type="character" w:customStyle="1" w:styleId="20">
    <w:name w:val="标题 2 Char"/>
    <w:basedOn w:val="16"/>
    <w:link w:val="6"/>
    <w:locked/>
    <w:uiPriority w:val="99"/>
    <w:rPr>
      <w:rFonts w:ascii="Cambria" w:hAnsi="Cambria" w:eastAsia="宋体" w:cs="Times New Roman"/>
      <w:b/>
      <w:bCs/>
      <w:kern w:val="2"/>
      <w:sz w:val="32"/>
      <w:szCs w:val="32"/>
    </w:rPr>
  </w:style>
  <w:style w:type="character" w:customStyle="1" w:styleId="21">
    <w:name w:val="标题 3 Char"/>
    <w:basedOn w:val="16"/>
    <w:link w:val="7"/>
    <w:qFormat/>
    <w:locked/>
    <w:uiPriority w:val="99"/>
    <w:rPr>
      <w:rFonts w:ascii="Times New Roman" w:hAnsi="Times New Roman" w:cs="Times New Roman"/>
      <w:b/>
      <w:bCs/>
      <w:kern w:val="2"/>
      <w:sz w:val="32"/>
      <w:szCs w:val="32"/>
    </w:rPr>
  </w:style>
  <w:style w:type="character" w:customStyle="1" w:styleId="22">
    <w:name w:val="脚注文本 Char"/>
    <w:basedOn w:val="16"/>
    <w:link w:val="2"/>
    <w:semiHidden/>
    <w:qFormat/>
    <w:uiPriority w:val="99"/>
    <w:rPr>
      <w:rFonts w:ascii="Times New Roman" w:hAnsi="Times New Roman"/>
      <w:sz w:val="18"/>
      <w:szCs w:val="18"/>
    </w:rPr>
  </w:style>
  <w:style w:type="character" w:customStyle="1" w:styleId="23">
    <w:name w:val="正文文本缩进 Char"/>
    <w:basedOn w:val="16"/>
    <w:link w:val="4"/>
    <w:semiHidden/>
    <w:uiPriority w:val="99"/>
    <w:rPr>
      <w:rFonts w:ascii="Times New Roman" w:hAnsi="Times New Roman"/>
      <w:szCs w:val="24"/>
    </w:rPr>
  </w:style>
  <w:style w:type="character" w:customStyle="1" w:styleId="24">
    <w:name w:val="正文首行缩进 2 Char"/>
    <w:basedOn w:val="23"/>
    <w:link w:val="3"/>
    <w:semiHidden/>
    <w:uiPriority w:val="99"/>
    <w:rPr>
      <w:rFonts w:ascii="Times New Roman" w:hAnsi="Times New Roman"/>
      <w:szCs w:val="24"/>
    </w:rPr>
  </w:style>
  <w:style w:type="character" w:customStyle="1" w:styleId="25">
    <w:name w:val="Body Text Char"/>
    <w:basedOn w:val="16"/>
    <w:semiHidden/>
    <w:qFormat/>
    <w:uiPriority w:val="99"/>
    <w:rPr>
      <w:rFonts w:ascii="Times New Roman" w:hAnsi="Times New Roman" w:cs="Times New Roman"/>
      <w:sz w:val="24"/>
      <w:szCs w:val="24"/>
    </w:rPr>
  </w:style>
  <w:style w:type="character" w:customStyle="1" w:styleId="26">
    <w:name w:val="批注框文本 Char"/>
    <w:basedOn w:val="16"/>
    <w:link w:val="10"/>
    <w:semiHidden/>
    <w:qFormat/>
    <w:locked/>
    <w:uiPriority w:val="99"/>
    <w:rPr>
      <w:rFonts w:ascii="Times New Roman" w:hAnsi="Times New Roman" w:cs="Times New Roman"/>
      <w:kern w:val="2"/>
      <w:sz w:val="18"/>
      <w:szCs w:val="18"/>
    </w:rPr>
  </w:style>
  <w:style w:type="character" w:customStyle="1" w:styleId="27">
    <w:name w:val="Footer Char"/>
    <w:basedOn w:val="16"/>
    <w:semiHidden/>
    <w:uiPriority w:val="99"/>
    <w:rPr>
      <w:rFonts w:ascii="Times New Roman" w:hAnsi="Times New Roman" w:cs="Times New Roman"/>
      <w:sz w:val="18"/>
      <w:szCs w:val="18"/>
    </w:rPr>
  </w:style>
  <w:style w:type="character" w:customStyle="1" w:styleId="28">
    <w:name w:val="Header Char"/>
    <w:basedOn w:val="16"/>
    <w:semiHidden/>
    <w:uiPriority w:val="99"/>
    <w:rPr>
      <w:rFonts w:ascii="Times New Roman" w:hAnsi="Times New Roman" w:cs="Times New Roman"/>
      <w:sz w:val="18"/>
      <w:szCs w:val="18"/>
    </w:rPr>
  </w:style>
  <w:style w:type="paragraph" w:customStyle="1" w:styleId="29">
    <w:name w:val="标题 5（有编号）（绿盟科技）"/>
    <w:next w:val="1"/>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30">
    <w:name w:val="页眉 Char"/>
    <w:link w:val="12"/>
    <w:semiHidden/>
    <w:qFormat/>
    <w:locked/>
    <w:uiPriority w:val="99"/>
    <w:rPr>
      <w:sz w:val="18"/>
    </w:rPr>
  </w:style>
  <w:style w:type="character" w:customStyle="1" w:styleId="31">
    <w:name w:val="页脚 Char"/>
    <w:link w:val="11"/>
    <w:qFormat/>
    <w:locked/>
    <w:uiPriority w:val="99"/>
    <w:rPr>
      <w:sz w:val="18"/>
    </w:rPr>
  </w:style>
  <w:style w:type="character" w:customStyle="1" w:styleId="32">
    <w:name w:val="正文文本 Char"/>
    <w:link w:val="8"/>
    <w:qFormat/>
    <w:locked/>
    <w:uiPriority w:val="99"/>
    <w:rPr>
      <w:rFonts w:ascii="仿宋_GB2312" w:hAnsi="Times New Roman" w:eastAsia="仿宋_GB2312"/>
      <w:sz w:val="24"/>
    </w:rPr>
  </w:style>
  <w:style w:type="paragraph" w:customStyle="1" w:styleId="33">
    <w:name w:val="Defaul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styleId="34">
    <w:name w:val="List Paragraph"/>
    <w:basedOn w:val="1"/>
    <w:qFormat/>
    <w:uiPriority w:val="99"/>
    <w:pPr>
      <w:ind w:firstLine="420" w:firstLineChars="200"/>
    </w:pPr>
  </w:style>
  <w:style w:type="paragraph" w:customStyle="1" w:styleId="35">
    <w:name w:val="TOC 标题1"/>
    <w:basedOn w:val="5"/>
    <w:next w:val="1"/>
    <w:uiPriority w:val="99"/>
    <w:pPr>
      <w:widowControl/>
      <w:spacing w:before="480" w:after="0" w:line="276" w:lineRule="auto"/>
      <w:jc w:val="left"/>
      <w:outlineLvl w:val="9"/>
    </w:pPr>
    <w:rPr>
      <w:rFonts w:ascii="Cambria" w:hAnsi="Cambria"/>
      <w:color w:val="365F91"/>
      <w:kern w:val="0"/>
      <w:sz w:val="28"/>
      <w:szCs w:val="28"/>
    </w:rPr>
  </w:style>
  <w:style w:type="paragraph" w:customStyle="1" w:styleId="36">
    <w:name w:val="TOC Heading1"/>
    <w:basedOn w:val="5"/>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37">
    <w:name w:val="四号正文"/>
    <w:basedOn w:val="1"/>
    <w:qFormat/>
    <w:uiPriority w:val="99"/>
    <w:pPr>
      <w:spacing w:line="360" w:lineRule="auto"/>
    </w:pPr>
    <w:rPr>
      <w:rFonts w:ascii="??" w:hAnsi="??"/>
      <w:color w:val="000000"/>
      <w:kern w:val="0"/>
      <w:sz w:val="28"/>
      <w:szCs w:val="21"/>
      <w:lang w:val="zh-CN"/>
    </w:rPr>
  </w:style>
  <w:style w:type="character" w:customStyle="1" w:styleId="38">
    <w:name w:val="23"/>
    <w:uiPriority w:val="99"/>
    <w:rPr>
      <w:rFonts w:ascii="Times New Roman" w:hAnsi="Times New Roman" w:cs="Times New Roman"/>
      <w:b/>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四川省财政厅</Company>
  <Pages>24</Pages>
  <Words>8880</Words>
  <Characters>9404</Characters>
  <Lines>68</Lines>
  <Paragraphs>19</Paragraphs>
  <TotalTime>1</TotalTime>
  <ScaleCrop>false</ScaleCrop>
  <LinksUpToDate>false</LinksUpToDate>
  <CharactersWithSpaces>9467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2025-10-17T07:28:00Z</dcterms:created>
  <dc:creator>曹颖</dc:creator>
  <cp:lastModifiedBy>我想婧婧</cp:lastModifiedBy>
  <cp:lastPrinted>2025-08-06T17:34:00Z</cp:lastPrinted>
  <dcterms:modified xsi:type="dcterms:W3CDTF">2026-03-12T08:46:39Z</dcterms:modified>
  <dc:title>四川省***</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04787F2533EB45DC91BCDE4AB213247F</vt:lpwstr>
  </property>
  <property fmtid="{D5CDD505-2E9C-101B-9397-08002B2CF9AE}" pid="4" name="KSOTemplateDocerSaveRecord">
    <vt:lpwstr>eyJoZGlkIjoiNTZjZmM5NGU0YWJjMDIyOTRjMjg5MzhmMDg4OGE1MWUiLCJ1c2VySWQiOiI3NDIyMTU4MjgifQ==</vt:lpwstr>
  </property>
</Properties>
</file>