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color w:val="000000"/>
          <w:sz w:val="72"/>
          <w:szCs w:val="72"/>
        </w:rPr>
      </w:pPr>
      <w:bookmarkStart w:id="0" w:name="_Toc15396475"/>
      <w:bookmarkStart w:id="1" w:name="_Toc15377193"/>
      <w:bookmarkStart w:id="2" w:name="_Toc15377425"/>
      <w:bookmarkStart w:id="3" w:name="_Toc15396597"/>
      <w:bookmarkStart w:id="4" w:name="_Toc15378441"/>
      <w:bookmarkStart w:id="5" w:name="_Toc15396599"/>
      <w:bookmarkStart w:id="6" w:name="_Toc15377196"/>
      <w:r>
        <w:rPr>
          <w:rFonts w:ascii="黑体" w:eastAsia="黑体"/>
          <w:color w:val="000000"/>
          <w:sz w:val="72"/>
          <w:szCs w:val="72"/>
        </w:rPr>
        <w:t>201</w:t>
      </w:r>
      <w:r>
        <w:rPr>
          <w:rFonts w:ascii="黑体" w:eastAsia="黑体" w:hint="eastAsia"/>
          <w:color w:val="000000"/>
          <w:sz w:val="72"/>
          <w:szCs w:val="72"/>
        </w:rPr>
        <w:t>9</w:t>
      </w:r>
      <w:r>
        <w:rPr>
          <w:rFonts w:ascii="方正小标宋简体" w:eastAsia="方正小标宋简体" w:hint="eastAsia"/>
          <w:color w:val="000000"/>
          <w:sz w:val="72"/>
          <w:szCs w:val="72"/>
        </w:rPr>
        <w:t>年度</w:t>
      </w:r>
      <w:bookmarkStart w:id="7" w:name="_Toc15377194"/>
      <w:bookmarkStart w:id="8" w:name="_Toc15377426"/>
      <w:bookmarkStart w:id="9" w:name="_Toc15378442"/>
      <w:bookmarkStart w:id="10" w:name="_Toc15396598"/>
      <w:bookmarkStart w:id="11" w:name="_Toc15396476"/>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四川省</w:t>
      </w:r>
      <w:bookmarkStart w:id="12" w:name="_Toc15306268"/>
      <w:r>
        <w:rPr>
          <w:rFonts w:ascii="方正小标宋简体" w:eastAsia="方正小标宋简体" w:hint="eastAsia"/>
          <w:color w:val="000000"/>
          <w:sz w:val="72"/>
          <w:szCs w:val="72"/>
        </w:rPr>
        <w:t>九寨沟县</w:t>
      </w:r>
    </w:p>
    <w:p>
      <w:pPr>
        <w:adjustRightInd w:val="0"/>
        <w:snapToGrid w:val="0"/>
        <w:spacing w:line="360" w:lineRule="auto"/>
        <w:jc w:val="center"/>
        <w:outlineLvl w:val="0"/>
        <w:rPr>
          <w:rFonts w:ascii="方正小标宋简体" w:eastAsia="方正小标宋简体"/>
          <w:color w:val="000000"/>
          <w:sz w:val="44"/>
          <w:szCs w:val="44"/>
        </w:rPr>
      </w:pPr>
      <w:r>
        <w:rPr>
          <w:rFonts w:ascii="方正小标宋简体" w:eastAsia="方正小标宋简体" w:hint="eastAsia"/>
          <w:color w:val="000000"/>
          <w:sz w:val="72"/>
          <w:szCs w:val="72"/>
        </w:rPr>
        <w:t>总工会决算</w:t>
      </w:r>
      <w:bookmarkEnd w:id="7"/>
      <w:bookmarkEnd w:id="8"/>
      <w:bookmarkEnd w:id="9"/>
      <w:bookmarkEnd w:id="10"/>
      <w:bookmarkEnd w:id="11"/>
      <w:bookmarkEnd w:id="12"/>
      <w:r>
        <w:rPr>
          <w:rFonts w:ascii="方正小标宋简体" w:eastAsia="方正小标宋简体" w:hint="eastAsia"/>
          <w:color w:val="000000"/>
          <w:sz w:val="72"/>
          <w:szCs w:val="72"/>
        </w:rPr>
        <w:t>公开</w:t>
      </w:r>
    </w:p>
    <w:p>
      <w:pPr>
        <w:widowControl/>
        <w:jc w:val="center"/>
        <w:rPr>
          <w:rFonts w:ascii="黑体" w:eastAsia="黑体" w:cs="黑体"/>
          <w:sz w:val="28"/>
          <w:szCs w:val="28"/>
        </w:rPr>
      </w:pPr>
      <w:bookmarkEnd w:id="5"/>
      <w:bookmarkEnd w:id="6"/>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pStyle w:val="22"/>
        <w:tabs>
          <w:tab w:val="right" w:leader="dot" w:pos="8296"/>
        </w:tabs>
      </w:pPr>
    </w:p>
    <w:p>
      <w:pPr>
        <w:autoSpaceDE w:val="0"/>
        <w:autoSpaceDN w:val="0"/>
        <w:adjustRightInd w:val="0"/>
        <w:ind w:firstLine="1276"/>
        <w:jc w:val="left"/>
        <w:rPr>
          <w:rFonts w:ascii="仿宋" w:eastAsia="仿宋" w:cs="仿宋"/>
          <w:sz w:val="32"/>
          <w:szCs w:val="32"/>
        </w:rPr>
      </w:pPr>
      <w:r>
        <w:rPr>
          <w:rFonts w:ascii="仿宋" w:eastAsia="仿宋" w:cs="仿宋" w:hint="eastAsia"/>
          <w:sz w:val="32"/>
          <w:szCs w:val="32"/>
        </w:rPr>
        <w:t>保密审查情况：已审查，内容审定</w:t>
      </w:r>
    </w:p>
    <w:p>
      <w:pPr>
        <w:autoSpaceDE w:val="0"/>
        <w:autoSpaceDN w:val="0"/>
        <w:adjustRightInd w:val="0"/>
        <w:ind w:firstLine="1276"/>
        <w:jc w:val="left"/>
        <w:rPr>
          <w:rFonts w:ascii="仿宋" w:eastAsia="仿宋" w:cs="仿宋"/>
          <w:sz w:val="32"/>
          <w:szCs w:val="32"/>
        </w:rPr>
      </w:pPr>
      <w:r>
        <w:rPr>
          <w:rFonts w:ascii="仿宋" w:eastAsia="仿宋" w:cs="仿宋" w:hint="eastAsia"/>
          <w:sz w:val="32"/>
          <w:szCs w:val="32"/>
        </w:rPr>
        <w:t>部门主要负责人审签情况：已审签，同意对外公开</w:t>
      </w:r>
    </w:p>
    <w:p>
      <w:pPr>
        <w:pStyle w:val="22"/>
        <w:tabs>
          <w:tab w:val="right" w:leader="dot" w:pos="8296"/>
        </w:tabs>
        <w:rPr>
          <w:rFonts w:cs="仿宋"/>
          <w:sz w:val="32"/>
          <w:szCs w:val="32"/>
        </w:rPr>
      </w:pPr>
      <w:r>
        <w:rPr>
          <w:rFonts w:cs="仿宋" w:hint="eastAsia"/>
          <w:sz w:val="32"/>
          <w:szCs w:val="32"/>
        </w:rPr>
        <w:br w:type="page"/>
      </w:r>
    </w:p>
    <w:p>
      <w:pPr>
        <w:widowControl/>
        <w:jc w:val="center"/>
        <w:rPr>
          <w:rFonts w:ascii="黑体" w:eastAsia="黑体"/>
          <w:color w:val="000000"/>
          <w:sz w:val="48"/>
          <w:szCs w:val="48"/>
        </w:rPr>
      </w:pPr>
      <w:r>
        <w:rPr>
          <w:rFonts w:ascii="黑体" w:eastAsia="黑体" w:hint="eastAsia"/>
          <w:color w:val="000000"/>
          <w:sz w:val="48"/>
          <w:szCs w:val="48"/>
        </w:rPr>
        <w:t>目录</w:t>
      </w:r>
    </w:p>
    <w:p>
      <w:pPr>
        <w:widowControl/>
        <w:jc w:val="center"/>
        <w:rPr>
          <w:rFonts w:ascii="仿宋" w:eastAsia="仿宋" w:cs="仿宋"/>
          <w:sz w:val="32"/>
          <w:szCs w:val="32"/>
        </w:rPr>
      </w:pPr>
      <w:r>
        <w:rPr>
          <w:rFonts w:ascii="仿宋" w:eastAsia="仿宋" w:cs="仿宋" w:hint="eastAsia"/>
          <w:sz w:val="32"/>
          <w:szCs w:val="32"/>
        </w:rPr>
        <w:t>公开时间：2020年8月25日</w:t>
      </w:r>
    </w:p>
    <w:p/>
    <w:p>
      <w:pPr>
        <w:pStyle w:val="22"/>
        <w:tabs>
          <w:tab w:val="right" w:leader="dot" w:pos="8296"/>
        </w:tabs>
        <w:rPr>
          <w:rFonts w:cs="黑体"/>
        </w:rPr>
      </w:pPr>
      <w:r>
        <w:fldChar w:fldCharType="begin"/>
      </w:r>
      <w:r>
        <w:instrText>Hyperlink \l "_Toc15396599"</w:instrText>
      </w:r>
      <w:r>
        <w:fldChar w:fldCharType="separate"/>
      </w:r>
      <w:r>
        <w:rPr>
          <w:rFonts w:hint="eastAsia"/>
        </w:rPr>
        <w:t>第一部分部门概况</w:t>
      </w:r>
      <w:r>
        <w:tab/>
      </w:r>
      <w:r>
        <w:rPr>
          <w:rFonts w:hint="eastAsia"/>
        </w:rPr>
        <w:t>4</w:t>
      </w:r>
      <w:r>
        <w:fldChar w:fldCharType="end"/>
      </w:r>
    </w:p>
    <w:p>
      <w:pPr>
        <w:pStyle w:val="23"/>
        <w:tabs>
          <w:tab w:val="right" w:leader="dot" w:pos="8296"/>
        </w:tabs>
        <w:rPr>
          <w:rFonts w:ascii="仿宋" w:eastAsia="仿宋" w:cs="黑体"/>
          <w:sz w:val="28"/>
          <w:szCs w:val="28"/>
        </w:rPr>
      </w:pPr>
      <w:r>
        <w:fldChar w:fldCharType="begin"/>
      </w:r>
      <w:r>
        <w:instrText>Hyperlink \l "_Toc15396600"</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fldChar w:fldCharType="end"/>
      </w:r>
    </w:p>
    <w:p>
      <w:pPr>
        <w:pStyle w:val="23"/>
        <w:tabs>
          <w:tab w:val="right" w:leader="dot" w:pos="8296"/>
        </w:tabs>
        <w:rPr>
          <w:rFonts w:ascii="仿宋" w:eastAsia="仿宋" w:cs="黑体"/>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_Toc15396601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fldChar w:fldCharType="end"/>
      </w:r>
    </w:p>
    <w:p>
      <w:pPr>
        <w:pStyle w:val="22"/>
        <w:tabs>
          <w:tab w:val="right" w:leader="dot" w:pos="8296"/>
        </w:tabs>
      </w:pPr>
      <w:r>
        <w:fldChar w:fldCharType="begin"/>
      </w:r>
      <w:r>
        <w:instrText>Hyperlink \l "_Toc15396602"</w:instrText>
      </w:r>
      <w:r>
        <w:fldChar w:fldCharType="separate"/>
      </w:r>
      <w:r>
        <w:rPr>
          <w:rFonts w:hint="eastAsia"/>
        </w:rPr>
        <w:t>第二部分</w:t>
      </w:r>
      <w:r>
        <w:t xml:space="preserve"> 201</w:t>
      </w:r>
      <w:r>
        <w:rPr>
          <w:rFonts w:hint="eastAsia"/>
        </w:rPr>
        <w:t>9年度部门决算情况说明</w:t>
      </w:r>
      <w:r>
        <w:tab/>
      </w:r>
      <w:r>
        <w:fldChar w:fldCharType="begin"/>
      </w:r>
      <w:r>
        <w:instrText xml:space="preserve"> PAGEREF _Toc15396602 \h </w:instrText>
      </w:r>
      <w:r>
        <w:fldChar w:fldCharType="separate"/>
      </w:r>
      <w:r>
        <w:t>9</w:t>
      </w:r>
      <w: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"_Toc15396603"</w:instrText>
      </w:r>
      <w:r>
        <w:fldChar w:fldCharType="separate"/>
      </w:r>
      <w:r>
        <w:rPr>
          <w:rFonts w:ascii="仿宋" w:eastAsia="仿宋" w:cs="黑体" w:hint="eastAsia"/>
          <w:bCs/>
          <w:sz w:val="28"/>
          <w:szCs w:val="28"/>
        </w:rPr>
        <w:t>一、</w:t>
      </w:r>
      <w:r>
        <w:rPr>
          <w:rFonts w:ascii="仿宋" w:eastAsia="仿宋" w:hint="eastAsia"/>
          <w:sz w:val="28"/>
          <w:szCs w:val="28"/>
        </w:rPr>
        <w:t>收</w:t>
      </w:r>
      <w:r>
        <w:rPr>
          <w:rFonts w:ascii="仿宋" w:eastAsia="仿宋" w:cs="黑体" w:hint="eastAsia"/>
          <w:bCs/>
          <w:sz w:val="28"/>
          <w:szCs w:val="28"/>
        </w:rPr>
        <w:t>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_Toc15396603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"_Toc15396604"</w:instrText>
      </w:r>
      <w:r>
        <w:fldChar w:fldCharType="separate"/>
      </w:r>
      <w:r>
        <w:rPr>
          <w:rFonts w:ascii="仿宋" w:eastAsia="仿宋" w:cs="黑体" w:hint="eastAsia"/>
          <w:bCs/>
          <w:sz w:val="28"/>
          <w:szCs w:val="28"/>
        </w:rPr>
        <w:t>二、</w:t>
      </w:r>
      <w:r>
        <w:rPr>
          <w:rFonts w:ascii="仿宋" w:eastAsia="仿宋" w:hint="eastAsia"/>
          <w:sz w:val="28"/>
          <w:szCs w:val="28"/>
        </w:rPr>
        <w:t>收</w:t>
      </w:r>
      <w:r>
        <w:rPr>
          <w:rFonts w:ascii="仿宋" w:eastAsia="仿宋" w:cs="黑体" w:hint="eastAsia"/>
          <w:bCs/>
          <w:sz w:val="28"/>
          <w:szCs w:val="28"/>
        </w:rPr>
        <w:t>入决算情况说明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_Toc15396604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"_Toc15396605"</w:instrText>
      </w:r>
      <w:r>
        <w:fldChar w:fldCharType="separate"/>
      </w:r>
      <w:r>
        <w:rPr>
          <w:rFonts w:ascii="仿宋" w:eastAsia="仿宋" w:cs="黑体" w:hint="eastAsia"/>
          <w:bCs/>
          <w:sz w:val="28"/>
          <w:szCs w:val="28"/>
        </w:rPr>
        <w:t>三、</w:t>
      </w:r>
      <w:r>
        <w:rPr>
          <w:rFonts w:ascii="仿宋" w:eastAsia="仿宋" w:hint="eastAsia"/>
          <w:sz w:val="28"/>
          <w:szCs w:val="28"/>
        </w:rPr>
        <w:t>支</w:t>
      </w:r>
      <w:r>
        <w:rPr>
          <w:rFonts w:ascii="仿宋" w:eastAsia="仿宋" w:cs="黑体" w:hint="eastAsia"/>
          <w:bCs/>
          <w:sz w:val="28"/>
          <w:szCs w:val="28"/>
        </w:rPr>
        <w:t>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_Toc15396605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"_Toc15396606"</w:instrText>
      </w:r>
      <w:r>
        <w:fldChar w:fldCharType="separate"/>
      </w:r>
      <w:r>
        <w:rPr>
          <w:rFonts w:ascii="仿宋" w:eastAsia="仿宋" w:hint="eastAsia"/>
          <w:sz w:val="28"/>
          <w:szCs w:val="28"/>
        </w:rPr>
        <w:t>四、财</w:t>
      </w:r>
      <w:r>
        <w:rPr>
          <w:rFonts w:ascii="仿宋" w:eastAsia="仿宋" w:cs="黑体" w:hint="eastAsia"/>
          <w:bCs/>
          <w:sz w:val="28"/>
          <w:szCs w:val="28"/>
        </w:rPr>
        <w:t>政拨款收入支出决算总体情况说明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_Toc15396606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"_Toc15396607"</w:instrText>
      </w:r>
      <w:r>
        <w:fldChar w:fldCharType="separate"/>
      </w:r>
      <w:r>
        <w:rPr>
          <w:rFonts w:ascii="仿宋" w:eastAsia="仿宋" w:hint="eastAsia"/>
          <w:sz w:val="28"/>
          <w:szCs w:val="28"/>
        </w:rPr>
        <w:t>五、一</w:t>
      </w:r>
      <w:r>
        <w:rPr>
          <w:rFonts w:ascii="仿宋" w:eastAsia="仿宋" w:cs="黑体" w:hint="eastAsia"/>
          <w:bCs/>
          <w:sz w:val="28"/>
          <w:szCs w:val="28"/>
        </w:rPr>
        <w:t>般公共预算财政拨款支出决算情况说明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_Toc15396607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"_Toc15396608"</w:instrText>
      </w:r>
      <w:r>
        <w:fldChar w:fldCharType="separate"/>
      </w:r>
      <w:r>
        <w:rPr>
          <w:rFonts w:ascii="仿宋" w:eastAsia="仿宋" w:hint="eastAsia"/>
          <w:sz w:val="28"/>
          <w:szCs w:val="28"/>
        </w:rPr>
        <w:t>六、一</w:t>
      </w:r>
      <w:r>
        <w:rPr>
          <w:rFonts w:ascii="仿宋" w:eastAsia="仿宋" w:cs="黑体" w:hint="eastAsia"/>
          <w:bCs/>
          <w:sz w:val="28"/>
          <w:szCs w:val="28"/>
        </w:rPr>
        <w:t>般公共预算财政拨款基本支出决算情况说明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_Toc15396608 \h </w:instrText>
      </w:r>
      <w:r>
        <w:rPr>
          <w:rFonts w:ascii="仿宋" w:eastAsia="仿宋"/>
          <w:sz w:val="28"/>
          <w:szCs w:val="28"/>
        </w:rPr>
        <w:fldChar w:fldCharType="separate"/>
      </w:r>
      <w:r>
        <w:rPr>
          <w:rFonts w:ascii="仿宋" w:eastAsia="仿宋"/>
          <w:sz w:val="28"/>
          <w:szCs w:val="28"/>
        </w:rPr>
        <w:t>11</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"_Toc15396609"</w:instrText>
      </w:r>
      <w:r>
        <w:fldChar w:fldCharType="separate"/>
      </w:r>
      <w:r>
        <w:rPr>
          <w:rFonts w:ascii="仿宋" w:eastAsia="仿宋" w:hint="eastAsia"/>
          <w:sz w:val="28"/>
          <w:szCs w:val="28"/>
        </w:rPr>
        <w:t>七、</w:t>
      </w:r>
      <w:r>
        <w:rPr>
          <w:rFonts w:ascii="仿宋" w:eastAsia="仿宋"/>
          <w:sz w:val="28"/>
          <w:szCs w:val="28"/>
        </w:rPr>
        <w:t>“</w:t>
      </w:r>
      <w:r>
        <w:rPr>
          <w:rFonts w:ascii="仿宋" w:eastAsia="仿宋" w:cs="黑体" w:hint="eastAsia"/>
          <w:bCs/>
          <w:sz w:val="28"/>
          <w:szCs w:val="28"/>
        </w:rPr>
        <w:t>三公”经费财政拨款支出决算情况说明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_Toc15396609 \h </w:instrText>
      </w:r>
      <w:r>
        <w:rPr>
          <w:rFonts w:ascii="仿宋" w:eastAsia="仿宋"/>
          <w:sz w:val="28"/>
          <w:szCs w:val="28"/>
        </w:rPr>
        <w:fldChar w:fldCharType="separate"/>
      </w:r>
      <w:r>
        <w:rPr>
          <w:rFonts w:ascii="仿宋" w:eastAsia="仿宋"/>
          <w:sz w:val="28"/>
          <w:szCs w:val="28"/>
        </w:rPr>
        <w:t>12</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"_Toc15396610"</w:instrText>
      </w:r>
      <w:r>
        <w:fldChar w:fldCharType="separate"/>
      </w:r>
      <w:r>
        <w:rPr>
          <w:rFonts w:ascii="仿宋" w:eastAsia="仿宋" w:hint="eastAsia"/>
          <w:sz w:val="28"/>
          <w:szCs w:val="28"/>
        </w:rPr>
        <w:t>八、</w:t>
      </w:r>
      <w:r>
        <w:rPr>
          <w:rFonts w:ascii="仿宋" w:eastAsia="仿宋" w:cs="黑体" w:hint="eastAsia"/>
          <w:bCs/>
          <w:sz w:val="28"/>
          <w:szCs w:val="28"/>
        </w:rPr>
        <w:t>政府性基金预算支出决算情况说明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_Toc15396610 \h </w:instrText>
      </w:r>
      <w:r>
        <w:rPr>
          <w:rFonts w:ascii="仿宋" w:eastAsia="仿宋"/>
          <w:sz w:val="28"/>
          <w:szCs w:val="28"/>
        </w:rPr>
        <w:fldChar w:fldCharType="separate"/>
      </w:r>
      <w:r>
        <w:rPr>
          <w:rFonts w:ascii="仿宋" w:eastAsia="仿宋"/>
          <w:sz w:val="28"/>
          <w:szCs w:val="28"/>
        </w:rPr>
        <w:t>14</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"_Toc15396611"</w:instrText>
      </w:r>
      <w:r>
        <w:fldChar w:fldCharType="separate"/>
      </w:r>
      <w:r>
        <w:rPr>
          <w:rFonts w:ascii="仿宋" w:eastAsia="仿宋" w:cs="黑体" w:hint="eastAsia"/>
          <w:bCs/>
          <w:sz w:val="28"/>
          <w:szCs w:val="28"/>
        </w:rPr>
        <w:t>九、</w:t>
      </w:r>
      <w:r>
        <w:rPr>
          <w:rFonts w:ascii="仿宋" w:eastAsia="仿宋" w:hint="eastAsia"/>
          <w:sz w:val="28"/>
          <w:szCs w:val="28"/>
        </w:rPr>
        <w:t xml:space="preserve"> 国</w:t>
      </w:r>
      <w:r>
        <w:rPr>
          <w:rFonts w:ascii="仿宋" w:eastAsia="仿宋" w:cs="黑体" w:hint="eastAsia"/>
          <w:bCs/>
          <w:sz w:val="28"/>
          <w:szCs w:val="28"/>
        </w:rPr>
        <w:t>有资本经营预算支出决算情况说明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_Toc15396611 \h </w:instrText>
      </w:r>
      <w:r>
        <w:rPr>
          <w:rFonts w:ascii="仿宋" w:eastAsia="仿宋"/>
          <w:sz w:val="28"/>
          <w:szCs w:val="28"/>
        </w:rPr>
        <w:fldChar w:fldCharType="separate"/>
      </w:r>
      <w:r>
        <w:rPr>
          <w:rFonts w:ascii="仿宋" w:eastAsia="仿宋"/>
          <w:sz w:val="28"/>
          <w:szCs w:val="28"/>
        </w:rPr>
        <w:t>14</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"_Toc15396612"</w:instrText>
      </w:r>
      <w:r>
        <w:fldChar w:fldCharType="separate"/>
      </w:r>
      <w:r>
        <w:rPr>
          <w:rFonts w:ascii="仿宋" w:eastAsia="仿宋" w:hint="eastAsia"/>
          <w:sz w:val="28"/>
          <w:szCs w:val="28"/>
        </w:rPr>
        <w:t>十</w:t>
      </w:r>
      <w:r>
        <w:rPr>
          <w:rFonts w:ascii="仿宋" w:eastAsia="仿宋" w:cs="黑体" w:hint="eastAsia"/>
          <w:bCs/>
          <w:sz w:val="28"/>
          <w:szCs w:val="28"/>
        </w:rPr>
        <w:t>一、其他重要事项的情况说明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_Toc15396612 \h </w:instrText>
      </w:r>
      <w:r>
        <w:rPr>
          <w:rFonts w:ascii="仿宋" w:eastAsia="仿宋"/>
          <w:sz w:val="28"/>
          <w:szCs w:val="28"/>
        </w:rPr>
        <w:fldChar w:fldCharType="separate"/>
      </w:r>
      <w:r>
        <w:rPr>
          <w:rFonts w:ascii="仿宋" w:eastAsia="仿宋"/>
          <w:sz w:val="28"/>
          <w:szCs w:val="28"/>
        </w:rPr>
        <w:t>18</w:t>
      </w:r>
      <w:r>
        <w:rPr>
          <w:rFonts w:ascii="仿宋" w:eastAsia="仿宋"/>
          <w:sz w:val="28"/>
          <w:szCs w:val="28"/>
        </w:rPr>
        <w:fldChar w:fldCharType="end"/>
      </w:r>
      <w:r>
        <w:fldChar w:fldCharType="end"/>
      </w:r>
    </w:p>
    <w:p>
      <w:pPr>
        <w:pStyle w:val="22"/>
        <w:tabs>
          <w:tab w:val="right" w:leader="dot" w:pos="8296"/>
        </w:tabs>
        <w:rPr>
          <w:rFonts w:cs="黑体"/>
        </w:rPr>
      </w:pPr>
      <w:r>
        <w:fldChar w:fldCharType="begin"/>
      </w:r>
      <w:r>
        <w:instrText>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begin"/>
      </w:r>
      <w:r>
        <w:instrText xml:space="preserve"> PAGEREF _Toc15396613 \h </w:instrText>
      </w:r>
      <w:r>
        <w:fldChar w:fldCharType="separate"/>
      </w:r>
      <w:r>
        <w:t>20</w:t>
      </w:r>
      <w:r>
        <w:fldChar w:fldCharType="end"/>
      </w:r>
      <w:r>
        <w:fldChar w:fldCharType="end"/>
      </w:r>
    </w:p>
    <w:p>
      <w:pPr>
        <w:pStyle w:val="22"/>
        <w:tabs>
          <w:tab w:val="right" w:leader="dot" w:pos="8296"/>
        </w:tabs>
        <w:rPr>
          <w:rFonts w:cs="黑体"/>
        </w:rPr>
      </w:pPr>
      <w:r>
        <w:fldChar w:fldCharType="begin"/>
      </w:r>
      <w:r>
        <w:instrText>Hyperlink \l "_Toc15396614"</w:instrText>
      </w:r>
      <w:r>
        <w:fldChar w:fldCharType="separate"/>
      </w:r>
      <w:r>
        <w:rPr>
          <w:rFonts w:hint="eastAsia"/>
        </w:rPr>
        <w:t>第</w:t>
      </w:r>
      <w:r>
        <w:rPr>
          <w:rFonts w:hint="eastAsia"/>
          <w:bCs/>
          <w:kern w:val="44"/>
        </w:rPr>
        <w:t>四部分附件</w:t>
      </w:r>
      <w:r>
        <w:tab/>
      </w:r>
      <w:r>
        <w:fldChar w:fldCharType="begin"/>
      </w:r>
      <w:r>
        <w:instrText xml:space="preserve"> PAGEREF _Toc15396614 \h </w:instrText>
      </w:r>
      <w:r>
        <w:fldChar w:fldCharType="separate"/>
      </w:r>
      <w:r>
        <w:t>24</w:t>
      </w:r>
      <w: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"_Toc15396615"</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_Toc15396615 \h </w:instrText>
      </w:r>
      <w:r>
        <w:rPr>
          <w:rFonts w:ascii="仿宋" w:eastAsia="仿宋"/>
          <w:sz w:val="28"/>
          <w:szCs w:val="28"/>
        </w:rPr>
        <w:fldChar w:fldCharType="separate"/>
      </w:r>
      <w:r>
        <w:rPr>
          <w:rFonts w:ascii="仿宋" w:eastAsia="仿宋"/>
          <w:sz w:val="28"/>
          <w:szCs w:val="28"/>
        </w:rPr>
        <w:t>24</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fldChar w:fldCharType="begin"/>
      </w:r>
      <w:r>
        <w:instrText>Hyperlink \l "_Toc15396617"</w:instrText>
      </w:r>
      <w:r>
        <w:fldChar w:fldCharType="separate"/>
      </w:r>
      <w:r>
        <w:rPr>
          <w:rFonts w:ascii="仿宋" w:eastAsia="仿宋" w:hint="eastAsia"/>
          <w:kern w:val="44"/>
          <w:sz w:val="28"/>
          <w:szCs w:val="28"/>
        </w:rPr>
        <w:t>附件</w:t>
      </w:r>
      <w:r>
        <w:rPr>
          <w:rFonts w:ascii="仿宋" w:eastAsia="仿宋"/>
          <w:kern w:val="44"/>
          <w:sz w:val="28"/>
          <w:szCs w:val="28"/>
        </w:rPr>
        <w:t>2</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_Toc15396617 \h </w:instrText>
      </w:r>
      <w:r>
        <w:rPr>
          <w:rFonts w:ascii="仿宋" w:eastAsia="仿宋"/>
          <w:sz w:val="28"/>
          <w:szCs w:val="28"/>
        </w:rPr>
        <w:fldChar w:fldCharType="separate"/>
      </w:r>
      <w:r>
        <w:rPr>
          <w:rFonts w:ascii="仿宋" w:eastAsia="仿宋"/>
          <w:sz w:val="28"/>
          <w:szCs w:val="28"/>
        </w:rPr>
        <w:t>24</w:t>
      </w:r>
      <w:r>
        <w:rPr>
          <w:rFonts w:ascii="仿宋" w:eastAsia="仿宋"/>
          <w:sz w:val="28"/>
          <w:szCs w:val="28"/>
        </w:rPr>
        <w:fldChar w:fldCharType="end"/>
      </w:r>
      <w:r>
        <w:fldChar w:fldCharType="end"/>
      </w:r>
    </w:p>
    <w:p>
      <w:pPr>
        <w:pStyle w:val="22"/>
        <w:tabs>
          <w:tab w:val="right" w:leader="dot" w:pos="8296"/>
        </w:tabs>
        <w:rPr>
          <w:rFonts w:cs="黑体"/>
        </w:rPr>
      </w:pPr>
      <w:r>
        <w:fldChar w:fldCharType="begin"/>
      </w:r>
      <w:r>
        <w:instrText>Hyperlink \l "_Toc15396618"</w:instrText>
      </w:r>
      <w:r>
        <w:fldChar w:fldCharType="separate"/>
      </w:r>
      <w:r>
        <w:rPr>
          <w:rFonts w:hint="eastAsia"/>
        </w:rPr>
        <w:t>第</w:t>
      </w:r>
      <w:r>
        <w:rPr>
          <w:rFonts w:hint="eastAsia"/>
          <w:bCs/>
          <w:kern w:val="44"/>
        </w:rPr>
        <w:t>五部分附表</w:t>
      </w:r>
      <w:r>
        <w:tab/>
      </w:r>
      <w:r>
        <w:fldChar w:fldCharType="begin"/>
      </w:r>
      <w:r>
        <w:instrText xml:space="preserve"> PAGEREF _Toc15396618 \h </w:instrText>
      </w:r>
      <w:r>
        <w:fldChar w:fldCharType="separate"/>
      </w:r>
      <w:r>
        <w:t>8</w:t>
      </w:r>
      <w: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一、</w:t>
      </w:r>
      <w:r>
        <w:fldChar w:fldCharType="begin"/>
      </w:r>
      <w:r>
        <w:instrText>Hyperlink \l "_Toc15396619"</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_Toc15396619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二、</w:t>
      </w:r>
      <w:r>
        <w:fldChar w:fldCharType="begin"/>
      </w:r>
      <w:r>
        <w:instrText>Hyperlink \l "_Toc15396620"</w:instrText>
      </w:r>
      <w:r>
        <w:fldChar w:fldCharType="separate"/>
      </w:r>
      <w:r>
        <w:rPr>
          <w:rFonts w:ascii="仿宋" w:eastAsia="仿宋" w:hint="eastAsia"/>
          <w:sz w:val="28"/>
          <w:szCs w:val="28"/>
        </w:rPr>
        <w:t>收入总表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_Toc15396620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三、</w:t>
      </w:r>
      <w:r>
        <w:fldChar w:fldCharType="begin"/>
      </w:r>
      <w:r>
        <w:instrText>Hyperlink \l "_Toc15396621"</w:instrText>
      </w:r>
      <w:r>
        <w:fldChar w:fldCharType="separate"/>
      </w:r>
      <w:r>
        <w:rPr>
          <w:rFonts w:ascii="仿宋" w:eastAsia="仿宋" w:hint="eastAsia"/>
          <w:sz w:val="28"/>
          <w:szCs w:val="28"/>
        </w:rPr>
        <w:t>支出总表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_Toc15396621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四、</w:t>
      </w:r>
      <w:r>
        <w:fldChar w:fldCharType="begin"/>
      </w:r>
      <w:r>
        <w:instrText>Hyperlink \l "_Toc15396622"</w:instrText>
      </w:r>
      <w: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_Toc15396622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sz w:val="28"/>
          <w:szCs w:val="28"/>
        </w:rPr>
      </w:pPr>
      <w:r>
        <w:rPr>
          <w:rFonts w:ascii="仿宋" w:eastAsia="仿宋" w:hint="eastAsia"/>
          <w:sz w:val="28"/>
          <w:szCs w:val="28"/>
        </w:rPr>
        <w:t>五、</w:t>
      </w:r>
      <w:r>
        <w:fldChar w:fldCharType="begin"/>
      </w:r>
      <w:r>
        <w:instrText>Hyperlink \l "_Toc15396623"</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_Toc15396623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六、</w:t>
      </w:r>
      <w:r>
        <w:fldChar w:fldCharType="begin"/>
      </w:r>
      <w:r>
        <w:instrText>Hyperlink \l "_Toc15396624"</w:instrText>
      </w:r>
      <w: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_Toc15396624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七、</w:t>
      </w:r>
      <w:r>
        <w:fldChar w:fldCharType="begin"/>
      </w:r>
      <w:r>
        <w:instrText>Hyperlink \l "_Toc15396625"</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_Toc15396625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八、</w:t>
      </w:r>
      <w:r>
        <w:fldChar w:fldCharType="begin"/>
      </w:r>
      <w:r>
        <w:instrText>Hyperlink \l "_Toc15396626"</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_Toc15396626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九、</w:t>
      </w:r>
      <w:r>
        <w:fldChar w:fldCharType="begin"/>
      </w:r>
      <w:r>
        <w:instrText>Hyperlink \l "_Toc15396627"</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_Toc15396627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十、</w:t>
      </w:r>
      <w:r>
        <w:fldChar w:fldCharType="begin"/>
      </w:r>
      <w:r>
        <w:instrText>Hyperlink \l "_Toc15396628"</w:instrText>
      </w:r>
      <w:r>
        <w:fldChar w:fldCharType="separate"/>
      </w:r>
      <w:r>
        <w:rPr>
          <w:rFonts w:ascii="仿宋" w:eastAsia="仿宋" w:hint="eastAsia"/>
          <w:sz w:val="28"/>
          <w:szCs w:val="28"/>
        </w:rPr>
        <w:t>一般公共预算财政拨款“三公”经费支出决算表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_Toc15396628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十一、</w:t>
      </w:r>
      <w:r>
        <w:fldChar w:fldCharType="begin"/>
      </w:r>
      <w:r>
        <w:instrText>Hyperlink \l "_Toc15396629"</w:instrText>
      </w:r>
      <w:r>
        <w:fldChar w:fldCharType="separate"/>
      </w:r>
      <w:r>
        <w:rPr>
          <w:rFonts w:ascii="仿宋" w:eastAsia="仿宋" w:hint="eastAsia"/>
          <w:sz w:val="28"/>
          <w:szCs w:val="28"/>
        </w:rPr>
        <w:t>政府性基金预算财政拨款收入支出决算表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_Toc15396629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8"/>
          <w:szCs w:val="28"/>
        </w:rPr>
      </w:pPr>
      <w:r>
        <w:rPr>
          <w:rFonts w:ascii="仿宋" w:eastAsia="仿宋" w:hint="eastAsia"/>
          <w:sz w:val="28"/>
          <w:szCs w:val="28"/>
        </w:rPr>
        <w:t>十二、</w:t>
      </w:r>
      <w:r>
        <w:fldChar w:fldCharType="begin"/>
      </w:r>
      <w:r>
        <w:instrText>Hyperlink \l "_Toc15396630"</w:instrText>
      </w:r>
      <w:r>
        <w:fldChar w:fldCharType="separate"/>
      </w:r>
      <w:r>
        <w:rPr>
          <w:rFonts w:ascii="仿宋" w:eastAsia="仿宋" w:hint="eastAsia"/>
          <w:sz w:val="28"/>
          <w:szCs w:val="28"/>
        </w:rPr>
        <w:t>政府性基金预算财政拨款“三公”经费支出决算表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_Toc15396630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pStyle w:val="23"/>
        <w:tabs>
          <w:tab w:val="right" w:leader="dot" w:pos="8296"/>
        </w:tabs>
        <w:rPr>
          <w:rFonts w:ascii="仿宋" w:eastAsia="仿宋" w:cs="黑体"/>
          <w:sz w:val="24"/>
        </w:rPr>
      </w:pPr>
      <w:r>
        <w:rPr>
          <w:rFonts w:ascii="仿宋" w:eastAsia="仿宋" w:hint="eastAsia"/>
          <w:sz w:val="28"/>
          <w:szCs w:val="28"/>
        </w:rPr>
        <w:t>十三、</w:t>
      </w:r>
      <w:r>
        <w:fldChar w:fldCharType="begin"/>
      </w:r>
      <w:r>
        <w:instrText>Hyperlink \l "_Toc15396631"</w:instrText>
      </w:r>
      <w:r>
        <w:fldChar w:fldCharType="separate"/>
      </w:r>
      <w:r>
        <w:rPr>
          <w:rFonts w:ascii="仿宋" w:eastAsia="仿宋" w:hint="eastAsia"/>
          <w:sz w:val="28"/>
          <w:szCs w:val="28"/>
        </w:rPr>
        <w:t>国有资本经营预算支出决算表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_Toc15396631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r>
        <w:rPr>
          <w:rFonts w:ascii="黑体" w:eastAsia="黑体"/>
          <w:b/>
        </w:rPr>
        <w:br w:type="page"/>
      </w:r>
    </w:p>
    <w:p>
      <w:pPr>
        <w:widowControl/>
        <w:ind w:firstLineChars="500" w:firstLine="2200"/>
        <w:rPr>
          <w:rStyle w:val="1Char"/>
          <w:rFonts w:ascii="黑体" w:eastAsia="黑体"/>
          <w:bCs w:val="0"/>
        </w:rPr>
      </w:pPr>
      <w:r>
        <w:rPr>
          <w:rFonts w:ascii="黑体" w:eastAsia="黑体" w:hint="eastAsia"/>
          <w:sz w:val="44"/>
          <w:szCs w:val="44"/>
        </w:rPr>
        <w:t xml:space="preserve">第一部分 </w:t>
      </w:r>
      <w:r>
        <w:rPr>
          <w:rStyle w:val="1Char"/>
          <w:rFonts w:ascii="黑体" w:eastAsia="黑体" w:hint="eastAsia"/>
          <w:b w:val="0"/>
          <w:bCs w:val="0"/>
        </w:rPr>
        <w:t>部门概况</w:t>
      </w:r>
    </w:p>
    <w:p>
      <w:pPr>
        <w:pStyle w:val="2"/>
        <w:numPr>
          <w:ilvl w:val="0"/>
          <w:numId w:val="1"/>
        </w:numPr>
        <w:rPr>
          <w:rStyle w:val="2Char"/>
          <w:rFonts w:ascii="黑体" w:eastAsia="黑体"/>
        </w:rPr>
      </w:pPr>
      <w:bookmarkStart w:id="13" w:name="_Toc15396600"/>
      <w:bookmarkStart w:id="14" w:name="_Toc15377197"/>
      <w:r>
        <w:rPr>
          <w:rFonts w:ascii="黑体" w:eastAsia="黑体" w:hint="eastAsia"/>
          <w:b w:val="0"/>
          <w:color w:val="000000"/>
        </w:rPr>
        <w:t>基</w:t>
      </w:r>
      <w:r>
        <w:rPr>
          <w:rStyle w:val="2Char"/>
          <w:rFonts w:ascii="黑体" w:eastAsia="黑体" w:hint="eastAsia"/>
        </w:rPr>
        <w:t>本职能及主要工作</w:t>
      </w:r>
      <w:bookmarkStart w:id="15" w:name="_Toc15378445"/>
      <w:bookmarkStart w:id="16" w:name="_Toc15377198"/>
      <w:bookmarkEnd w:id="13"/>
      <w:bookmarkEnd w:id="14"/>
    </w:p>
    <w:p>
      <w:pPr>
        <w:pStyle w:val="2"/>
        <w:numPr>
          <w:ilvl w:val="0"/>
          <w:numId w:val="1"/>
        </w:numPr>
        <w:rPr>
          <w:rFonts w:ascii="仿宋" w:eastAsia="仿宋"/>
          <w:color w:val="000000"/>
        </w:rPr>
      </w:pPr>
      <w:r>
        <w:rPr>
          <w:rFonts w:ascii="仿宋" w:eastAsia="仿宋" w:hint="eastAsia"/>
          <w:color w:val="000000"/>
        </w:rPr>
        <w:t>（一）主要职能。</w:t>
      </w:r>
    </w:p>
    <w:p>
      <w:pPr>
        <w:spacing w:line="550" w:lineRule="exact"/>
        <w:ind w:firstLine="640"/>
        <w:rPr>
          <w:rFonts w:ascii="仿宋_GB2312" w:eastAsia="仿宋_GB2312" w:cs="仿宋_GB2312"/>
          <w:kern w:val="2"/>
          <w:sz w:val="32"/>
          <w:szCs w:val="32"/>
        </w:rPr>
      </w:pPr>
      <w:bookmarkStart w:id="17" w:name="_Toc15377199"/>
      <w:bookmarkStart w:id="18" w:name="_Toc15378446"/>
      <w:bookmarkEnd w:id="15"/>
      <w:bookmarkEnd w:id="16"/>
      <w:r>
        <w:rPr>
          <w:rFonts w:ascii="仿宋_GB2312" w:eastAsia="仿宋_GB2312" w:cs="仿宋_GB2312"/>
          <w:kern w:val="2"/>
          <w:sz w:val="32"/>
          <w:szCs w:val="32"/>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pPr>
        <w:pStyle w:val="2"/>
      </w:pPr>
    </w:p>
    <w:p>
      <w:pPr>
        <w:pStyle w:val="2"/>
        <w:ind w:firstLineChars="100" w:firstLine="320"/>
        <w:rPr>
          <w:rFonts w:ascii="仿宋" w:eastAsia="仿宋"/>
          <w:color w:val="000000"/>
        </w:rPr>
      </w:pPr>
      <w:r>
        <w:rPr>
          <w:rFonts w:ascii="仿宋" w:eastAsia="仿宋" w:hint="eastAsia"/>
          <w:color w:val="000000"/>
        </w:rPr>
        <w:t>（二）</w:t>
      </w:r>
      <w:r>
        <w:rPr>
          <w:rFonts w:ascii="仿宋" w:eastAsia="仿宋"/>
          <w:color w:val="000000"/>
        </w:rPr>
        <w:t>201</w:t>
      </w:r>
      <w:r>
        <w:rPr>
          <w:rFonts w:ascii="仿宋" w:eastAsia="仿宋" w:hint="eastAsia"/>
          <w:color w:val="000000"/>
        </w:rPr>
        <w:t>9年重点工作完成情况。</w:t>
      </w:r>
      <w:bookmarkEnd w:id="17"/>
      <w:bookmarkEnd w:id="18"/>
    </w:p>
    <w:p>
      <w:pPr>
        <w:spacing w:line="192" w:lineRule="auto"/>
        <w:ind w:firstLineChars="300" w:firstLine="960"/>
        <w:rPr>
          <w:rFonts w:ascii="仿宋" w:eastAsia="仿宋" w:cs="仿宋"/>
          <w:sz w:val="32"/>
          <w:szCs w:val="32"/>
        </w:rPr>
      </w:pPr>
      <w:r>
        <w:rPr>
          <w:rFonts w:ascii="仿宋" w:eastAsia="仿宋" w:cs="仿宋" w:hint="eastAsia"/>
          <w:sz w:val="32"/>
          <w:szCs w:val="32"/>
        </w:rPr>
        <w:t>一、突破工作理念，推进群团新式办公</w:t>
      </w:r>
    </w:p>
    <w:p>
      <w:pPr>
        <w:spacing w:line="192" w:lineRule="auto"/>
        <w:ind w:firstLineChars="300" w:firstLine="960"/>
        <w:rPr>
          <w:rFonts w:ascii="仿宋" w:eastAsia="仿宋" w:cs="仿宋"/>
          <w:sz w:val="32"/>
          <w:szCs w:val="32"/>
        </w:rPr>
      </w:pPr>
      <w:r>
        <w:rPr>
          <w:rFonts w:ascii="仿宋" w:eastAsia="仿宋" w:cs="仿宋" w:hint="eastAsia"/>
          <w:sz w:val="32"/>
          <w:szCs w:val="32"/>
        </w:rPr>
        <w:t>二、巩固创新同步，促进精准脱贫奔康。</w:t>
      </w:r>
    </w:p>
    <w:p>
      <w:pPr>
        <w:spacing w:line="192" w:lineRule="auto"/>
        <w:ind w:firstLineChars="300" w:firstLine="960"/>
        <w:rPr>
          <w:rFonts w:ascii="仿宋" w:eastAsia="仿宋" w:cs="仿宋"/>
          <w:sz w:val="32"/>
          <w:szCs w:val="32"/>
        </w:rPr>
      </w:pPr>
      <w:r>
        <w:rPr>
          <w:rFonts w:ascii="仿宋" w:eastAsia="仿宋" w:cs="仿宋" w:hint="eastAsia"/>
          <w:sz w:val="32"/>
          <w:szCs w:val="32"/>
        </w:rPr>
        <w:t>三、制度和队伍同步，着力构建平安九寨。</w:t>
      </w:r>
    </w:p>
    <w:p>
      <w:pPr>
        <w:spacing w:line="192" w:lineRule="auto"/>
        <w:ind w:firstLineChars="300" w:firstLine="960"/>
        <w:rPr>
          <w:rFonts w:ascii="仿宋" w:eastAsia="仿宋" w:cs="仿宋"/>
          <w:sz w:val="32"/>
          <w:szCs w:val="32"/>
        </w:rPr>
      </w:pPr>
      <w:r>
        <w:rPr>
          <w:rFonts w:ascii="仿宋" w:eastAsia="仿宋" w:cs="仿宋" w:hint="eastAsia"/>
          <w:sz w:val="32"/>
          <w:szCs w:val="32"/>
        </w:rPr>
        <w:t>四、组织和提升同步，强化群团政治建设</w:t>
      </w:r>
      <w:bookmarkStart w:id="19" w:name="_Toc15377200"/>
      <w:bookmarkStart w:id="20" w:name="_Toc15396601"/>
    </w:p>
    <w:p>
      <w:pPr>
        <w:spacing w:line="192" w:lineRule="auto"/>
        <w:rPr>
          <w:rStyle w:val="2Char"/>
          <w:b w:val="0"/>
          <w:bCs w:val="0"/>
        </w:rPr>
      </w:pPr>
      <w:r>
        <w:rPr>
          <w:rFonts w:ascii="黑体" w:eastAsia="黑体" w:hint="eastAsia"/>
          <w:color w:val="000000"/>
          <w:sz w:val="32"/>
          <w:szCs w:val="32"/>
        </w:rPr>
        <w:t>二、机</w:t>
      </w:r>
      <w:r>
        <w:rPr>
          <w:rStyle w:val="2Char"/>
          <w:rFonts w:ascii="黑体" w:eastAsia="黑体" w:hint="eastAsia"/>
          <w:b w:val="0"/>
          <w:bCs w:val="0"/>
        </w:rPr>
        <w:t>构设置</w:t>
      </w:r>
      <w:bookmarkEnd w:id="19"/>
      <w:bookmarkEnd w:id="20"/>
    </w:p>
    <w:p>
      <w:pPr>
        <w:pStyle w:val="15"/>
        <w:adjustRightInd w:val="0"/>
        <w:snapToGrid w:val="0"/>
        <w:spacing w:beforeLines="0" w:before="93" w:line="550" w:lineRule="exact"/>
        <w:ind w:firstLineChars="209" w:firstLine="672"/>
        <w:rPr>
          <w:color w:val="000000"/>
          <w:sz w:val="32"/>
          <w:szCs w:val="32"/>
        </w:rPr>
      </w:pPr>
      <w:r>
        <w:rPr>
          <w:rFonts w:cs="仿宋_GB2312"/>
          <w:kern w:val="2"/>
          <w:sz w:val="32"/>
          <w:szCs w:val="32"/>
        </w:rPr>
        <w:t>根据县总工会的实际情况，单位内部不设内设机构。总工会机关编制行政编制3名</w:t>
      </w:r>
      <w:r>
        <w:rPr>
          <w:rFonts w:cs="仿宋_GB2312" w:hint="eastAsia"/>
          <w:kern w:val="2"/>
          <w:sz w:val="32"/>
          <w:szCs w:val="32"/>
        </w:rPr>
        <w:t>;</w:t>
      </w:r>
      <w:r>
        <w:rPr>
          <w:rFonts w:cs="仿宋_GB2312"/>
          <w:kern w:val="2"/>
          <w:sz w:val="32"/>
          <w:szCs w:val="32"/>
        </w:rPr>
        <w:t>离退休人员管理工作编制1名</w:t>
      </w:r>
      <w:r>
        <w:rPr>
          <w:rFonts w:cs="仿宋_GB2312" w:hint="eastAsia"/>
          <w:kern w:val="2"/>
          <w:sz w:val="32"/>
          <w:szCs w:val="32"/>
        </w:rPr>
        <w:t>;工勤</w:t>
      </w:r>
      <w:r>
        <w:rPr>
          <w:rFonts w:cs="仿宋_GB2312"/>
          <w:kern w:val="2"/>
          <w:sz w:val="32"/>
          <w:szCs w:val="32"/>
        </w:rPr>
        <w:t>编制</w:t>
      </w:r>
      <w:r>
        <w:rPr>
          <w:rFonts w:cs="仿宋_GB2312" w:hint="eastAsia"/>
          <w:kern w:val="2"/>
          <w:sz w:val="32"/>
          <w:szCs w:val="32"/>
        </w:rPr>
        <w:t>1名，</w:t>
      </w:r>
      <w:r>
        <w:rPr>
          <w:rFonts w:cs="仿宋_GB2312"/>
          <w:kern w:val="2"/>
          <w:sz w:val="32"/>
          <w:szCs w:val="32"/>
        </w:rPr>
        <w:t>总工会机关编制</w:t>
      </w:r>
      <w:r>
        <w:rPr>
          <w:rFonts w:cs="仿宋_GB2312" w:hint="eastAsia"/>
          <w:kern w:val="2"/>
          <w:sz w:val="32"/>
          <w:szCs w:val="32"/>
        </w:rPr>
        <w:t>合计5名，</w:t>
      </w:r>
      <w:r>
        <w:rPr>
          <w:rFonts w:cs="仿宋_GB2312"/>
          <w:kern w:val="2"/>
          <w:sz w:val="32"/>
          <w:szCs w:val="32"/>
        </w:rPr>
        <w:t>领导职数：主席1名、副主席2名</w:t>
      </w:r>
      <w:r>
        <w:rPr>
          <w:rFonts w:hint="eastAsia"/>
          <w:color w:val="000000"/>
          <w:sz w:val="32"/>
          <w:szCs w:val="32"/>
        </w:rPr>
        <w:t>。</w:t>
      </w:r>
    </w:p>
    <w:p>
      <w:pPr>
        <w:pStyle w:val="15"/>
        <w:adjustRightInd w:val="0"/>
        <w:snapToGrid w:val="0"/>
        <w:spacing w:beforeLines="0" w:before="93" w:line="550" w:lineRule="exact"/>
        <w:ind w:firstLineChars="209" w:firstLine="672"/>
        <w:rPr>
          <w:color w:val="000000"/>
          <w:sz w:val="32"/>
          <w:szCs w:val="32"/>
        </w:rPr>
      </w:pPr>
      <w:r>
        <w:rPr>
          <w:rFonts w:hint="eastAsia"/>
          <w:color w:val="000000"/>
          <w:sz w:val="32"/>
          <w:szCs w:val="32"/>
        </w:rPr>
        <w:t>2018年1月</w:t>
      </w:r>
      <w:r>
        <w:rPr>
          <w:rFonts w:hint="eastAsia"/>
          <w:sz w:val="32"/>
          <w:szCs w:val="32"/>
          <w:shd w:val="clear" w:color="auto" w:fill="FFFFFF"/>
        </w:rPr>
        <w:t>工会、团委、妇联三个单位联合办公，人员的经费增加到工会。</w:t>
      </w:r>
      <w:bookmarkStart w:id="21" w:name="OLE_LINK1"/>
      <w:r>
        <w:rPr>
          <w:rFonts w:hint="eastAsia"/>
          <w:sz w:val="32"/>
          <w:szCs w:val="32"/>
        </w:rPr>
        <w:t>2019年</w:t>
      </w:r>
      <w:bookmarkEnd w:id="21"/>
      <w:r>
        <w:rPr>
          <w:rFonts w:hint="eastAsia"/>
          <w:sz w:val="32"/>
          <w:szCs w:val="32"/>
        </w:rPr>
        <w:t>单位机构数为 1 个，含（工会、团委 、妇联）  其中行政机构 1个含（工会、团委 、妇联） ，事业机构1 个；财政供养人员编制为 21名，其中行政编制 15名，行政工勤编制 3名，事业编制 3名</w:t>
      </w:r>
      <w:r>
        <w:rPr>
          <w:rFonts w:hint="eastAsia"/>
          <w:sz w:val="32"/>
          <w:szCs w:val="32"/>
          <w:shd w:val="clear" w:color="auto" w:fill="FFFFFF"/>
        </w:rPr>
        <w:t>。</w:t>
      </w:r>
    </w:p>
    <w:p>
      <w:pPr>
        <w:widowControl/>
        <w:ind w:firstLineChars="200" w:firstLine="880"/>
        <w:jc w:val="left"/>
        <w:rPr>
          <w:rFonts w:ascii="黑体" w:eastAsia="黑体"/>
          <w:color w:val="000000"/>
          <w:sz w:val="44"/>
          <w:szCs w:val="44"/>
        </w:rPr>
      </w:pPr>
      <w:bookmarkStart w:id="22" w:name="_Toc15396602"/>
      <w:bookmarkStart w:id="23" w:name="_Toc15377204"/>
    </w:p>
    <w:p>
      <w:pPr>
        <w:widowControl/>
        <w:ind w:firstLineChars="200" w:firstLine="880"/>
        <w:jc w:val="left"/>
        <w:rPr>
          <w:rFonts w:ascii="黑体" w:eastAsia="黑体"/>
          <w:color w:val="000000"/>
          <w:sz w:val="44"/>
          <w:szCs w:val="44"/>
        </w:rPr>
      </w:pPr>
    </w:p>
    <w:p>
      <w:pPr>
        <w:widowControl/>
        <w:ind w:firstLineChars="200" w:firstLine="880"/>
        <w:jc w:val="left"/>
        <w:rPr>
          <w:rFonts w:ascii="黑体" w:eastAsia="黑体"/>
          <w:color w:val="000000"/>
          <w:sz w:val="44"/>
          <w:szCs w:val="44"/>
        </w:rPr>
      </w:pPr>
    </w:p>
    <w:p>
      <w:pPr>
        <w:widowControl/>
        <w:ind w:firstLineChars="200" w:firstLine="880"/>
        <w:jc w:val="left"/>
        <w:rPr>
          <w:rStyle w:val="1Char"/>
          <w:rFonts w:ascii="黑体" w:eastAsia="黑体"/>
          <w:b w:val="0"/>
          <w:bCs w:val="0"/>
        </w:rPr>
      </w:pPr>
      <w:r>
        <w:rPr>
          <w:rFonts w:ascii="黑体" w:eastAsia="黑体" w:hint="eastAsia"/>
          <w:color w:val="000000"/>
          <w:sz w:val="44"/>
          <w:szCs w:val="44"/>
        </w:rPr>
        <w:t>第二部分</w:t>
      </w:r>
      <w:r>
        <w:rPr>
          <w:rStyle w:val="1Char"/>
          <w:rFonts w:ascii="黑体" w:eastAsia="黑体" w:hint="eastAsia"/>
          <w:b w:val="0"/>
          <w:bCs w:val="0"/>
        </w:rPr>
        <w:t>2019年度部门决算情况说明</w:t>
      </w:r>
      <w:bookmarkEnd w:id="22"/>
      <w:bookmarkEnd w:id="23"/>
    </w:p>
    <w:p/>
    <w:p>
      <w:pPr>
        <w:pStyle w:val="29"/>
        <w:numPr>
          <w:ilvl w:val="0"/>
          <w:numId w:val="2"/>
        </w:numPr>
        <w:spacing w:line="600" w:lineRule="exact"/>
        <w:ind w:firstLineChars="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2019年度总收入472.91万元、支出总计472.91万元。与2018年相比，比2018收入569.04万元减少96.13万元，比2018年支出536.73减少96.13万元。主要变动原因是单位</w:t>
      </w:r>
      <w:r>
        <w:rPr>
          <w:rFonts w:ascii="仿宋" w:eastAsia="仿宋" w:hint="eastAsia"/>
          <w:sz w:val="32"/>
          <w:szCs w:val="32"/>
        </w:rPr>
        <w:t>厉行节约</w:t>
      </w:r>
      <w:r>
        <w:rPr>
          <w:rFonts w:ascii="仿宋_GB2312" w:eastAsia="仿宋_GB2312" w:hint="eastAsia"/>
          <w:sz w:val="32"/>
          <w:szCs w:val="32"/>
          <w:shd w:val="clear" w:color="auto" w:fill="FFFFFF"/>
        </w:rPr>
        <w:t>。</w:t>
      </w:r>
    </w:p>
    <w:p>
      <w:pPr>
        <w:pStyle w:val="29"/>
        <w:numPr>
          <w:ilvl w:val="0"/>
          <w:numId w:val="2"/>
        </w:numPr>
        <w:spacing w:line="600" w:lineRule="exact"/>
        <w:ind w:firstLineChars="0"/>
        <w:outlineLvl w:val="1"/>
        <w:rPr>
          <w:rStyle w:val="2Char"/>
          <w:rFonts w:ascii="黑体" w:eastAsia="黑体"/>
          <w:b w:val="0"/>
        </w:rPr>
      </w:pPr>
      <w:bookmarkStart w:id="26" w:name="_Toc15377206"/>
      <w:bookmarkStart w:id="27" w:name="_Toc15396604"/>
      <w:r>
        <w:rPr>
          <w:rFonts w:ascii="黑体" w:eastAsia="黑体" w:hint="eastAsia"/>
          <w:color w:val="000000"/>
          <w:sz w:val="32"/>
          <w:szCs w:val="32"/>
        </w:rPr>
        <w:t>收</w:t>
      </w:r>
      <w:r>
        <w:rPr>
          <w:rStyle w:val="2Char"/>
          <w:rFonts w:ascii="黑体" w:eastAsia="黑体" w:hint="eastAsia"/>
          <w:b w:val="0"/>
        </w:rPr>
        <w:t>入决算情况说明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9年本年收入合计407.7万元，其中：一般公共预算财政拨款收入407.7万元，占100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w:t>
      </w:r>
      <w:r>
        <w:rPr>
          <w:rFonts w:ascii="仿宋" w:eastAsia="仿宋"/>
          <w:color w:val="000000"/>
          <w:sz w:val="32"/>
          <w:szCs w:val="32"/>
        </w:rPr>
        <w:t>%</w:t>
      </w:r>
      <w:r>
        <w:rPr>
          <w:rFonts w:ascii="仿宋" w:eastAsia="仿宋" w:hint="eastAsia"/>
          <w:color w:val="000000"/>
          <w:sz w:val="32"/>
          <w:szCs w:val="32"/>
        </w:rPr>
        <w:t>。</w:t>
      </w:r>
    </w:p>
    <w:p>
      <w:pPr>
        <w:pStyle w:val="29"/>
        <w:spacing w:line="600" w:lineRule="exact"/>
        <w:ind w:firstLineChars="100" w:firstLine="320"/>
        <w:outlineLvl w:val="1"/>
        <w:rPr>
          <w:rStyle w:val="2Char"/>
          <w:rFonts w:ascii="黑体" w:eastAsia="黑体"/>
          <w:b w:val="0"/>
        </w:rPr>
      </w:pPr>
      <w:bookmarkStart w:id="28" w:name="_Toc15396605"/>
      <w:bookmarkStart w:id="29" w:name="_Toc15377207"/>
      <w:r>
        <w:rPr>
          <w:rFonts w:ascii="黑体" w:eastAsia="黑体" w:hint="eastAsia"/>
          <w:color w:val="000000"/>
          <w:sz w:val="32"/>
          <w:szCs w:val="32"/>
        </w:rPr>
        <w:t>三、支</w:t>
      </w:r>
      <w:r>
        <w:rPr>
          <w:rStyle w:val="2Char"/>
          <w:rFonts w:ascii="黑体" w:eastAsia="黑体" w:hint="eastAsia"/>
          <w:b w:val="0"/>
        </w:rPr>
        <w:t>出决算情况说明</w:t>
      </w:r>
      <w:bookmarkEnd w:id="28"/>
      <w:bookmarkEnd w:id="29"/>
    </w:p>
    <w:p>
      <w:pPr>
        <w:spacing w:line="600" w:lineRule="exact"/>
        <w:ind w:firstLine="640"/>
        <w:rPr>
          <w:rFonts w:ascii="仿宋_GB2312" w:eastAsia="仿宋_GB2312"/>
          <w:color w:val="FF0000"/>
          <w:sz w:val="32"/>
          <w:szCs w:val="32"/>
        </w:rPr>
      </w:pPr>
      <w:r>
        <w:rPr>
          <w:rFonts w:ascii="仿宋" w:eastAsia="仿宋"/>
          <w:color w:val="000000"/>
          <w:sz w:val="32"/>
          <w:szCs w:val="32"/>
        </w:rPr>
        <w:t>201</w:t>
      </w:r>
      <w:r>
        <w:rPr>
          <w:rFonts w:ascii="仿宋" w:eastAsia="仿宋" w:hint="eastAsia"/>
          <w:color w:val="000000"/>
          <w:sz w:val="32"/>
          <w:szCs w:val="32"/>
        </w:rPr>
        <w:t>9年本年支出合计464.54万元，其中：基本支出424.73万元，占91</w:t>
      </w:r>
      <w:r>
        <w:rPr>
          <w:rFonts w:ascii="仿宋" w:eastAsia="仿宋"/>
          <w:color w:val="000000"/>
          <w:sz w:val="32"/>
          <w:szCs w:val="32"/>
        </w:rPr>
        <w:t>%</w:t>
      </w:r>
      <w:r>
        <w:rPr>
          <w:rFonts w:ascii="仿宋" w:eastAsia="仿宋" w:hint="eastAsia"/>
          <w:color w:val="000000"/>
          <w:sz w:val="32"/>
          <w:szCs w:val="32"/>
        </w:rPr>
        <w:t>；项目支出39.81万元，占8</w:t>
      </w:r>
      <w:r>
        <w:rPr>
          <w:rFonts w:ascii="仿宋" w:eastAsia="仿宋"/>
          <w:color w:val="000000"/>
          <w:sz w:val="32"/>
          <w:szCs w:val="32"/>
        </w:rPr>
        <w:t>%</w:t>
      </w:r>
      <w:r>
        <w:rPr>
          <w:rFonts w:ascii="仿宋" w:eastAsia="仿宋" w:hint="eastAsia"/>
          <w:color w:val="000000"/>
          <w:sz w:val="32"/>
          <w:szCs w:val="32"/>
        </w:rPr>
        <w:t>；上缴上级支出0万元，占0</w:t>
      </w:r>
      <w:r>
        <w:rPr>
          <w:rFonts w:ascii="仿宋" w:eastAsia="仿宋"/>
          <w:color w:val="000000"/>
          <w:sz w:val="32"/>
          <w:szCs w:val="32"/>
        </w:rPr>
        <w:t>%</w:t>
      </w:r>
      <w:r>
        <w:rPr>
          <w:rFonts w:ascii="仿宋" w:eastAsia="仿宋" w:hint="eastAsia"/>
          <w:color w:val="000000"/>
          <w:sz w:val="32"/>
          <w:szCs w:val="32"/>
        </w:rPr>
        <w:t>；经营支出0万元，占0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100" w:firstLine="32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600"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9年财政拨款收入472.91万元、支出总计472.91万元。</w:t>
      </w:r>
      <w:r>
        <w:rPr>
          <w:rFonts w:ascii="仿宋_GB2312" w:eastAsia="仿宋_GB2312" w:hint="eastAsia"/>
          <w:sz w:val="32"/>
          <w:szCs w:val="32"/>
          <w:shd w:val="clear" w:color="auto" w:fill="FFFFFF"/>
        </w:rPr>
        <w:t>。</w:t>
      </w:r>
    </w:p>
    <w:p>
      <w:pPr>
        <w:spacing w:line="600" w:lineRule="exact"/>
        <w:ind w:firstLine="640"/>
        <w:rPr>
          <w:rFonts w:ascii="仿宋" w:eastAsia="仿宋"/>
          <w:b/>
          <w:color w:val="000000"/>
          <w:sz w:val="32"/>
          <w:szCs w:val="32"/>
        </w:rPr>
      </w:pPr>
      <w:r>
        <w:rPr>
          <w:rFonts w:ascii="仿宋" w:eastAsia="仿宋" w:hint="eastAsia"/>
          <w:b/>
          <w:color w:val="000000"/>
          <w:sz w:val="32"/>
          <w:szCs w:val="32"/>
        </w:rPr>
        <w:t>（除国有资本经营预算外，数据来源于财决</w:t>
      </w:r>
      <w:r>
        <w:rPr>
          <w:rFonts w:ascii="仿宋" w:eastAsia="仿宋"/>
          <w:b/>
          <w:color w:val="000000"/>
          <w:sz w:val="32"/>
          <w:szCs w:val="32"/>
        </w:rPr>
        <w:t>Z01-1</w:t>
      </w:r>
      <w:r>
        <w:rPr>
          <w:rFonts w:ascii="仿宋" w:eastAsia="仿宋" w:hint="eastAsia"/>
          <w:b/>
          <w:color w:val="000000"/>
          <w:sz w:val="32"/>
          <w:szCs w:val="32"/>
        </w:rPr>
        <w:t>表，口径为“总计”数+国有资本经营预算。）</w:t>
      </w:r>
    </w:p>
    <w:p>
      <w:pPr>
        <w:spacing w:line="600" w:lineRule="exact"/>
        <w:outlineLvl w:val="1"/>
        <w:rPr>
          <w:rStyle w:val="2Char"/>
          <w:rFonts w:ascii="黑体" w:eastAsia="黑体"/>
          <w:b w:val="0"/>
        </w:rPr>
      </w:pPr>
      <w:bookmarkStart w:id="32" w:name="_Toc15396607"/>
      <w:bookmarkStart w:id="3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pacing w:line="600"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9年一般公共预算财政拨款支出464.54元，占本年支出合计的100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w:t>
      </w:r>
      <w:r>
        <w:rPr>
          <w:rFonts w:ascii="仿宋" w:eastAsia="仿宋" w:hint="eastAsia"/>
          <w:color w:val="000000"/>
          <w:sz w:val="32"/>
          <w:szCs w:val="32"/>
        </w:rPr>
        <w:t>8年536.73相比，减少72.19万元，。主要变动原因</w:t>
      </w:r>
      <w:r>
        <w:rPr>
          <w:rFonts w:ascii="仿宋_GB2312" w:eastAsia="仿宋_GB2312" w:hint="eastAsia"/>
          <w:color w:val="000000"/>
          <w:sz w:val="32"/>
          <w:szCs w:val="32"/>
        </w:rPr>
        <w:t>减</w:t>
      </w:r>
      <w:r>
        <w:rPr>
          <w:rFonts w:ascii="仿宋_GB2312" w:eastAsia="仿宋_GB2312" w:hint="eastAsia"/>
          <w:sz w:val="32"/>
          <w:szCs w:val="32"/>
        </w:rPr>
        <w:t>少主要原因是</w:t>
      </w:r>
      <w:r>
        <w:rPr>
          <w:rFonts w:ascii="仿宋" w:eastAsia="仿宋" w:hint="eastAsia"/>
          <w:sz w:val="32"/>
          <w:szCs w:val="32"/>
        </w:rPr>
        <w:t>2019年厉行节约。</w:t>
      </w:r>
    </w:p>
    <w:p>
      <w:pPr>
        <w:spacing w:line="600" w:lineRule="exact"/>
        <w:ind w:firstLineChars="200" w:firstLine="640"/>
        <w:outlineLvl w:val="2"/>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9年一般公共预算财政拨款支出464.54万元，主要用于以下方面</w:t>
      </w:r>
      <w:r>
        <w:rPr>
          <w:rFonts w:ascii="仿宋" w:eastAsia="仿宋"/>
          <w:color w:val="000000"/>
          <w:sz w:val="32"/>
          <w:szCs w:val="32"/>
        </w:rPr>
        <w:t>::</w:t>
      </w:r>
      <w:r>
        <w:rPr>
          <w:rFonts w:ascii="仿宋" w:eastAsia="仿宋" w:hint="eastAsia"/>
          <w:b/>
          <w:color w:val="000000"/>
          <w:sz w:val="32"/>
          <w:szCs w:val="32"/>
        </w:rPr>
        <w:t>一般公共服务（201）</w:t>
      </w:r>
      <w:r>
        <w:rPr>
          <w:rFonts w:ascii="仿宋" w:eastAsia="仿宋" w:hint="eastAsia"/>
          <w:color w:val="000000"/>
          <w:sz w:val="32"/>
          <w:szCs w:val="32"/>
        </w:rPr>
        <w:t>支出407.22万元，占88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公共安全（204）支出</w:t>
      </w:r>
      <w:r>
        <w:rPr>
          <w:rFonts w:ascii="仿宋" w:eastAsia="仿宋" w:hint="eastAsia"/>
          <w:color w:val="000000"/>
          <w:sz w:val="32"/>
          <w:szCs w:val="32"/>
        </w:rPr>
        <w:t>0万元，占0.4%；</w:t>
      </w:r>
      <w:r>
        <w:rPr>
          <w:rFonts w:ascii="仿宋" w:eastAsia="仿宋" w:hint="eastAsia"/>
          <w:b/>
          <w:color w:val="000000"/>
          <w:sz w:val="32"/>
          <w:szCs w:val="32"/>
        </w:rPr>
        <w:t>社会保障和就业（208）</w:t>
      </w:r>
      <w:r>
        <w:rPr>
          <w:rFonts w:ascii="仿宋" w:eastAsia="仿宋" w:hint="eastAsia"/>
          <w:color w:val="000000"/>
          <w:sz w:val="32"/>
          <w:szCs w:val="32"/>
        </w:rPr>
        <w:t>支出21.03万元，占5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医疗卫生与计划生育支出（210）支出</w:t>
      </w:r>
      <w:r>
        <w:rPr>
          <w:rFonts w:ascii="仿宋" w:eastAsia="仿宋" w:hint="eastAsia"/>
          <w:color w:val="000000"/>
          <w:sz w:val="32"/>
          <w:szCs w:val="32"/>
        </w:rPr>
        <w:t>16.87万元，占4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住房保障（221）</w:t>
      </w:r>
      <w:r>
        <w:rPr>
          <w:rFonts w:ascii="仿宋" w:eastAsia="仿宋" w:hint="eastAsia"/>
          <w:color w:val="000000"/>
          <w:sz w:val="32"/>
          <w:szCs w:val="32"/>
        </w:rPr>
        <w:t>支出19.42万元，占4</w:t>
      </w:r>
      <w:r>
        <w:rPr>
          <w:rFonts w:ascii="仿宋" w:eastAsia="仿宋"/>
          <w:color w:val="000000"/>
          <w:sz w:val="32"/>
          <w:szCs w:val="32"/>
        </w:rPr>
        <w:t>%</w:t>
      </w:r>
      <w:r>
        <w:rPr>
          <w:rFonts w:ascii="仿宋" w:eastAsia="仿宋" w:hint="eastAsia"/>
          <w:color w:val="000000"/>
          <w:sz w:val="32"/>
          <w:szCs w:val="32"/>
        </w:rPr>
        <w:t>。</w:t>
      </w:r>
    </w:p>
    <w:p>
      <w:pPr>
        <w:spacing w:line="600" w:lineRule="exact"/>
        <w:outlineLvl w:val="2"/>
        <w:rPr>
          <w:rFonts w:ascii="仿宋" w:eastAsia="仿宋"/>
          <w:b/>
          <w:color w:val="000000"/>
          <w:sz w:val="32"/>
          <w:szCs w:val="32"/>
        </w:rPr>
      </w:pPr>
      <w:bookmarkStart w:id="36" w:name="_Toc15377212"/>
      <w:r>
        <w:rPr>
          <w:rFonts w:ascii="仿宋" w:eastAsia="仿宋" w:hint="eastAsia"/>
          <w:b/>
          <w:color w:val="000000"/>
          <w:sz w:val="32"/>
          <w:szCs w:val="32"/>
        </w:rPr>
        <w:t>（三）一般公共预算财政拨款支出决算具体情况</w:t>
      </w:r>
      <w:bookmarkEnd w:id="36"/>
    </w:p>
    <w:p>
      <w:pPr>
        <w:spacing w:line="600" w:lineRule="exact"/>
        <w:ind w:firstLineChars="200" w:firstLine="640"/>
        <w:outlineLvl w:val="2"/>
        <w:rPr>
          <w:rFonts w:ascii="仿宋" w:eastAsia="仿宋"/>
          <w:color w:val="FF0000"/>
          <w:sz w:val="32"/>
          <w:szCs w:val="32"/>
        </w:rPr>
      </w:pPr>
      <w:bookmarkStart w:id="37" w:name="_Toc15378460"/>
      <w:bookmarkStart w:id="38" w:name="_Toc15377213"/>
      <w:bookmarkStart w:id="39" w:name="_Toc15377444"/>
      <w:r>
        <w:rPr>
          <w:rFonts w:ascii="仿宋" w:eastAsia="仿宋" w:hint="eastAsia"/>
          <w:b/>
          <w:color w:val="000000"/>
          <w:sz w:val="32"/>
          <w:szCs w:val="32"/>
        </w:rPr>
        <w:t>2019年般公共预算支出决算数为464.54</w:t>
      </w:r>
      <w:r>
        <w:rPr>
          <w:rFonts w:ascii="仿宋" w:eastAsia="仿宋" w:hint="eastAsia"/>
          <w:color w:val="000000"/>
          <w:sz w:val="32"/>
          <w:szCs w:val="32"/>
        </w:rPr>
        <w:t>，</w:t>
      </w:r>
      <w:r>
        <w:rPr>
          <w:rStyle w:val="25"/>
          <w:rFonts w:ascii="仿宋" w:eastAsia="仿宋" w:hint="eastAsia"/>
          <w:bCs/>
          <w:color w:val="000000"/>
          <w:sz w:val="32"/>
          <w:szCs w:val="32"/>
        </w:rPr>
        <w:t>完成预算100</w:t>
      </w:r>
      <w:r>
        <w:rPr>
          <w:rStyle w:val="25"/>
          <w:rFonts w:ascii="仿宋" w:eastAsia="仿宋"/>
          <w:bCs/>
          <w:color w:val="000000"/>
          <w:sz w:val="32"/>
          <w:szCs w:val="32"/>
        </w:rPr>
        <w:t>%</w:t>
      </w:r>
      <w:r>
        <w:rPr>
          <w:rStyle w:val="25"/>
          <w:rFonts w:ascii="仿宋" w:eastAsia="仿宋" w:hint="eastAsia"/>
          <w:bCs/>
          <w:color w:val="000000"/>
          <w:sz w:val="32"/>
          <w:szCs w:val="32"/>
        </w:rPr>
        <w:t>。其中：</w:t>
      </w:r>
      <w:bookmarkEnd w:id="37"/>
      <w:bookmarkEnd w:id="38"/>
      <w:bookmarkEnd w:id="39"/>
    </w:p>
    <w:p>
      <w:pPr>
        <w:numPr>
          <w:ilvl w:val="0"/>
          <w:numId w:val="3"/>
        </w:numPr>
        <w:spacing w:line="600" w:lineRule="exact"/>
        <w:ind w:left="0"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一般公共服务（201）群众团体事务（29）行政运行（01）</w:t>
      </w:r>
      <w:r>
        <w:rPr>
          <w:rStyle w:val="25"/>
          <w:rFonts w:ascii="仿宋" w:eastAsia="仿宋"/>
          <w:bCs/>
          <w:color w:val="000000"/>
          <w:sz w:val="32"/>
          <w:szCs w:val="32"/>
        </w:rPr>
        <w:t>:</w:t>
      </w:r>
      <w:r>
        <w:rPr>
          <w:rStyle w:val="25"/>
          <w:rFonts w:ascii="仿宋" w:eastAsia="仿宋" w:hint="eastAsia"/>
          <w:b w:val="0"/>
          <w:bCs/>
          <w:color w:val="000000"/>
          <w:sz w:val="32"/>
          <w:szCs w:val="32"/>
        </w:rPr>
        <w:t>支出决算为367.41万元，完成预算100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Cs/>
          <w:color w:val="000000"/>
          <w:sz w:val="32"/>
          <w:szCs w:val="32"/>
        </w:rPr>
        <w:t>一般公共服务（201）其它群众团体事务（99）：</w:t>
      </w:r>
      <w:r>
        <w:rPr>
          <w:rStyle w:val="25"/>
          <w:rFonts w:ascii="仿宋" w:eastAsia="仿宋" w:hint="eastAsia"/>
          <w:b w:val="0"/>
          <w:bCs/>
          <w:color w:val="000000"/>
          <w:sz w:val="32"/>
          <w:szCs w:val="32"/>
        </w:rPr>
        <w:t>支出决算39.81万元，完成预算100</w:t>
      </w:r>
      <w:r>
        <w:rPr>
          <w:rStyle w:val="25"/>
          <w:rFonts w:ascii="仿宋" w:eastAsia="仿宋"/>
          <w:b w:val="0"/>
          <w:bCs/>
          <w:color w:val="000000"/>
          <w:sz w:val="32"/>
          <w:szCs w:val="32"/>
        </w:rPr>
        <w:t>%</w:t>
      </w:r>
    </w:p>
    <w:p>
      <w:pPr>
        <w:numPr>
          <w:ilvl w:val="0"/>
          <w:numId w:val="3"/>
        </w:numPr>
        <w:spacing w:line="600" w:lineRule="exact"/>
        <w:ind w:left="0"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社会保障和就业（208）行政事业单位 离退休（05）机关事业单位 基本养老保险缴费支出（05）</w:t>
      </w:r>
      <w:r>
        <w:rPr>
          <w:rStyle w:val="25"/>
          <w:rFonts w:ascii="仿宋" w:eastAsia="仿宋"/>
          <w:bCs/>
          <w:color w:val="000000"/>
          <w:sz w:val="32"/>
          <w:szCs w:val="32"/>
        </w:rPr>
        <w:t>:</w:t>
      </w:r>
      <w:r>
        <w:rPr>
          <w:rStyle w:val="25"/>
          <w:rFonts w:ascii="仿宋" w:eastAsia="仿宋" w:hint="eastAsia"/>
          <w:b w:val="0"/>
          <w:bCs/>
          <w:color w:val="000000"/>
          <w:sz w:val="32"/>
          <w:szCs w:val="32"/>
        </w:rPr>
        <w:t>支出决算为21.03万元，完成预算100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numPr>
          <w:ilvl w:val="0"/>
          <w:numId w:val="3"/>
        </w:numPr>
        <w:spacing w:line="600" w:lineRule="exact"/>
        <w:ind w:left="0"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医疗卫生与计划生育（210）行政事业单位医疗（11）行政单位医疗（01）：</w:t>
      </w:r>
      <w:r>
        <w:rPr>
          <w:rStyle w:val="25"/>
          <w:rFonts w:ascii="仿宋" w:eastAsia="仿宋" w:hint="eastAsia"/>
          <w:b w:val="0"/>
          <w:bCs/>
          <w:color w:val="000000"/>
          <w:sz w:val="32"/>
          <w:szCs w:val="32"/>
        </w:rPr>
        <w:t>支出决算为11.35万元，完成预算100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Cs/>
          <w:color w:val="000000"/>
          <w:sz w:val="32"/>
          <w:szCs w:val="32"/>
        </w:rPr>
        <w:t>医疗卫生与计划生育（210）行政事业单位医疗（11）公务员医疗补助（03）：</w:t>
      </w:r>
      <w:r>
        <w:rPr>
          <w:rStyle w:val="25"/>
          <w:rFonts w:ascii="仿宋" w:eastAsia="仿宋" w:hint="eastAsia"/>
          <w:b w:val="0"/>
          <w:bCs/>
          <w:color w:val="000000"/>
          <w:sz w:val="32"/>
          <w:szCs w:val="32"/>
        </w:rPr>
        <w:t>支出决算为3.76万元，完成预算100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Cs/>
          <w:color w:val="000000"/>
          <w:sz w:val="32"/>
          <w:szCs w:val="32"/>
        </w:rPr>
        <w:t>卫生健康支出（210）卫生健康管理事务（01）其它卫生健康管理事务支出（99）</w:t>
      </w:r>
      <w:r>
        <w:rPr>
          <w:rStyle w:val="25"/>
          <w:rFonts w:ascii="仿宋" w:eastAsia="仿宋"/>
          <w:bCs/>
          <w:color w:val="000000"/>
          <w:sz w:val="32"/>
          <w:szCs w:val="32"/>
        </w:rPr>
        <w:t>:</w:t>
      </w:r>
      <w:r>
        <w:rPr>
          <w:rStyle w:val="25"/>
          <w:rFonts w:ascii="仿宋" w:eastAsia="仿宋" w:hint="eastAsia"/>
          <w:b w:val="0"/>
          <w:bCs/>
          <w:color w:val="000000"/>
          <w:sz w:val="32"/>
          <w:szCs w:val="32"/>
        </w:rPr>
        <w:t>支出决算为1.76万元，完成预算100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leftChars="200" w:left="420"/>
        <w:rPr>
          <w:rFonts w:ascii="仿宋" w:eastAsia="仿宋"/>
          <w:b/>
          <w:color w:val="000000"/>
          <w:sz w:val="32"/>
          <w:szCs w:val="32"/>
        </w:rPr>
      </w:pPr>
      <w:r>
        <w:rPr>
          <w:rStyle w:val="25"/>
          <w:rFonts w:ascii="仿宋" w:eastAsia="仿宋" w:hint="eastAsia"/>
          <w:color w:val="000000"/>
          <w:sz w:val="32"/>
          <w:szCs w:val="32"/>
        </w:rPr>
        <w:t>5、住房保障支出（</w:t>
      </w:r>
      <w:r>
        <w:rPr>
          <w:rStyle w:val="25"/>
          <w:rFonts w:ascii="仿宋" w:eastAsia="仿宋" w:hint="eastAsia"/>
          <w:bCs/>
          <w:color w:val="000000"/>
          <w:sz w:val="32"/>
          <w:szCs w:val="32"/>
        </w:rPr>
        <w:t>221）住房改革支出（02）住房公积金（01）</w:t>
      </w:r>
      <w:r>
        <w:rPr>
          <w:rStyle w:val="25"/>
          <w:rFonts w:ascii="仿宋" w:eastAsia="仿宋"/>
          <w:bCs/>
          <w:color w:val="000000"/>
          <w:sz w:val="32"/>
          <w:szCs w:val="32"/>
        </w:rPr>
        <w:t>:</w:t>
      </w:r>
      <w:r>
        <w:rPr>
          <w:rStyle w:val="25"/>
          <w:rFonts w:ascii="仿宋" w:eastAsia="仿宋" w:hint="eastAsia"/>
          <w:b w:val="0"/>
          <w:bCs/>
          <w:color w:val="000000"/>
          <w:sz w:val="32"/>
          <w:szCs w:val="32"/>
        </w:rPr>
        <w:t>支出决算为19.42万元，完成预算100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08</w:t>
      </w:r>
      <w:r>
        <w:rPr>
          <w:rFonts w:ascii="仿宋" w:eastAsia="仿宋" w:hint="eastAsia"/>
          <w:b/>
          <w:color w:val="000000"/>
          <w:sz w:val="32"/>
          <w:szCs w:val="32"/>
        </w:rPr>
        <w:t>表，罗列全部功能分类科目至项级。上述“预算”口径为调整预算数。增减变动原因为决算数</w:t>
      </w:r>
      <w:r>
        <w:rPr>
          <w:rFonts w:ascii="仿宋" w:eastAsia="仿宋"/>
          <w:b/>
          <w:color w:val="000000"/>
          <w:sz w:val="32"/>
          <w:szCs w:val="32"/>
        </w:rPr>
        <w:t>&lt;</w:t>
      </w:r>
      <w:r>
        <w:rPr>
          <w:rFonts w:ascii="仿宋" w:eastAsia="仿宋" w:hint="eastAsia"/>
          <w:b/>
          <w:color w:val="000000"/>
          <w:sz w:val="32"/>
          <w:szCs w:val="32"/>
        </w:rPr>
        <w:t>项级</w:t>
      </w:r>
      <w:r>
        <w:rPr>
          <w:rFonts w:ascii="仿宋" w:eastAsia="仿宋"/>
          <w:b/>
          <w:color w:val="000000"/>
          <w:sz w:val="32"/>
          <w:szCs w:val="32"/>
        </w:rPr>
        <w:t>&gt;</w:t>
      </w:r>
      <w:r>
        <w:rPr>
          <w:rFonts w:ascii="仿宋" w:eastAsia="仿宋" w:hint="eastAsia"/>
          <w:b/>
          <w:color w:val="000000"/>
          <w:sz w:val="32"/>
          <w:szCs w:val="32"/>
        </w:rPr>
        <w:t>和调整预算数</w:t>
      </w:r>
      <w:r>
        <w:rPr>
          <w:rFonts w:ascii="仿宋" w:eastAsia="仿宋"/>
          <w:b/>
          <w:color w:val="000000"/>
          <w:sz w:val="32"/>
          <w:szCs w:val="32"/>
        </w:rPr>
        <w:t>&lt;</w:t>
      </w:r>
      <w:r>
        <w:rPr>
          <w:rFonts w:ascii="仿宋" w:eastAsia="仿宋" w:hint="eastAsia"/>
          <w:b/>
          <w:color w:val="000000"/>
          <w:sz w:val="32"/>
          <w:szCs w:val="32"/>
        </w:rPr>
        <w:t>项级</w:t>
      </w:r>
      <w:r>
        <w:rPr>
          <w:rFonts w:ascii="仿宋" w:eastAsia="仿宋"/>
          <w:b/>
          <w:color w:val="000000"/>
          <w:sz w:val="32"/>
          <w:szCs w:val="32"/>
        </w:rPr>
        <w:t>&gt;</w:t>
      </w:r>
      <w:r>
        <w:rPr>
          <w:rFonts w:ascii="仿宋" w:eastAsia="仿宋" w:hint="eastAsia"/>
          <w:b/>
          <w:color w:val="000000"/>
          <w:sz w:val="32"/>
          <w:szCs w:val="32"/>
        </w:rPr>
        <w:t>比较，与预算数持平可以不写原因。）</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Char"/>
        </w:rPr>
      </w:pPr>
      <w:bookmarkStart w:id="40" w:name="_Toc15396608"/>
      <w:bookmarkStart w:id="41" w:name="_Toc1537721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9年一般公共预算财政拨款基本支出424.72万元，其中：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353.01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color w:val="000000"/>
          <w:sz w:val="32"/>
          <w:szCs w:val="32"/>
        </w:rPr>
        <w:br/>
      </w:r>
      <w:r>
        <w:rPr>
          <w:rFonts w:ascii="仿宋" w:eastAsia="仿宋" w:hint="eastAsia"/>
          <w:color w:val="000000"/>
          <w:sz w:val="32"/>
          <w:szCs w:val="32"/>
        </w:rPr>
        <w:t>　　公用经费71.71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0</w:t>
      </w:r>
      <w:r>
        <w:rPr>
          <w:rFonts w:ascii="仿宋" w:eastAsia="仿宋" w:hint="eastAsia"/>
          <w:b/>
          <w:color w:val="000000"/>
          <w:sz w:val="32"/>
          <w:szCs w:val="32"/>
        </w:rPr>
        <w:t>7表，根据本部门实际支出情况罗列全部经济分类科目。）</w:t>
      </w:r>
    </w:p>
    <w:p>
      <w:pPr>
        <w:spacing w:line="600" w:lineRule="exact"/>
        <w:ind w:firstLine="640"/>
        <w:rPr>
          <w:rFonts w:ascii="仿宋" w:eastAsia="仿宋"/>
          <w:b/>
          <w:color w:val="FF0000"/>
          <w:sz w:val="32"/>
          <w:szCs w:val="32"/>
        </w:rPr>
      </w:pPr>
    </w:p>
    <w:p>
      <w:pPr>
        <w:spacing w:line="600" w:lineRule="exact"/>
        <w:ind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9年“三公”经费财政拨款支出决算为11.78万元，完成预算100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rPr>
          <w:rFonts w:ascii="仿宋" w:eastAsia="仿宋"/>
          <w:b/>
          <w:color w:val="000000"/>
          <w:sz w:val="32"/>
          <w:szCs w:val="32"/>
        </w:rPr>
      </w:pPr>
      <w:r>
        <w:rPr>
          <w:rFonts w:ascii="仿宋" w:eastAsia="仿宋" w:hint="eastAsia"/>
          <w:b/>
          <w:color w:val="000000"/>
          <w:sz w:val="32"/>
          <w:szCs w:val="32"/>
        </w:rPr>
        <w:t>（上述“预算”口径为调整预算数，包括政府性基金支出决算情况。）</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9年“三公”经费财政拨款支出决算中，因公出国（境）费支出决算0万元，占0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；公务用车购置及运行维护费支出决算11.63万元，占98</w:t>
      </w:r>
      <w:r>
        <w:rPr>
          <w:rFonts w:ascii="仿宋" w:eastAsia="仿宋"/>
          <w:color w:val="000000"/>
          <w:sz w:val="32"/>
          <w:szCs w:val="32"/>
        </w:rPr>
        <w:t>%</w:t>
      </w:r>
      <w:r>
        <w:rPr>
          <w:rFonts w:ascii="仿宋" w:eastAsia="仿宋" w:hint="eastAsia"/>
          <w:color w:val="000000"/>
          <w:sz w:val="32"/>
          <w:szCs w:val="32"/>
        </w:rPr>
        <w:t>；公务接待费支出决算0.15万元，占2</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pPr>
        <w:spacing w:line="600" w:lineRule="exact"/>
        <w:ind w:firstLineChars="200" w:firstLine="640"/>
        <w:rPr>
          <w:rFonts w:ascii="仿宋" w:eastAsia="仿宋"/>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公务用车购置及运行维护费支出11.63</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8年18.41万元减6.78万元，减</w:t>
      </w:r>
      <w:r>
        <w:rPr>
          <w:rFonts w:ascii="仿宋_GB2312" w:eastAsia="仿宋_GB2312" w:hint="eastAsia"/>
          <w:sz w:val="32"/>
          <w:szCs w:val="32"/>
        </w:rPr>
        <w:t>少主要原因是</w:t>
      </w:r>
      <w:r>
        <w:rPr>
          <w:rFonts w:ascii="仿宋" w:eastAsia="仿宋" w:hint="eastAsia"/>
          <w:sz w:val="32"/>
          <w:szCs w:val="32"/>
        </w:rPr>
        <w:t>2019年厉行节约。</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月底，单位共有公务用车4辆，其中：轿车3辆、越野车1辆、载客汽车0辆。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公务用车运行维护费支出11.78</w:t>
      </w:r>
      <w:r>
        <w:rPr>
          <w:rFonts w:ascii="仿宋_GB2312" w:eastAsia="仿宋_GB2312" w:hint="eastAsia"/>
          <w:color w:val="000000"/>
          <w:sz w:val="32"/>
          <w:szCs w:val="32"/>
        </w:rPr>
        <w:t>万元。主要用于工会、团委 妇联三家日常工作等所需的公务用车燃料费、维修费、过路过桥费、保险费等支出。</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公务接待费支出0.15</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sz w:val="32"/>
          <w:szCs w:val="32"/>
        </w:rPr>
        <w:t>201</w:t>
      </w:r>
      <w:r>
        <w:rPr>
          <w:rFonts w:ascii="仿宋_GB2312" w:eastAsia="仿宋_GB2312" w:hint="eastAsia"/>
          <w:sz w:val="32"/>
          <w:szCs w:val="32"/>
        </w:rPr>
        <w:t>8年0.53减少0.38万元，减少253</w:t>
      </w:r>
      <w:r>
        <w:rPr>
          <w:rFonts w:ascii="仿宋_GB2312" w:eastAsia="仿宋_GB2312"/>
          <w:sz w:val="32"/>
          <w:szCs w:val="32"/>
        </w:rPr>
        <w:t>%</w:t>
      </w:r>
      <w:r>
        <w:rPr>
          <w:rFonts w:ascii="仿宋_GB2312" w:eastAsia="仿宋_GB2312" w:hint="eastAsia"/>
          <w:sz w:val="32"/>
          <w:szCs w:val="32"/>
        </w:rPr>
        <w:t>。主要原因减少主要原因是</w:t>
      </w:r>
      <w:r>
        <w:rPr>
          <w:rFonts w:ascii="仿宋" w:eastAsia="仿宋" w:hint="eastAsia"/>
          <w:sz w:val="32"/>
          <w:szCs w:val="32"/>
        </w:rPr>
        <w:t>2019年厉行节约。</w:t>
      </w:r>
      <w:r>
        <w:rPr>
          <w:rFonts w:ascii="仿宋_GB2312" w:eastAsia="仿宋_GB2312" w:hint="eastAsia"/>
          <w:sz w:val="32"/>
          <w:szCs w:val="32"/>
        </w:rPr>
        <w:t>主</w:t>
      </w:r>
      <w:r>
        <w:rPr>
          <w:rFonts w:ascii="仿宋_GB2312" w:eastAsia="仿宋_GB2312" w:hint="eastAsia"/>
          <w:color w:val="000000"/>
          <w:sz w:val="32"/>
          <w:szCs w:val="32"/>
        </w:rPr>
        <w:t>要用于执行公务、开展业务活动开支的交通费、住宿费、用餐费等。国内公务接待2批次，13人次（不包括陪同人员），共计支出0.15万元，用于日常工作接待。</w:t>
      </w:r>
    </w:p>
    <w:p>
      <w:pPr>
        <w:spacing w:line="600" w:lineRule="exact"/>
        <w:ind w:firstLine="640"/>
        <w:outlineLvl w:val="1"/>
        <w:rPr>
          <w:rStyle w:val="2Char"/>
          <w:rFonts w:ascii="黑体" w:eastAsia="黑体"/>
        </w:rPr>
      </w:pPr>
      <w:bookmarkStart w:id="46" w:name="_Toc15377218"/>
      <w:bookmarkStart w:id="47"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9年政府性基金预算拨款支出0万元。总工会无政府性基金。</w:t>
      </w:r>
    </w:p>
    <w:p>
      <w:pPr>
        <w:spacing w:line="600" w:lineRule="exact"/>
        <w:ind w:firstLineChars="200" w:firstLine="640"/>
        <w:outlineLvl w:val="1"/>
        <w:rPr>
          <w:rStyle w:val="2Char"/>
          <w:rFonts w:ascii="黑体" w:eastAsia="黑体"/>
          <w:b w:val="0"/>
        </w:rPr>
      </w:pPr>
      <w:bookmarkStart w:id="48" w:name="_Toc15377219"/>
      <w:bookmarkStart w:id="49" w:name="_Toc15396611"/>
      <w:r>
        <w:rPr>
          <w:rStyle w:val="2Char"/>
          <w:rFonts w:ascii="黑体" w:eastAsia="黑体" w:hint="eastAsia"/>
          <w:b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9年国有资本经营预算拨款支出0万元。总工会无国有资本经营资金。</w:t>
      </w:r>
    </w:p>
    <w:p>
      <w:pPr>
        <w:pStyle w:val="29"/>
        <w:spacing w:line="580" w:lineRule="exact"/>
        <w:rPr>
          <w:rStyle w:val="2Char"/>
          <w:rFonts w:ascii="黑体" w:eastAsia="黑体"/>
          <w:b w:val="0"/>
        </w:rPr>
      </w:pPr>
      <w:r>
        <w:rPr>
          <w:rStyle w:val="2Char"/>
          <w:rFonts w:ascii="黑体" w:eastAsia="黑体" w:hint="eastAsia"/>
          <w:b w:val="0"/>
        </w:rPr>
        <w:t>十、预算绩效情况说明</w:t>
      </w:r>
    </w:p>
    <w:p>
      <w:pPr>
        <w:numPr>
          <w:ilvl w:val="0"/>
          <w:numId w:val="4"/>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单位）在年初预算编制阶段，组织没对项目开展预算事前绩效评估，对0个项目编制了绩效目标，预算执行过程中，选取个0项目开展绩效监控，年终执行完毕后，对0个项目开展了绩效目标完成情况梳理填报。</w:t>
      </w:r>
    </w:p>
    <w:p>
      <w:pPr>
        <w:spacing w:line="580" w:lineRule="exact"/>
        <w:ind w:firstLineChars="200" w:firstLine="640"/>
        <w:rPr>
          <w:rFonts w:ascii="仿宋_GB2312" w:eastAsia="仿宋_GB2312" w:cs="仿宋_GB2312"/>
          <w:sz w:val="32"/>
          <w:szCs w:val="32"/>
        </w:rPr>
      </w:pPr>
    </w:p>
    <w:p>
      <w:pPr>
        <w:pStyle w:val="24"/>
        <w:spacing w:before="0" w:beforeAutospacing="0" w:after="0" w:afterAutospacing="0" w:line="560" w:lineRule="atLeast"/>
        <w:ind w:leftChars="304" w:left="638"/>
        <w:rPr>
          <w:rFonts w:ascii="仿宋" w:eastAsia="仿宋" w:cs="楷体_GB2312"/>
          <w:b/>
          <w:bCs/>
          <w:sz w:val="32"/>
          <w:szCs w:val="32"/>
        </w:rPr>
      </w:pPr>
      <w:r>
        <w:rPr>
          <w:rFonts w:ascii="仿宋" w:eastAsia="仿宋" w:cs="楷体_GB2312" w:hint="eastAsia"/>
          <w:b/>
          <w:bCs/>
          <w:sz w:val="32"/>
          <w:szCs w:val="32"/>
        </w:rPr>
        <w:t>项目绩效目标完成情况。</w:t>
      </w:r>
    </w:p>
    <w:p>
      <w:pPr>
        <w:pStyle w:val="24"/>
        <w:spacing w:before="0" w:beforeAutospacing="0" w:after="0" w:afterAutospacing="0" w:line="560" w:lineRule="atLeast"/>
        <w:rPr>
          <w:rFonts w:ascii="仿宋" w:eastAsia="仿宋" w:cs="楷体_GB2312"/>
          <w:b/>
          <w:bCs/>
          <w:sz w:val="32"/>
          <w:szCs w:val="32"/>
        </w:rPr>
      </w:pPr>
      <w:r>
        <w:rPr>
          <w:rFonts w:ascii="仿宋" w:eastAsia="仿宋" w:cs="楷体_GB2312" w:hint="eastAsia"/>
          <w:b/>
          <w:bCs/>
          <w:sz w:val="32"/>
          <w:szCs w:val="32"/>
        </w:rPr>
        <w:t>（二）部门开展绩效评价结果。</w:t>
      </w:r>
    </w:p>
    <w:p>
      <w:pPr>
        <w:pStyle w:val="24"/>
        <w:spacing w:before="0" w:beforeAutospacing="0" w:after="0" w:afterAutospacing="0" w:line="560" w:lineRule="atLeas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2019年部门整体支出开展绩效自评，从评价情况来看2019年我单位整体支出464.54万元，基本支出424.73万元，其中人员经费353.01万元，主要用于人员工资及社保障激纳等。日常公用经费支出71.71万元，主要用于日常办公开支。项目支39.81万元，主要用于工会困难职工和妇联儿童之家建设</w:t>
      </w:r>
    </w:p>
    <w:p>
      <w:pPr>
        <w:spacing w:line="800" w:lineRule="exact"/>
        <w:rPr>
          <w:rFonts w:ascii="仿宋_GB2312" w:eastAsia="仿宋_GB2312" w:cs="仿宋_GB2312"/>
          <w:sz w:val="32"/>
          <w:szCs w:val="32"/>
        </w:rPr>
      </w:pPr>
      <w:r>
        <w:rPr>
          <w:rFonts w:ascii="仿宋_GB2312" w:eastAsia="仿宋_GB2312" w:cs="仿宋_GB2312" w:hint="eastAsia"/>
          <w:sz w:val="32"/>
          <w:szCs w:val="32"/>
        </w:rPr>
        <w:t>本部门按要求对2019年部门整体支出绩效评价情况开展</w:t>
      </w:r>
    </w:p>
    <w:p>
      <w:pPr>
        <w:spacing w:line="800" w:lineRule="exact"/>
        <w:jc w:val="left"/>
        <w:rPr>
          <w:rFonts w:ascii="仿宋" w:eastAsia="仿宋" w:cs="仿宋"/>
          <w:bCs/>
          <w:sz w:val="32"/>
          <w:szCs w:val="32"/>
        </w:rPr>
      </w:pPr>
      <w:r>
        <w:rPr>
          <w:rFonts w:ascii="仿宋_GB2312" w:eastAsia="仿宋_GB2312" w:cs="仿宋_GB2312" w:hint="eastAsia"/>
          <w:sz w:val="32"/>
          <w:szCs w:val="32"/>
        </w:rPr>
        <w:t>了《</w:t>
      </w:r>
      <w:r>
        <w:rPr>
          <w:rFonts w:ascii="仿宋" w:eastAsia="仿宋" w:cs="仿宋" w:hint="eastAsia"/>
          <w:bCs/>
          <w:sz w:val="32"/>
          <w:szCs w:val="32"/>
        </w:rPr>
        <w:t>九寨沟县2019年度部门整体支出绩效评价自评报告》</w:t>
      </w:r>
    </w:p>
    <w:p>
      <w:pPr>
        <w:spacing w:line="580" w:lineRule="exact"/>
        <w:jc w:val="left"/>
        <w:rPr>
          <w:rFonts w:ascii="仿宋_GB2312" w:eastAsia="仿宋_GB2312" w:cs="仿宋_GB2312"/>
          <w:sz w:val="32"/>
          <w:szCs w:val="32"/>
        </w:rPr>
      </w:pPr>
      <w:r>
        <w:rPr>
          <w:rFonts w:ascii="仿宋_GB2312" w:eastAsia="仿宋_GB2312" w:cs="仿宋_GB2312" w:hint="eastAsia"/>
          <w:sz w:val="32"/>
          <w:szCs w:val="32"/>
        </w:rPr>
        <w:t>见附件。</w:t>
      </w:r>
    </w:p>
    <w:p>
      <w:pPr>
        <w:spacing w:line="600" w:lineRule="exact"/>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9年，九寨沟县总工会机关运行经费支出85万元，比</w:t>
      </w:r>
      <w:r>
        <w:rPr>
          <w:rFonts w:ascii="仿宋_GB2312" w:eastAsia="仿宋_GB2312"/>
          <w:color w:val="000000"/>
          <w:sz w:val="32"/>
          <w:szCs w:val="32"/>
        </w:rPr>
        <w:t>201</w:t>
      </w:r>
      <w:r>
        <w:rPr>
          <w:rFonts w:ascii="仿宋_GB2312" w:eastAsia="仿宋_GB2312" w:hint="eastAsia"/>
          <w:color w:val="000000"/>
          <w:sz w:val="32"/>
          <w:szCs w:val="32"/>
        </w:rPr>
        <w:t>8年减少61.55万元，减少72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主要原因是</w:t>
      </w:r>
      <w:r>
        <w:rPr>
          <w:rFonts w:ascii="仿宋" w:eastAsia="仿宋" w:hint="eastAsia"/>
          <w:sz w:val="32"/>
          <w:szCs w:val="32"/>
        </w:rPr>
        <w:t>2019年厉行节约</w:t>
      </w:r>
      <w:r>
        <w:rPr>
          <w:rFonts w:ascii="仿宋_GB2312" w:eastAsia="仿宋_GB2312" w:hint="eastAsia"/>
          <w:sz w:val="32"/>
          <w:szCs w:val="32"/>
          <w:shd w:val="clear" w:color="auto" w:fill="FFFFFF"/>
        </w:rPr>
        <w:t>。</w:t>
      </w:r>
    </w:p>
    <w:p>
      <w:pPr>
        <w:spacing w:line="600" w:lineRule="exact"/>
        <w:ind w:firstLine="640"/>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CS05</w:t>
      </w:r>
      <w:r>
        <w:rPr>
          <w:rFonts w:ascii="仿宋" w:eastAsia="仿宋" w:hint="eastAsia"/>
          <w:b/>
          <w:color w:val="000000"/>
          <w:sz w:val="32"/>
          <w:szCs w:val="32"/>
        </w:rPr>
        <w:t>表）</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9年，总工会政府采购支出总额0万元，其中：政府采购货物支出0万元、政府采购工程支出0万元、政府采购服务支出0万元。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CS06</w:t>
      </w:r>
      <w:r>
        <w:rPr>
          <w:rFonts w:ascii="仿宋" w:eastAsia="仿宋" w:hint="eastAsia"/>
          <w:b/>
          <w:color w:val="000000"/>
          <w:sz w:val="32"/>
          <w:szCs w:val="32"/>
        </w:rPr>
        <w:t>表）</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日，总工会共有车辆4辆，其中：部级领导干部用车1辆、一般公务用车3辆、一般执法执勤用车0辆、特种专业技术用车0辆、其他用车0辆，单价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万元以上通用设备1台（套），单价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（数据来源财决</w:t>
      </w:r>
      <w:r>
        <w:rPr>
          <w:rFonts w:ascii="仿宋" w:eastAsia="仿宋"/>
          <w:b/>
          <w:color w:val="000000"/>
          <w:sz w:val="32"/>
          <w:szCs w:val="32"/>
        </w:rPr>
        <w:t>CS05</w:t>
      </w:r>
      <w:r>
        <w:rPr>
          <w:rFonts w:ascii="仿宋" w:eastAsia="仿宋" w:hint="eastAsia"/>
          <w:b/>
          <w:color w:val="000000"/>
          <w:sz w:val="32"/>
          <w:szCs w:val="32"/>
        </w:rPr>
        <w:t>表，按部门决算报表填报数据罗列车辆情况。）</w:t>
      </w:r>
    </w:p>
    <w:p>
      <w:pPr>
        <w:spacing w:line="600" w:lineRule="atLeast"/>
        <w:ind w:firstLineChars="200" w:firstLine="64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Chars="150" w:firstLine="660"/>
        <w:jc w:val="center"/>
        <w:outlineLvl w:val="0"/>
        <w:rPr>
          <w:rStyle w:val="1Char"/>
          <w:rFonts w:ascii="黑体" w:eastAsia="黑体"/>
          <w:b w:val="0"/>
        </w:rPr>
      </w:pPr>
      <w:bookmarkStart w:id="55" w:name="_Toc15396613"/>
      <w:bookmarkStart w:id="56" w:name="_Toc15377225"/>
      <w:r>
        <w:rPr>
          <w:rFonts w:ascii="黑体" w:eastAsia="黑体" w:hint="eastAsia"/>
          <w:b/>
          <w:color w:val="000000"/>
          <w:sz w:val="44"/>
          <w:szCs w:val="44"/>
        </w:rPr>
        <w:t>名</w:t>
      </w:r>
      <w:r>
        <w:rPr>
          <w:rStyle w:val="1Char"/>
          <w:rFonts w:ascii="黑体" w:eastAsia="黑体" w:hint="eastAsia"/>
          <w:b w:val="0"/>
        </w:rPr>
        <w:t>词解释</w:t>
      </w:r>
      <w:bookmarkEnd w:id="55"/>
      <w:bookmarkEnd w:id="56"/>
    </w:p>
    <w:p>
      <w:pPr>
        <w:spacing w:line="600" w:lineRule="exact"/>
        <w:jc w:val="left"/>
        <w:rPr>
          <w:rFonts w:ascii="宋体"/>
          <w:b/>
          <w:color w:val="000000"/>
          <w:sz w:val="44"/>
          <w:szCs w:val="44"/>
        </w:rPr>
      </w:pPr>
    </w:p>
    <w:p>
      <w:pPr>
        <w:pStyle w:val="28"/>
        <w:spacing w:line="560" w:lineRule="exact"/>
        <w:ind w:firstLineChars="200" w:firstLine="640"/>
        <w:rPr>
          <w:rFonts w:ascii="仿宋_GB2312" w:eastAsia="仿宋_GB2312"/>
          <w:sz w:val="32"/>
          <w:szCs w:val="32"/>
        </w:rPr>
      </w:pPr>
      <w:bookmarkStart w:id="57" w:name="_Toc15396614"/>
      <w:bookmarkStart w:id="58"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社会保障和就业（208）行政事业单位离退休（05）机关事业单位基本养老保险缴费支出（05）：指部门实施养老保险制度由单位缴纳的养老保险支出。</w:t>
      </w:r>
    </w:p>
    <w:p>
      <w:pPr>
        <w:spacing w:line="560" w:lineRule="exact"/>
        <w:ind w:firstLineChars="200" w:firstLine="640"/>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 xml:space="preserve">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 xml:space="preserve">住房保障支出（221）住房改革支出（02）住房公积金（01）：指按照《住房公积金管理条例》的规定，由单位及其在职职工缴存的长期住房储金。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Style w:val="1Char"/>
          <w:rFonts w:ascii="黑体" w:eastAsia="黑体"/>
          <w:b w:val="0"/>
        </w:rPr>
      </w:pPr>
      <w:r>
        <w:rPr>
          <w:rFonts w:ascii="黑体" w:eastAsia="黑体" w:hint="eastAsia"/>
          <w:color w:val="000000"/>
          <w:sz w:val="44"/>
          <w:szCs w:val="44"/>
        </w:rPr>
        <w:t xml:space="preserve">             第</w:t>
      </w:r>
      <w:r>
        <w:rPr>
          <w:rStyle w:val="1Char"/>
          <w:rFonts w:ascii="黑体" w:eastAsia="黑体" w:hint="eastAsia"/>
          <w:b w:val="0"/>
        </w:rPr>
        <w:t>四部分 附件</w:t>
      </w:r>
      <w:bookmarkEnd w:id="57"/>
    </w:p>
    <w:p>
      <w:pPr>
        <w:spacing w:line="600" w:lineRule="exact"/>
        <w:jc w:val="center"/>
        <w:outlineLvl w:val="0"/>
        <w:rPr>
          <w:rStyle w:val="1Char"/>
        </w:rPr>
      </w:pPr>
    </w:p>
    <w:p>
      <w:pPr>
        <w:pStyle w:val="2"/>
        <w:rPr>
          <w:rStyle w:val="1Char"/>
          <w:rFonts w:ascii="仿宋" w:eastAsia="仿宋"/>
          <w:sz w:val="32"/>
          <w:szCs w:val="32"/>
        </w:rPr>
      </w:pPr>
      <w:bookmarkStart w:id="59" w:name="_Toc15396615"/>
      <w:r>
        <w:rPr>
          <w:rStyle w:val="1Char"/>
          <w:rFonts w:ascii="仿宋" w:eastAsia="仿宋" w:hint="eastAsia"/>
          <w:sz w:val="32"/>
          <w:szCs w:val="32"/>
        </w:rPr>
        <w:t>附件1</w:t>
      </w:r>
      <w:bookmarkEnd w:id="59"/>
    </w:p>
    <w:p>
      <w:pPr>
        <w:widowControl/>
        <w:spacing w:line="480" w:lineRule="exact"/>
        <w:jc w:val="center"/>
        <w:rPr>
          <w:rFonts w:ascii="方正小标宋简体" w:eastAsia="方正小标宋简体"/>
          <w:sz w:val="44"/>
          <w:szCs w:val="44"/>
        </w:rPr>
      </w:pPr>
      <w:bookmarkStart w:id="60" w:name="_Toc15396616"/>
      <w:r>
        <w:rPr>
          <w:rFonts w:ascii="方正小标宋简体" w:eastAsia="方正小标宋简体"/>
          <w:sz w:val="44"/>
          <w:szCs w:val="44"/>
        </w:rPr>
        <w:t>20</w:t>
      </w:r>
      <w:r>
        <w:rPr>
          <w:rFonts w:ascii="方正小标宋简体" w:eastAsia="方正小标宋简体" w:hint="eastAsia"/>
          <w:sz w:val="44"/>
          <w:szCs w:val="44"/>
        </w:rPr>
        <w:t>19年九寨沟县总工会部门整体支出</w:t>
      </w:r>
    </w:p>
    <w:p>
      <w:pPr>
        <w:widowControl/>
        <w:spacing w:line="480" w:lineRule="exact"/>
        <w:jc w:val="center"/>
        <w:rPr>
          <w:rFonts w:ascii="方正小标宋简体" w:eastAsia="方正小标宋简体"/>
          <w:sz w:val="44"/>
          <w:szCs w:val="44"/>
        </w:rPr>
      </w:pPr>
      <w:r>
        <w:rPr>
          <w:rFonts w:ascii="方正小标宋简体" w:eastAsia="方正小标宋简体" w:hint="eastAsia"/>
          <w:sz w:val="44"/>
          <w:szCs w:val="44"/>
        </w:rPr>
        <w:t>绩效报告</w:t>
      </w:r>
    </w:p>
    <w:p>
      <w:pPr>
        <w:widowControl/>
        <w:spacing w:line="480" w:lineRule="exact"/>
        <w:jc w:val="center"/>
        <w:rPr>
          <w:rFonts w:ascii="仿宋" w:eastAsia="仿宋" w:cs="仿宋"/>
          <w:color w:val="000000"/>
          <w:kern w:val="0"/>
          <w:sz w:val="32"/>
          <w:szCs w:val="32"/>
        </w:rPr>
      </w:pPr>
      <w:r>
        <w:rPr>
          <w:rFonts w:ascii="仿宋" w:eastAsia="仿宋" w:cs="仿宋" w:hint="eastAsia"/>
          <w:sz w:val="32"/>
          <w:szCs w:val="32"/>
        </w:rPr>
        <w:t>（报告范围包括机关和下属单位）</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color w:val="000000"/>
          <w:kern w:val="0"/>
          <w:sz w:val="32"/>
          <w:szCs w:val="32"/>
        </w:rPr>
        <w:t>一、</w:t>
      </w:r>
      <w:r>
        <w:rPr>
          <w:rFonts w:ascii="仿宋" w:eastAsia="仿宋" w:cs="仿宋" w:hint="eastAsia"/>
          <w:color w:val="000000"/>
          <w:kern w:val="0"/>
          <w:sz w:val="32"/>
          <w:szCs w:val="32"/>
          <w:lang w:val="zh-CN"/>
        </w:rPr>
        <w:t>部门（单位）概况</w:t>
      </w:r>
    </w:p>
    <w:p>
      <w:pPr>
        <w:ind w:firstLineChars="200" w:firstLine="640"/>
        <w:rPr>
          <w:rFonts w:ascii="仿宋" w:eastAsia="仿宋" w:cs="仿宋"/>
          <w:sz w:val="32"/>
          <w:szCs w:val="32"/>
        </w:rPr>
      </w:pPr>
      <w:r>
        <w:rPr>
          <w:rFonts w:ascii="仿宋" w:eastAsia="仿宋" w:cs="仿宋" w:hint="eastAsia"/>
          <w:color w:val="000000"/>
          <w:kern w:val="0"/>
          <w:sz w:val="32"/>
          <w:szCs w:val="32"/>
          <w:lang w:val="zh-CN"/>
        </w:rPr>
        <w:t>（一）机构组成</w:t>
      </w:r>
      <w:r>
        <w:rPr>
          <w:rFonts w:ascii="仿宋" w:eastAsia="仿宋" w:cs="仿宋" w:hint="eastAsia"/>
          <w:sz w:val="32"/>
          <w:szCs w:val="32"/>
        </w:rPr>
        <w:t>九寨沟县总工会行政编制4人,行政工勤人员1人，实有人数8人，领导职务3人，非领导职务5人，享受副县经济待遇1人，享受主任科员经济待遇1人，享受副主任科员1 人，退休干部4人。2018年1月工，青、妇三家合并财务到县总工会账上，增加团委公务员2人、工勤人员1人，事业人员3人，增加妇联公务员4人，工勤人员1人，事业人员1人，合计21人。</w:t>
      </w:r>
    </w:p>
    <w:p>
      <w:pPr>
        <w:widowControl/>
        <w:adjustRightInd w:val="0"/>
        <w:snapToGrid w:val="0"/>
        <w:spacing w:line="480" w:lineRule="exact"/>
        <w:ind w:firstLineChars="150" w:firstLine="480"/>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（二）机构职能</w:t>
      </w:r>
      <w:r>
        <w:rPr>
          <w:rFonts w:ascii="仿宋" w:eastAsia="仿宋" w:cs="仿宋" w:hint="eastAsia"/>
          <w:kern w:val="2"/>
          <w:sz w:val="32"/>
          <w:szCs w:val="32"/>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r>
        <w:rPr>
          <w:rFonts w:ascii="仿宋" w:eastAsia="仿宋" w:cs="仿宋" w:hint="eastAsia"/>
          <w:color w:val="000000"/>
          <w:kern w:val="0"/>
          <w:sz w:val="32"/>
          <w:szCs w:val="32"/>
          <w:lang w:val="zh-CN"/>
        </w:rPr>
        <w:t>。</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（三）人员概况</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sz w:val="32"/>
          <w:szCs w:val="32"/>
        </w:rPr>
        <w:t>2018年1月工，青、妇三家合并财务到县总工会账上，增加团委公务员2人、工勤人员1人，事业人员3人，增加妇联公务员4人，工勤人员1人，事业人员1人，合计21人</w:t>
      </w:r>
      <w:r>
        <w:rPr>
          <w:rFonts w:ascii="仿宋" w:eastAsia="仿宋" w:cs="仿宋" w:hint="eastAsia"/>
          <w:color w:val="000000"/>
          <w:kern w:val="0"/>
          <w:sz w:val="32"/>
          <w:szCs w:val="32"/>
          <w:lang w:val="zh-CN"/>
        </w:rPr>
        <w:t>。</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二、部门财政资金收支情况</w:t>
      </w:r>
    </w:p>
    <w:p>
      <w:pPr>
        <w:widowControl/>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（一）部门财政资金收入情况</w:t>
      </w:r>
    </w:p>
    <w:p>
      <w:pPr>
        <w:spacing w:line="560" w:lineRule="exact"/>
        <w:ind w:firstLineChars="200" w:firstLine="640"/>
        <w:rPr>
          <w:rFonts w:ascii="仿宋" w:eastAsia="仿宋" w:cs="仿宋"/>
          <w:sz w:val="32"/>
          <w:szCs w:val="32"/>
        </w:rPr>
      </w:pPr>
      <w:r>
        <w:rPr>
          <w:rFonts w:ascii="仿宋" w:eastAsia="仿宋" w:cs="仿宋" w:hint="eastAsia"/>
          <w:color w:val="000000"/>
          <w:kern w:val="0"/>
          <w:sz w:val="32"/>
          <w:szCs w:val="32"/>
        </w:rPr>
        <w:t>1、2019</w:t>
      </w:r>
      <w:r>
        <w:rPr>
          <w:rFonts w:ascii="仿宋" w:eastAsia="仿宋" w:cs="仿宋" w:hint="eastAsia"/>
          <w:color w:val="000000"/>
          <w:kern w:val="0"/>
          <w:sz w:val="32"/>
          <w:szCs w:val="32"/>
          <w:lang w:val="zh-CN"/>
        </w:rPr>
        <w:t>年财政拨款收入</w:t>
      </w:r>
      <w:r>
        <w:rPr>
          <w:rFonts w:ascii="仿宋" w:eastAsia="仿宋" w:cs="仿宋" w:hint="eastAsia"/>
          <w:color w:val="000000"/>
          <w:kern w:val="0"/>
          <w:sz w:val="32"/>
          <w:szCs w:val="32"/>
        </w:rPr>
        <w:t>519.7万</w:t>
      </w:r>
      <w:r>
        <w:rPr>
          <w:rFonts w:ascii="仿宋" w:eastAsia="仿宋" w:cs="仿宋" w:hint="eastAsia"/>
          <w:color w:val="000000"/>
          <w:kern w:val="0"/>
          <w:sz w:val="32"/>
          <w:szCs w:val="32"/>
          <w:lang w:val="zh-CN"/>
        </w:rPr>
        <w:t>元，</w:t>
      </w:r>
      <w:r>
        <w:rPr>
          <w:rFonts w:ascii="仿宋" w:eastAsia="仿宋" w:cs="仿宋" w:hint="eastAsia"/>
          <w:bCs/>
          <w:sz w:val="32"/>
          <w:szCs w:val="32"/>
        </w:rPr>
        <w:t>其中一般公共服务收入443.22万元，占总收入87%，教育支出0万元，占总收入%；社会保障就业收入25.43万元，占总收入5.5%；医疗卫生与计划生育收入19.26万元，占总收入4.2%；住房保障收入23.42万元，占总收入5.1%。</w:t>
      </w:r>
    </w:p>
    <w:p>
      <w:pPr>
        <w:widowControl/>
        <w:spacing w:line="480" w:lineRule="exact"/>
        <w:ind w:firstLineChars="150" w:firstLine="480"/>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2、项目收入为39.8</w:t>
      </w:r>
      <w:r>
        <w:rPr>
          <w:rFonts w:ascii="仿宋" w:eastAsia="仿宋" w:cs="仿宋" w:hint="eastAsia"/>
          <w:color w:val="000000"/>
          <w:kern w:val="0"/>
          <w:sz w:val="32"/>
          <w:szCs w:val="32"/>
        </w:rPr>
        <w:t>万</w:t>
      </w:r>
      <w:r>
        <w:rPr>
          <w:rFonts w:ascii="仿宋" w:eastAsia="仿宋" w:cs="仿宋" w:hint="eastAsia"/>
          <w:color w:val="000000"/>
          <w:kern w:val="0"/>
          <w:sz w:val="32"/>
          <w:szCs w:val="32"/>
          <w:lang w:val="zh-CN"/>
        </w:rPr>
        <w:t>元，占收入的</w:t>
      </w:r>
      <w:r>
        <w:rPr>
          <w:rFonts w:ascii="仿宋" w:eastAsia="仿宋" w:cs="仿宋" w:hint="eastAsia"/>
          <w:color w:val="000000"/>
          <w:kern w:val="0"/>
          <w:sz w:val="32"/>
          <w:szCs w:val="32"/>
        </w:rPr>
        <w:t>7.65</w:t>
      </w:r>
      <w:r>
        <w:rPr>
          <w:rFonts w:ascii="仿宋" w:eastAsia="仿宋" w:cs="仿宋" w:hint="eastAsia"/>
          <w:color w:val="000000"/>
          <w:kern w:val="0"/>
          <w:sz w:val="32"/>
          <w:szCs w:val="32"/>
          <w:lang w:val="zh-CN"/>
        </w:rPr>
        <w:t>%。</w:t>
      </w:r>
    </w:p>
    <w:p>
      <w:pPr>
        <w:widowControl/>
        <w:adjustRightInd w:val="0"/>
        <w:snapToGrid w:val="0"/>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（二）部门财政资金支出情况</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color w:val="000000"/>
          <w:kern w:val="0"/>
          <w:sz w:val="32"/>
          <w:szCs w:val="32"/>
        </w:rPr>
        <w:t>2019年</w:t>
      </w:r>
      <w:r>
        <w:rPr>
          <w:rFonts w:ascii="仿宋" w:eastAsia="仿宋" w:cs="仿宋" w:hint="eastAsia"/>
          <w:color w:val="000000"/>
          <w:kern w:val="0"/>
          <w:sz w:val="32"/>
          <w:szCs w:val="32"/>
          <w:lang w:val="zh-CN"/>
        </w:rPr>
        <w:t>财政拨款支出</w:t>
      </w:r>
      <w:r>
        <w:rPr>
          <w:rFonts w:ascii="仿宋" w:eastAsia="仿宋" w:cs="仿宋" w:hint="eastAsia"/>
          <w:color w:val="000000"/>
          <w:kern w:val="0"/>
          <w:sz w:val="32"/>
          <w:szCs w:val="32"/>
        </w:rPr>
        <w:t>511.33万</w:t>
      </w:r>
      <w:r>
        <w:rPr>
          <w:rFonts w:ascii="仿宋" w:eastAsia="仿宋" w:cs="仿宋" w:hint="eastAsia"/>
          <w:color w:val="000000"/>
          <w:kern w:val="0"/>
          <w:sz w:val="32"/>
          <w:szCs w:val="32"/>
          <w:lang w:val="zh-CN"/>
        </w:rPr>
        <w:t>元，其中基本支出471.53</w:t>
      </w:r>
      <w:r>
        <w:rPr>
          <w:rFonts w:ascii="仿宋" w:eastAsia="仿宋" w:cs="仿宋" w:hint="eastAsia"/>
          <w:color w:val="000000"/>
          <w:kern w:val="0"/>
          <w:sz w:val="32"/>
          <w:szCs w:val="32"/>
        </w:rPr>
        <w:t>万</w:t>
      </w:r>
      <w:r>
        <w:rPr>
          <w:rFonts w:ascii="仿宋" w:eastAsia="仿宋" w:cs="仿宋" w:hint="eastAsia"/>
          <w:color w:val="000000"/>
          <w:kern w:val="0"/>
          <w:sz w:val="32"/>
          <w:szCs w:val="32"/>
          <w:lang w:val="zh-CN"/>
        </w:rPr>
        <w:t>元，项目支出</w:t>
      </w:r>
      <w:r>
        <w:rPr>
          <w:rFonts w:ascii="仿宋" w:eastAsia="仿宋" w:cs="仿宋" w:hint="eastAsia"/>
          <w:color w:val="000000"/>
          <w:kern w:val="0"/>
          <w:sz w:val="32"/>
          <w:szCs w:val="32"/>
        </w:rPr>
        <w:t>39.8万</w:t>
      </w:r>
      <w:r>
        <w:rPr>
          <w:rFonts w:ascii="仿宋" w:eastAsia="仿宋" w:cs="仿宋" w:hint="eastAsia"/>
          <w:color w:val="000000"/>
          <w:kern w:val="0"/>
          <w:sz w:val="32"/>
          <w:szCs w:val="32"/>
          <w:lang w:val="zh-CN"/>
        </w:rPr>
        <w:t>元。</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三、部门财政支出管理情况</w:t>
      </w:r>
    </w:p>
    <w:p>
      <w:pPr>
        <w:widowControl/>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（一）预算编制情况。</w:t>
      </w:r>
    </w:p>
    <w:p>
      <w:pPr>
        <w:widowControl/>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我单位</w:t>
      </w:r>
      <w:r>
        <w:rPr>
          <w:rFonts w:ascii="仿宋" w:eastAsia="仿宋" w:cs="仿宋" w:hint="eastAsia"/>
          <w:color w:val="000000"/>
          <w:kern w:val="0"/>
          <w:sz w:val="32"/>
          <w:szCs w:val="32"/>
        </w:rPr>
        <w:t>2019</w:t>
      </w:r>
      <w:r>
        <w:rPr>
          <w:rFonts w:ascii="仿宋" w:eastAsia="仿宋" w:cs="仿宋" w:hint="eastAsia"/>
          <w:color w:val="000000"/>
          <w:kern w:val="0"/>
          <w:sz w:val="32"/>
          <w:szCs w:val="32"/>
          <w:lang w:val="zh-CN"/>
        </w:rPr>
        <w:t>年预算编制严格按照《中华人民共和国预算法》的要求，按照相关填报口径做到科学合理的细化预算编制。</w:t>
      </w:r>
    </w:p>
    <w:p>
      <w:pPr>
        <w:widowControl/>
        <w:spacing w:line="480" w:lineRule="exact"/>
        <w:jc w:val="left"/>
        <w:rPr>
          <w:rFonts w:ascii="仿宋" w:eastAsia="仿宋" w:cs="仿宋"/>
          <w:color w:val="000000"/>
          <w:kern w:val="0"/>
          <w:sz w:val="32"/>
          <w:szCs w:val="32"/>
          <w:lang w:val="zh-CN"/>
        </w:rPr>
      </w:pPr>
      <w:r>
        <w:rPr>
          <w:rFonts w:ascii="仿宋" w:eastAsia="仿宋" w:cs="仿宋" w:hint="eastAsia"/>
          <w:b/>
          <w:color w:val="000000"/>
          <w:kern w:val="0"/>
          <w:sz w:val="32"/>
          <w:szCs w:val="32"/>
          <w:lang w:val="zh-CN"/>
        </w:rPr>
        <w:t>（二）执行管理情况</w:t>
      </w:r>
      <w:r>
        <w:rPr>
          <w:rFonts w:ascii="仿宋" w:eastAsia="仿宋" w:cs="仿宋" w:hint="eastAsia"/>
          <w:color w:val="000000"/>
          <w:kern w:val="0"/>
          <w:sz w:val="32"/>
          <w:szCs w:val="32"/>
          <w:lang w:val="zh-CN"/>
        </w:rPr>
        <w:t>。</w:t>
        <w:tab/>
      </w:r>
    </w:p>
    <w:p>
      <w:pPr>
        <w:widowControl/>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rPr>
        <w:t>2019</w:t>
      </w:r>
      <w:r>
        <w:rPr>
          <w:rFonts w:ascii="仿宋" w:eastAsia="仿宋" w:cs="仿宋" w:hint="eastAsia"/>
          <w:color w:val="000000"/>
          <w:kern w:val="0"/>
          <w:sz w:val="32"/>
          <w:szCs w:val="32"/>
          <w:lang w:val="zh-CN"/>
        </w:rPr>
        <w:t>年我单位所有预算内资金都严格纳入财政大平台系统管理，日常支出都严格履行了我单位的报账程序。</w:t>
      </w:r>
    </w:p>
    <w:p>
      <w:pPr>
        <w:widowControl/>
        <w:adjustRightInd w:val="0"/>
        <w:snapToGrid w:val="0"/>
        <w:spacing w:line="480" w:lineRule="exact"/>
        <w:jc w:val="left"/>
        <w:rPr>
          <w:rFonts w:ascii="仿宋" w:eastAsia="仿宋" w:cs="仿宋"/>
          <w:color w:val="000000"/>
          <w:kern w:val="0"/>
          <w:sz w:val="32"/>
          <w:szCs w:val="32"/>
          <w:lang w:val="zh-CN"/>
        </w:rPr>
      </w:pPr>
      <w:r>
        <w:rPr>
          <w:rFonts w:ascii="仿宋" w:eastAsia="仿宋" w:cs="仿宋" w:hint="eastAsia"/>
          <w:color w:val="000000"/>
          <w:kern w:val="0"/>
          <w:sz w:val="32"/>
          <w:szCs w:val="32"/>
          <w:lang w:val="zh-CN"/>
        </w:rPr>
        <w:t>（三）综合管理情况。</w:t>
      </w:r>
    </w:p>
    <w:p>
      <w:pPr>
        <w:pStyle w:val="24"/>
        <w:shd w:val="clear" w:color="auto" w:fill="FFFFFF"/>
        <w:spacing w:line="480" w:lineRule="auto"/>
        <w:ind w:firstLineChars="250" w:firstLine="800"/>
        <w:jc w:val="both"/>
        <w:rPr>
          <w:rFonts w:ascii="仿宋" w:eastAsia="仿宋" w:cs="仿宋"/>
          <w:color w:val="000000"/>
          <w:sz w:val="32"/>
          <w:szCs w:val="32"/>
        </w:rPr>
      </w:pPr>
      <w:r>
        <w:rPr>
          <w:rFonts w:ascii="仿宋" w:eastAsia="仿宋" w:cs="仿宋" w:hint="eastAsia"/>
          <w:color w:val="000000"/>
          <w:sz w:val="32"/>
          <w:szCs w:val="32"/>
        </w:rPr>
        <w:t>1. 加强内部控制。2019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p>
    <w:p>
      <w:pPr>
        <w:pStyle w:val="24"/>
        <w:shd w:val="clear" w:color="auto" w:fill="FFFFFF"/>
        <w:spacing w:line="480" w:lineRule="auto"/>
        <w:ind w:firstLineChars="200" w:firstLine="640"/>
        <w:jc w:val="both"/>
        <w:rPr>
          <w:rFonts w:ascii="仿宋" w:eastAsia="仿宋" w:cs="仿宋"/>
          <w:color w:val="000000"/>
          <w:sz w:val="32"/>
          <w:szCs w:val="32"/>
        </w:rPr>
      </w:pPr>
      <w:r>
        <w:rPr>
          <w:rFonts w:ascii="仿宋" w:eastAsia="仿宋" w:cs="仿宋" w:hint="eastAsia"/>
          <w:color w:val="000000"/>
          <w:sz w:val="32"/>
          <w:szCs w:val="32"/>
        </w:rPr>
        <w:t>2. 强化制度执行。切实做好厉行节约工作，全面落实各项管理制度要求，努力降低行政成本。严格公务接待费、差旅费、会议费和培训费审核审批程序，加强对公务用车的管理，把“三公”经费较好地控制在预算范围之内。</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3、资产管理。我单位定期对资产进行清查盘点，做到账实相符。</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4、信息公开情况。严格按照预决算信息公开原则，在每年预决算下达的20天内，在县政府政府网站进行了公开。</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5、非税收入情况。我单位不涉及非税。</w:t>
      </w:r>
    </w:p>
    <w:p>
      <w:pPr>
        <w:widowControl/>
        <w:adjustRightInd w:val="0"/>
        <w:snapToGrid w:val="0"/>
        <w:spacing w:line="480" w:lineRule="exact"/>
        <w:ind w:firstLine="720"/>
        <w:jc w:val="left"/>
        <w:rPr>
          <w:rFonts w:ascii="仿宋" w:eastAsia="仿宋" w:cs="仿宋"/>
          <w:color w:val="000000"/>
          <w:kern w:val="0"/>
          <w:sz w:val="32"/>
          <w:szCs w:val="32"/>
          <w:lang w:val="zh-CN"/>
        </w:rPr>
      </w:pPr>
      <w:r>
        <w:rPr>
          <w:rFonts w:ascii="仿宋" w:eastAsia="仿宋" w:cs="仿宋" w:hint="eastAsia"/>
          <w:b/>
          <w:color w:val="000000"/>
          <w:kern w:val="0"/>
          <w:sz w:val="32"/>
          <w:szCs w:val="32"/>
          <w:lang w:val="zh-CN"/>
        </w:rPr>
        <w:t>（四）整体绩效</w:t>
      </w:r>
      <w:r>
        <w:rPr>
          <w:rFonts w:ascii="仿宋" w:eastAsia="仿宋" w:cs="仿宋" w:hint="eastAsia"/>
          <w:color w:val="000000"/>
          <w:kern w:val="0"/>
          <w:sz w:val="32"/>
          <w:szCs w:val="32"/>
          <w:lang w:val="zh-CN"/>
        </w:rPr>
        <w:t>。</w:t>
      </w:r>
    </w:p>
    <w:p>
      <w:pPr>
        <w:pStyle w:val="24"/>
        <w:shd w:val="clear" w:color="auto" w:fill="FFFFFF"/>
        <w:spacing w:line="480" w:lineRule="auto"/>
        <w:ind w:firstLineChars="250" w:firstLine="800"/>
        <w:jc w:val="both"/>
        <w:rPr>
          <w:rFonts w:ascii="仿宋" w:eastAsia="仿宋" w:cs="仿宋"/>
          <w:color w:val="000000"/>
          <w:sz w:val="32"/>
          <w:szCs w:val="32"/>
        </w:rPr>
      </w:pPr>
      <w:r>
        <w:rPr>
          <w:rFonts w:ascii="仿宋" w:eastAsia="仿宋" w:cs="仿宋" w:hint="eastAsia"/>
          <w:color w:val="000000"/>
          <w:sz w:val="32"/>
          <w:szCs w:val="32"/>
        </w:rPr>
        <w:t>2019年我单位</w:t>
      </w:r>
      <w:r>
        <w:rPr>
          <w:rFonts w:ascii="仿宋" w:eastAsia="仿宋" w:cs="仿宋" w:hint="eastAsia"/>
          <w:sz w:val="32"/>
          <w:szCs w:val="32"/>
        </w:rPr>
        <w:t>深入贯彻学习了党的十九大精神、习近平总书记系列</w:t>
      </w:r>
      <w:r>
        <w:rPr>
          <w:rFonts w:ascii="仿宋" w:eastAsia="文泉驿正黑" w:cs="仿宋" w:hAnsi="仿宋"/>
          <w:sz w:val="32"/>
          <w:szCs w:val="32"/>
        </w:rPr>
        <w:t>重要</w:t>
      </w:r>
      <w:bookmarkStart w:id="61" w:name="_GoBack"/>
      <w:bookmarkEnd w:id="61"/>
      <w:r>
        <w:rPr>
          <w:rFonts w:ascii="仿宋" w:eastAsia="仿宋" w:cs="仿宋" w:hint="eastAsia"/>
          <w:sz w:val="32"/>
          <w:szCs w:val="32"/>
        </w:rPr>
        <w:t>讲话精神及中国工会十七大精神，紧扣县委、县政府工作大局，抓实脱贫攻坚、灾后重建等重点工作，抓住重点和难点，全力以赴投入脱贫攻坚、灾后重建工作中，坚持问题导向，加强党的建设和工会自身建设</w:t>
      </w:r>
      <w:r>
        <w:rPr>
          <w:rFonts w:ascii="仿宋" w:eastAsia="仿宋" w:cs="仿宋" w:hint="eastAsia"/>
          <w:color w:val="000000"/>
          <w:sz w:val="32"/>
          <w:szCs w:val="32"/>
        </w:rPr>
        <w:t>。</w:t>
      </w:r>
    </w:p>
    <w:p>
      <w:pPr>
        <w:widowControl/>
        <w:adjustRightInd w:val="0"/>
        <w:snapToGrid w:val="0"/>
        <w:spacing w:line="480" w:lineRule="exact"/>
        <w:ind w:firstLine="720"/>
        <w:jc w:val="left"/>
        <w:rPr>
          <w:rFonts w:ascii="仿宋" w:eastAsia="仿宋" w:cs="仿宋"/>
          <w:color w:val="000000"/>
          <w:kern w:val="0"/>
          <w:sz w:val="32"/>
          <w:szCs w:val="32"/>
        </w:rPr>
      </w:pPr>
      <w:r>
        <w:rPr>
          <w:rFonts w:ascii="仿宋" w:eastAsia="仿宋" w:cs="仿宋" w:hint="eastAsia"/>
          <w:color w:val="000000"/>
          <w:kern w:val="0"/>
          <w:sz w:val="32"/>
          <w:szCs w:val="32"/>
        </w:rPr>
        <w:t>四、评价结论及建议</w:t>
      </w:r>
    </w:p>
    <w:p>
      <w:pPr>
        <w:pStyle w:val="24"/>
        <w:shd w:val="clear" w:color="auto" w:fill="FFFFFF"/>
        <w:spacing w:line="480" w:lineRule="auto"/>
        <w:ind w:firstLineChars="250" w:firstLine="800"/>
        <w:jc w:val="both"/>
        <w:rPr>
          <w:rFonts w:ascii="仿宋" w:eastAsia="仿宋" w:cs="仿宋"/>
          <w:color w:val="000000"/>
          <w:sz w:val="32"/>
          <w:szCs w:val="32"/>
          <w:lang w:val="zh-CN"/>
        </w:rPr>
      </w:pPr>
      <w:r>
        <w:rPr>
          <w:rFonts w:ascii="仿宋" w:eastAsia="仿宋" w:cs="仿宋" w:hint="eastAsia"/>
          <w:color w:val="000000"/>
          <w:sz w:val="32"/>
          <w:szCs w:val="32"/>
          <w:lang w:val="zh-CN"/>
        </w:rPr>
        <w:t>（一）评价结论。</w:t>
      </w:r>
    </w:p>
    <w:p>
      <w:pPr>
        <w:pStyle w:val="24"/>
        <w:shd w:val="clear" w:color="auto" w:fill="FFFFFF"/>
        <w:spacing w:line="480" w:lineRule="auto"/>
        <w:ind w:firstLineChars="250" w:firstLine="800"/>
        <w:jc w:val="both"/>
        <w:rPr>
          <w:rFonts w:ascii="仿宋" w:eastAsia="仿宋" w:cs="仿宋"/>
          <w:color w:val="000000"/>
          <w:sz w:val="32"/>
          <w:szCs w:val="32"/>
          <w:lang w:val="zh-CN"/>
        </w:rPr>
      </w:pPr>
      <w:r>
        <w:rPr>
          <w:rFonts w:ascii="仿宋" w:eastAsia="仿宋" w:cs="仿宋" w:hint="eastAsia"/>
          <w:color w:val="000000"/>
          <w:sz w:val="32"/>
          <w:szCs w:val="32"/>
          <w:lang w:val="zh-CN"/>
        </w:rPr>
        <w:t>从整体上看，</w:t>
      </w:r>
      <w:r>
        <w:rPr>
          <w:rFonts w:ascii="仿宋" w:eastAsia="仿宋" w:cs="仿宋" w:hint="eastAsia"/>
          <w:color w:val="000000"/>
          <w:sz w:val="32"/>
          <w:szCs w:val="32"/>
        </w:rPr>
        <w:t>2019</w:t>
      </w:r>
      <w:r>
        <w:rPr>
          <w:rFonts w:ascii="仿宋" w:eastAsia="仿宋" w:cs="仿宋" w:hint="eastAsia"/>
          <w:color w:val="000000"/>
          <w:sz w:val="32"/>
          <w:szCs w:val="32"/>
          <w:lang w:val="zh-CN"/>
        </w:rPr>
        <w:t>年我单位资金维护决策正确，资金管理规范，政策决策有力，有效发挥了财政资金使用效率。在人员经费支出上，严格执行县委、政府的各项制度。在项目经费的的使用上，严格按照项目资金实施方案执行。三公经费的使用严格按照预算执行。</w:t>
      </w:r>
    </w:p>
    <w:p>
      <w:pPr>
        <w:pStyle w:val="24"/>
        <w:shd w:val="clear" w:color="auto" w:fill="FFFFFF"/>
        <w:spacing w:line="480" w:lineRule="auto"/>
        <w:ind w:firstLineChars="250" w:firstLine="800"/>
        <w:jc w:val="both"/>
        <w:rPr>
          <w:rFonts w:ascii="仿宋" w:eastAsia="仿宋" w:cs="仿宋"/>
          <w:color w:val="000000"/>
          <w:sz w:val="32"/>
          <w:szCs w:val="32"/>
          <w:lang w:val="zh-CN"/>
        </w:rPr>
      </w:pPr>
      <w:r>
        <w:rPr>
          <w:rFonts w:ascii="仿宋" w:eastAsia="仿宋" w:cs="仿宋" w:hint="eastAsia"/>
          <w:color w:val="000000"/>
          <w:sz w:val="32"/>
          <w:szCs w:val="32"/>
          <w:lang w:val="zh-CN"/>
        </w:rPr>
        <w:t>（二）存在问题。</w:t>
      </w:r>
    </w:p>
    <w:p>
      <w:pPr>
        <w:pStyle w:val="24"/>
        <w:shd w:val="clear" w:color="auto" w:fill="FFFFFF"/>
        <w:spacing w:line="480" w:lineRule="auto"/>
        <w:ind w:firstLineChars="250" w:firstLine="800"/>
        <w:jc w:val="both"/>
        <w:rPr>
          <w:rFonts w:ascii="仿宋" w:eastAsia="仿宋" w:cs="仿宋"/>
          <w:color w:val="000000"/>
          <w:sz w:val="32"/>
          <w:szCs w:val="32"/>
        </w:rPr>
      </w:pPr>
      <w:r>
        <w:rPr>
          <w:rFonts w:ascii="仿宋" w:eastAsia="仿宋" w:cs="仿宋" w:hint="eastAsia"/>
          <w:color w:val="000000"/>
          <w:sz w:val="32"/>
          <w:szCs w:val="32"/>
        </w:rPr>
        <w:t>在项目资金支付的力度上应加强。</w:t>
      </w:r>
    </w:p>
    <w:p>
      <w:pPr>
        <w:pStyle w:val="24"/>
        <w:shd w:val="clear" w:color="auto" w:fill="FFFFFF"/>
        <w:spacing w:line="480" w:lineRule="auto"/>
        <w:ind w:firstLineChars="250" w:firstLine="800"/>
        <w:jc w:val="both"/>
        <w:rPr>
          <w:rFonts w:ascii="仿宋" w:eastAsia="仿宋" w:cs="仿宋"/>
          <w:color w:val="000000"/>
          <w:sz w:val="32"/>
          <w:szCs w:val="32"/>
          <w:lang w:val="zh-CN"/>
        </w:rPr>
      </w:pPr>
      <w:r>
        <w:rPr>
          <w:rFonts w:ascii="仿宋" w:eastAsia="仿宋" w:cs="仿宋" w:hint="eastAsia"/>
          <w:color w:val="000000"/>
          <w:sz w:val="32"/>
          <w:szCs w:val="32"/>
          <w:lang w:val="zh-CN"/>
        </w:rPr>
        <w:t>（三）改进建议。</w:t>
      </w:r>
    </w:p>
    <w:p>
      <w:pPr>
        <w:spacing w:line="348" w:lineRule="auto"/>
        <w:rPr>
          <w:rFonts w:ascii="仿宋" w:eastAsia="仿宋" w:cs="仿宋"/>
          <w:sz w:val="32"/>
          <w:szCs w:val="32"/>
        </w:rPr>
      </w:pPr>
    </w:p>
    <w:p>
      <w:pPr>
        <w:spacing w:line="600" w:lineRule="exact"/>
        <w:jc w:val="center"/>
        <w:outlineLvl w:val="0"/>
        <w:rPr>
          <w:rFonts w:ascii="仿宋" w:eastAsia="仿宋" w:cs="仿宋"/>
          <w:color w:val="000000"/>
          <w:sz w:val="32"/>
          <w:szCs w:val="32"/>
        </w:rPr>
      </w:pPr>
      <w:bookmarkStart w:id="62" w:name="_Toc15396618"/>
      <w:bookmarkEnd w:id="58"/>
      <w:bookmarkEnd w:id="60"/>
      <w:r>
        <w:rPr>
          <w:rFonts w:ascii="仿宋" w:eastAsia="仿宋" w:cs="仿宋" w:hint="eastAsia"/>
          <w:color w:val="000000"/>
          <w:sz w:val="32"/>
          <w:szCs w:val="32"/>
        </w:rPr>
        <w:t xml:space="preserve">   </w:t>
      </w:r>
    </w:p>
    <w:p>
      <w:pPr>
        <w:spacing w:line="600" w:lineRule="exact"/>
        <w:jc w:val="center"/>
        <w:outlineLvl w:val="0"/>
        <w:rPr>
          <w:rFonts w:ascii="仿宋" w:eastAsia="仿宋" w:cs="仿宋"/>
          <w:color w:val="000000"/>
          <w:sz w:val="32"/>
          <w:szCs w:val="32"/>
        </w:rPr>
      </w:pPr>
    </w:p>
    <w:p>
      <w:pPr>
        <w:spacing w:line="600" w:lineRule="exact"/>
        <w:jc w:val="center"/>
        <w:outlineLvl w:val="0"/>
        <w:rPr>
          <w:rFonts w:ascii="仿宋" w:eastAsia="仿宋" w:cs="仿宋"/>
          <w:color w:val="000000"/>
          <w:sz w:val="32"/>
          <w:szCs w:val="32"/>
        </w:rPr>
      </w:pPr>
    </w:p>
    <w:p>
      <w:pPr>
        <w:spacing w:line="600" w:lineRule="exact"/>
        <w:jc w:val="center"/>
        <w:outlineLvl w:val="0"/>
        <w:rPr>
          <w:rFonts w:ascii="仿宋" w:eastAsia="仿宋" w:cs="仿宋"/>
          <w:color w:val="000000"/>
          <w:sz w:val="32"/>
          <w:szCs w:val="32"/>
        </w:rPr>
      </w:pPr>
    </w:p>
    <w:p>
      <w:pPr>
        <w:spacing w:line="600" w:lineRule="exact"/>
        <w:jc w:val="center"/>
        <w:outlineLvl w:val="0"/>
        <w:rPr>
          <w:rFonts w:ascii="仿宋" w:eastAsia="仿宋" w:cs="仿宋"/>
          <w:color w:val="000000"/>
          <w:sz w:val="32"/>
          <w:szCs w:val="32"/>
        </w:rPr>
      </w:pPr>
    </w:p>
    <w:p>
      <w:pPr>
        <w:spacing w:line="600" w:lineRule="exact"/>
        <w:jc w:val="center"/>
        <w:outlineLvl w:val="0"/>
        <w:rPr>
          <w:rFonts w:ascii="仿宋" w:eastAsia="仿宋" w:cs="仿宋"/>
          <w:color w:val="000000"/>
          <w:sz w:val="32"/>
          <w:szCs w:val="32"/>
        </w:rPr>
      </w:pPr>
    </w:p>
    <w:p>
      <w:pPr>
        <w:spacing w:line="600" w:lineRule="exact"/>
        <w:jc w:val="center"/>
        <w:outlineLvl w:val="0"/>
        <w:rPr>
          <w:rStyle w:val="1Char"/>
          <w:rFonts w:ascii="仿宋" w:eastAsia="仿宋" w:cs="仿宋"/>
          <w:b w:val="0"/>
          <w:sz w:val="32"/>
          <w:szCs w:val="32"/>
        </w:rPr>
      </w:pPr>
      <w:r>
        <w:rPr>
          <w:rFonts w:ascii="仿宋" w:eastAsia="仿宋" w:cs="仿宋" w:hint="eastAsia"/>
          <w:color w:val="000000"/>
          <w:sz w:val="32"/>
          <w:szCs w:val="32"/>
        </w:rPr>
        <w:t>第</w:t>
      </w:r>
      <w:r>
        <w:rPr>
          <w:rStyle w:val="1Char"/>
          <w:rFonts w:ascii="仿宋" w:eastAsia="仿宋" w:cs="仿宋" w:hint="eastAsia"/>
          <w:b w:val="0"/>
          <w:sz w:val="32"/>
          <w:szCs w:val="32"/>
        </w:rPr>
        <w:t>五部分 附表</w:t>
      </w:r>
      <w:bookmarkEnd w:id="62"/>
    </w:p>
    <w:p>
      <w:pPr>
        <w:spacing w:line="600" w:lineRule="exact"/>
        <w:jc w:val="center"/>
        <w:outlineLvl w:val="0"/>
        <w:rPr>
          <w:rFonts w:ascii="仿宋" w:eastAsia="仿宋" w:cs="仿宋"/>
          <w:b/>
          <w:color w:val="000000"/>
          <w:sz w:val="32"/>
          <w:szCs w:val="32"/>
        </w:rPr>
      </w:pPr>
    </w:p>
    <w:p>
      <w:pPr>
        <w:pStyle w:val="2"/>
        <w:rPr>
          <w:rFonts w:ascii="仿宋" w:eastAsia="仿宋" w:cs="仿宋"/>
          <w:color w:val="000000"/>
        </w:rPr>
      </w:pPr>
      <w:bookmarkStart w:id="63" w:name="_Toc15396619"/>
      <w:r>
        <w:rPr>
          <w:rFonts w:ascii="仿宋" w:eastAsia="仿宋" w:cs="仿宋" w:hint="eastAsia"/>
          <w:b w:val="0"/>
          <w:color w:val="000000"/>
        </w:rPr>
        <w:t>一、收</w:t>
      </w:r>
      <w:r>
        <w:rPr>
          <w:rStyle w:val="2Char"/>
          <w:rFonts w:ascii="仿宋" w:eastAsia="仿宋" w:cs="仿宋" w:hint="eastAsia"/>
        </w:rPr>
        <w:t>入支出决算总表</w:t>
      </w:r>
      <w:bookmarkEnd w:id="63"/>
    </w:p>
    <w:p>
      <w:pPr>
        <w:pStyle w:val="2"/>
        <w:rPr>
          <w:rFonts w:ascii="仿宋" w:eastAsia="仿宋"/>
          <w:color w:val="000000"/>
        </w:rPr>
      </w:pPr>
      <w:bookmarkStart w:id="64" w:name="_Toc15396620"/>
      <w:r>
        <w:rPr>
          <w:rFonts w:ascii="仿宋" w:eastAsia="仿宋" w:hint="eastAsia"/>
          <w:b w:val="0"/>
          <w:color w:val="000000"/>
        </w:rPr>
        <w:t>二、收</w:t>
      </w:r>
      <w:r>
        <w:rPr>
          <w:rStyle w:val="2Char"/>
          <w:rFonts w:ascii="仿宋" w:eastAsia="仿宋" w:hint="eastAsia"/>
        </w:rPr>
        <w:t>入总表</w:t>
      </w:r>
      <w:bookmarkEnd w:id="64"/>
    </w:p>
    <w:p>
      <w:pPr>
        <w:pStyle w:val="2"/>
        <w:rPr>
          <w:rFonts w:ascii="仿宋" w:eastAsia="仿宋"/>
          <w:color w:val="000000"/>
        </w:rPr>
      </w:pPr>
      <w:bookmarkStart w:id="65" w:name="_Toc1539662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出总表</w:t>
      </w:r>
      <w:bookmarkEnd w:id="65"/>
    </w:p>
    <w:p>
      <w:pPr>
        <w:pStyle w:val="2"/>
        <w:rPr>
          <w:rFonts w:ascii="仿宋" w:eastAsia="仿宋"/>
          <w:b w:val="0"/>
          <w:color w:val="000000"/>
        </w:rPr>
      </w:pPr>
      <w:bookmarkStart w:id="66" w:name="_Toc15396622"/>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66"/>
    </w:p>
    <w:p>
      <w:pPr>
        <w:pStyle w:val="2"/>
        <w:rPr>
          <w:rFonts w:ascii="仿宋" w:eastAsia="仿宋"/>
          <w:color w:val="000000"/>
        </w:rPr>
      </w:pPr>
      <w:bookmarkStart w:id="67" w:name="_Toc15396623"/>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政拨款支出决算明细表（政府经济分类科目）</w:t>
      </w:r>
      <w:bookmarkEnd w:id="67"/>
    </w:p>
    <w:p>
      <w:pPr>
        <w:pStyle w:val="2"/>
        <w:rPr>
          <w:rFonts w:ascii="仿宋" w:eastAsia="仿宋"/>
          <w:color w:val="000000"/>
        </w:rPr>
      </w:pPr>
      <w:bookmarkStart w:id="68" w:name="_Toc15396624"/>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8"/>
    </w:p>
    <w:p>
      <w:pPr>
        <w:pStyle w:val="2"/>
        <w:rPr>
          <w:rFonts w:ascii="仿宋" w:eastAsia="仿宋"/>
          <w:color w:val="000000"/>
        </w:rPr>
      </w:pPr>
      <w:bookmarkStart w:id="69"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9"/>
    </w:p>
    <w:p>
      <w:pPr>
        <w:pStyle w:val="2"/>
        <w:rPr>
          <w:rFonts w:ascii="仿宋" w:eastAsia="仿宋"/>
          <w:color w:val="000000"/>
        </w:rPr>
      </w:pPr>
      <w:bookmarkStart w:id="70"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70"/>
    </w:p>
    <w:p>
      <w:pPr>
        <w:pStyle w:val="2"/>
        <w:rPr>
          <w:rFonts w:ascii="仿宋" w:eastAsia="仿宋"/>
          <w:color w:val="000000"/>
        </w:rPr>
      </w:pPr>
      <w:bookmarkStart w:id="71" w:name="_Toc15396627"/>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71"/>
    </w:p>
    <w:p>
      <w:pPr>
        <w:pStyle w:val="2"/>
        <w:rPr>
          <w:rFonts w:ascii="仿宋" w:eastAsia="仿宋"/>
          <w:color w:val="000000"/>
        </w:rPr>
      </w:pPr>
      <w:bookmarkStart w:id="72" w:name="_Toc15396628"/>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72"/>
    </w:p>
    <w:p>
      <w:pPr>
        <w:pStyle w:val="2"/>
        <w:rPr>
          <w:rFonts w:ascii="仿宋" w:eastAsia="仿宋"/>
          <w:color w:val="000000"/>
        </w:rPr>
      </w:pPr>
      <w:bookmarkStart w:id="73" w:name="_Toc15396629"/>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73"/>
    </w:p>
    <w:p>
      <w:pPr>
        <w:pStyle w:val="2"/>
        <w:rPr>
          <w:rFonts w:ascii="仿宋" w:eastAsia="仿宋"/>
          <w:color w:val="000000"/>
        </w:rPr>
      </w:pPr>
      <w:bookmarkStart w:id="74" w:name="_Toc15396630"/>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74"/>
    </w:p>
    <w:p>
      <w:pPr>
        <w:pStyle w:val="2"/>
        <w:rPr>
          <w:rFonts w:ascii="仿宋" w:eastAsia="仿宋"/>
          <w:color w:val="000000"/>
        </w:rPr>
      </w:pPr>
      <w:bookmarkStart w:id="75" w:name="_Toc15396631"/>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75"/>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文泉驿正黑"/>
    <w:panose1 w:val="02010609060101010101"/>
    <w:charset w:val="86"/>
    <w:family w:val="modern"/>
    <w:pitch w:val="variable"/>
    <w:sig w:usb0="800002BF" w:usb1="38CF7CFA" w:usb2="00000016" w:usb3="00000000" w:csb0="00040001" w:csb1="00000000"/>
  </w:font>
  <w:font w:name="方正小标宋简体">
    <w:altName w:val="Arial Unicode MS"/>
    <w:panose1 w:val="00000000000000000000"/>
    <w:charset w:val="86"/>
    <w:family w:val="auto"/>
    <w:pitch w:val="variable"/>
    <w:sig w:usb0="00000001" w:usb1="080E0000" w:usb2="00000010" w:usb3="00000000" w:csb0="00040000" w:csb1="00000000"/>
  </w:font>
  <w:font w:name="仿宋">
    <w:altName w:val="永中仿宋"/>
    <w:panose1 w:val="02010609060101010101"/>
    <w:charset w:val="86"/>
    <w:family w:val="modern"/>
    <w:pitch w:val="variable"/>
    <w:sig w:usb0="800002BF" w:usb1="38CF7CFA" w:usb2="00000016" w:usb3="00000000" w:csb0="00040001" w:csb1="00000000"/>
  </w:font>
  <w:font w:name="仿宋_GB2312">
    <w:altName w:val="永中仿宋"/>
    <w:panose1 w:val="00000000000000000000"/>
    <w:charset w:val="86"/>
    <w:family w:val="auto"/>
    <w:pitch w:val="variable"/>
    <w:sig w:usb0="00000001" w:usb1="080E0000" w:usb2="00000010" w:usb3="00000000" w:csb0="00040000" w:csb1="00000000"/>
  </w:font>
  <w:font w:name="楷体_GB2312">
    <w:altName w:val="永中楷体"/>
    <w:panose1 w:val="00000000000000000000"/>
    <w:charset w:val="86"/>
    <w:family w:val="auto"/>
    <w:pitch w:val="variable"/>
    <w:sig w:usb0="00000001" w:usb1="080E0000" w:usb2="00000010" w:usb3="00000000" w:csb0="00040000" w:csb1="00000000"/>
  </w:font>
  <w:font w:name="宋体">
    <w:altName w:val="文泉驿正黑"/>
    <w:panose1 w:val="02010600030101010101"/>
    <w:charset w:val="86"/>
    <w:family w:val="auto"/>
    <w:pitch w:val="variable"/>
    <w:sig w:usb0="00000003" w:usb1="288F0000" w:usb2="00000016" w:usb3="00000000" w:csb0="00040001" w:csb1="00000000"/>
  </w:font>
  <w:font w:name="文泉驿正黑">
    <w:panose1 w:val="02000603000000000000"/>
    <w:charset w:val="86"/>
    <w:family w:val="script"/>
    <w:pitch w:val="variable"/>
    <w:sig w:usb0="900002BF" w:usb1="2BDF7DFB" w:usb2="00000036" w:usb3="00000000" w:csb0="603E000D" w:csb1="D2D70000"/>
  </w:font>
  <w:font w:name="Times New Roman">
    <w:altName w:val="DejaVu Sans"/>
    <w:panose1 w:val="02020603050405020304"/>
    <w:charset w:val="00"/>
    <w:family w:val="roman"/>
    <w:pitch w:val="variable"/>
    <w:sig w:usb0="E0002AFF" w:usb1="C0007841" w:usb2="00000009" w:usb3="00000000" w:csb0="000001FF"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center"/>
    </w:pPr>
    <w:r>
      <w:fldChar w:fldCharType="begin"/>
    </w:r>
    <w:r>
      <w:instrText>PAGE   \* MERGEFORMAT</w:instrText>
    </w:r>
    <w:r>
      <w:fldChar w:fldCharType="separate"/>
    </w:r>
    <w:r>
      <w:rPr>
        <w:lang w:val="zh-CN"/>
      </w:rPr>
      <w:t>10</w:t>
    </w:r>
    <w:r>
      <w:rPr>
        <w:lang w:val="zh-CN"/>
      </w:rPr>
      <w:fldChar w:fldCharType="end"/>
    </w:r>
  </w:p>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F6353DA"/>
    <w:multiLevelType w:val="singleLevel"/>
    <w:tmpl w:val="5F6353DA"/>
    <w:lvl w:ilvl="0">
      <w:start w:val="1"/>
      <w:numFmt w:val="chineseCounting"/>
      <w:lvlRestart w:val="0"/>
      <w:suff w:val="nothing"/>
      <w:lvlText w:val="%1、"/>
      <w:lvlJc w:val="left"/>
      <w:pPr>
        <w:ind w:left="0" w:hanging="0"/>
      </w:p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2322BDE9"/>
    <w:multiLevelType w:val="singleLevel"/>
    <w:tmpl w:val="2322BDE9"/>
    <w:lvl w:ilvl="0">
      <w:start w:val="1"/>
      <w:numFmt w:val="decimal"/>
      <w:lvlRestart w:val="0"/>
      <w:lvlText w:val="%1."/>
      <w:lvlJc w:val="left"/>
      <w:pPr>
        <w:ind w:left="0" w:hanging="0"/>
      </w:pPr>
    </w:lvl>
  </w:abstractNum>
  <w:abstractNum w:abstractNumId="3">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cs="黑体" w:hAnsi="Cambria"/>
      <w:b/>
      <w:bCs/>
      <w:sz w:val="32"/>
      <w:szCs w:val="32"/>
    </w:rPr>
  </w:style>
  <w:style w:type="character" w:customStyle="1" w:styleId="2Char">
    <w:name w:val="heading 2 Char"/>
    <w:basedOn w:val="10"/>
    <w:link w:val="2"/>
    <w:rPr>
      <w:rFonts w:ascii="Cambria" w:eastAsia="宋体" w:cs="黑体"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ody Text Indent"/>
    <w:basedOn w:val="0"/>
    <w:pPr>
      <w:spacing w:after="120"/>
      <w:ind w:leftChars="200" w:left="200"/>
    </w:p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Body Text First Indent 2"/>
    <w:basedOn w:val="16"/>
    <w:pPr>
      <w:ind w:firstLineChars="200" w:firstLine="200"/>
    </w:p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100" w:beforeAutospacing="1" w:after="100" w:afterAutospacing="1"/>
      <w:jc w:val="left"/>
    </w:pPr>
    <w:rPr>
      <w:rFonts w:ascii="宋体" w:cs="宋体"/>
      <w:kern w:val="0"/>
      <w:sz w:val="24"/>
    </w:rPr>
  </w:style>
  <w:style w:type="character" w:styleId="25">
    <w:name w:val="Strong"/>
    <w:basedOn w:val="10"/>
    <w:rPr>
      <w:b/>
    </w:rPr>
  </w:style>
  <w:style w:type="character" w:styleId="26">
    <w:name w:val="page number"/>
  </w:style>
  <w:style w:type="character" w:styleId="27">
    <w:name w:val="Hyperlink"/>
    <w:basedOn w:val="10"/>
    <w:rPr>
      <w:color w:val="0000FF"/>
      <w:u w:val="single"/>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9">
    <w:name w:val="列出段落1"/>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cs="黑体" w:hAnsi="Cambria"/>
      <w:color w:val="365F90"/>
      <w:kern w:val="0"/>
      <w:sz w:val="28"/>
      <w:szCs w:val="28"/>
    </w:rPr>
  </w:style>
  <w:style w:type="character" w:customStyle="1" w:styleId="31">
    <w:name w:val="Header Char"/>
    <w:basedOn w:val="10"/>
    <w:rPr>
      <w:rFonts w:ascii="Times New Roman" w:hAnsi="Times New Roman"/>
      <w:sz w:val="18"/>
      <w:szCs w:val="18"/>
    </w:rPr>
  </w:style>
  <w:style w:type="character" w:customStyle="1" w:styleId="32">
    <w:name w:val="Footer Char"/>
    <w:basedOn w:val="10"/>
    <w:rPr>
      <w:rFonts w:ascii="Times New Roman" w:hAnsi="Times New Roman"/>
      <w:sz w:val="18"/>
      <w:szCs w:val="18"/>
    </w:rPr>
  </w:style>
  <w:style w:type="character" w:customStyle="1" w:styleId="33">
    <w:name w:val="Body Text Char"/>
    <w:basedOn w:val="10"/>
    <w:rPr>
      <w:rFonts w:ascii="Times New Roman" w:hAnsi="Times New Roman"/>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31</TotalTime>
  <Application>Yozo_Office27021597764231179</Application>
  <Pages>21</Pages>
  <Words>6963</Words>
  <Characters>7564</Characters>
  <Lines>418</Lines>
  <Paragraphs>177</Paragraphs>
  <CharactersWithSpaces>7650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4</cp:revision>
  <cp:lastPrinted>2019-09-26T02:38:00Z</cp:lastPrinted>
  <dcterms:created xsi:type="dcterms:W3CDTF">2020-09-18T08:17:00Z</dcterms:created>
  <dcterms:modified xsi:type="dcterms:W3CDTF">2023-03-27T01:40:29Z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2052-9.1.0.5218</vt:lpwstr>
  </property>
</Properties>
</file>