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B30C3">
      <w:pPr>
        <w:spacing w:line="600" w:lineRule="exact"/>
        <w:jc w:val="center"/>
        <w:outlineLvl w:val="0"/>
        <w:rPr>
          <w:rFonts w:ascii="方正小标宋简体" w:hAnsi="宋体" w:eastAsia="方正小标宋简体"/>
          <w:color w:val="000000"/>
          <w:sz w:val="72"/>
          <w:szCs w:val="72"/>
        </w:rPr>
      </w:pPr>
      <w:bookmarkStart w:id="0" w:name="_Toc15306267"/>
    </w:p>
    <w:p w14:paraId="5C73125F">
      <w:pPr>
        <w:spacing w:line="600" w:lineRule="exact"/>
        <w:jc w:val="center"/>
        <w:outlineLvl w:val="0"/>
        <w:rPr>
          <w:rFonts w:ascii="方正小标宋简体" w:hAnsi="宋体" w:eastAsia="方正小标宋简体"/>
          <w:color w:val="000000"/>
          <w:sz w:val="72"/>
          <w:szCs w:val="72"/>
        </w:rPr>
      </w:pPr>
    </w:p>
    <w:p w14:paraId="120BE70E">
      <w:pPr>
        <w:spacing w:line="600" w:lineRule="exact"/>
        <w:jc w:val="center"/>
        <w:outlineLvl w:val="0"/>
        <w:rPr>
          <w:rFonts w:ascii="方正小标宋简体" w:hAnsi="宋体" w:eastAsia="方正小标宋简体"/>
          <w:color w:val="000000"/>
          <w:sz w:val="72"/>
          <w:szCs w:val="72"/>
        </w:rPr>
      </w:pPr>
    </w:p>
    <w:bookmarkEnd w:id="0"/>
    <w:p w14:paraId="4CA160B9">
      <w:pPr>
        <w:adjustRightInd w:val="0"/>
        <w:snapToGrid w:val="0"/>
        <w:spacing w:line="360" w:lineRule="auto"/>
        <w:jc w:val="center"/>
        <w:outlineLvl w:val="0"/>
        <w:rPr>
          <w:rFonts w:ascii="方正小标宋简体" w:hAnsi="宋体" w:eastAsia="方正小标宋简体"/>
          <w:color w:val="000000"/>
          <w:sz w:val="72"/>
          <w:szCs w:val="72"/>
        </w:rPr>
      </w:pPr>
      <w:bookmarkStart w:id="70" w:name="_GoBack"/>
      <w:bookmarkStart w:id="1" w:name="_Toc15377193"/>
      <w:bookmarkStart w:id="2" w:name="_Toc15396475"/>
      <w:bookmarkStart w:id="3" w:name="_Toc15396597"/>
      <w:bookmarkStart w:id="4" w:name="_Toc15378441"/>
      <w:bookmarkStart w:id="5" w:name="_Toc15377425"/>
      <w:r>
        <w:rPr>
          <w:rFonts w:ascii="黑体" w:hAnsi="黑体" w:eastAsia="黑体"/>
          <w:color w:val="000000"/>
          <w:sz w:val="72"/>
          <w:szCs w:val="72"/>
        </w:rPr>
        <w:t>20</w:t>
      </w:r>
      <w:r>
        <w:rPr>
          <w:rFonts w:hint="eastAsia" w:ascii="黑体" w:hAnsi="黑体" w:eastAsia="黑体"/>
          <w:color w:val="000000"/>
          <w:sz w:val="72"/>
          <w:szCs w:val="72"/>
        </w:rPr>
        <w:t>20</w:t>
      </w:r>
      <w:r>
        <w:rPr>
          <w:rFonts w:hint="eastAsia" w:ascii="方正小标宋简体" w:hAnsi="宋体" w:eastAsia="方正小标宋简体"/>
          <w:color w:val="000000"/>
          <w:sz w:val="72"/>
          <w:szCs w:val="72"/>
        </w:rPr>
        <w:t>年度</w:t>
      </w:r>
      <w:bookmarkEnd w:id="1"/>
      <w:bookmarkEnd w:id="2"/>
      <w:bookmarkEnd w:id="3"/>
      <w:bookmarkEnd w:id="4"/>
      <w:bookmarkEnd w:id="5"/>
    </w:p>
    <w:p w14:paraId="7EC9ADDD">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96476"/>
      <w:bookmarkStart w:id="8" w:name="_Toc15378442"/>
      <w:bookmarkStart w:id="9" w:name="_Toc15377426"/>
      <w:bookmarkStart w:id="10" w:name="_Toc15396598"/>
      <w:r>
        <w:rPr>
          <w:rFonts w:hint="eastAsia" w:ascii="方正小标宋简体" w:hAnsi="宋体" w:eastAsia="方正小标宋简体"/>
          <w:color w:val="000000"/>
          <w:sz w:val="72"/>
          <w:szCs w:val="72"/>
        </w:rPr>
        <w:t>四川省</w:t>
      </w:r>
      <w:bookmarkStart w:id="11" w:name="_Toc15306268"/>
      <w:r>
        <w:rPr>
          <w:rFonts w:hint="eastAsia" w:ascii="方正小标宋简体" w:hAnsi="宋体" w:eastAsia="方正小标宋简体"/>
          <w:color w:val="000000"/>
          <w:sz w:val="72"/>
          <w:szCs w:val="72"/>
        </w:rPr>
        <w:t>九寨沟县青年少年宫部门决算</w:t>
      </w:r>
      <w:bookmarkEnd w:id="70"/>
      <w:bookmarkEnd w:id="6"/>
      <w:bookmarkEnd w:id="7"/>
      <w:bookmarkEnd w:id="8"/>
      <w:bookmarkEnd w:id="9"/>
      <w:bookmarkEnd w:id="10"/>
      <w:bookmarkEnd w:id="11"/>
    </w:p>
    <w:p w14:paraId="4592A449">
      <w:pPr>
        <w:widowControl/>
        <w:jc w:val="center"/>
        <w:rPr>
          <w:rFonts w:ascii="方正小标宋简体" w:hAnsi="宋体" w:eastAsia="方正小标宋简体"/>
          <w:color w:val="000000"/>
          <w:sz w:val="36"/>
          <w:szCs w:val="36"/>
        </w:rPr>
      </w:pPr>
    </w:p>
    <w:p w14:paraId="455BB4B8">
      <w:pPr>
        <w:rPr>
          <w:rFonts w:ascii="方正小标宋简体" w:hAnsi="宋体" w:eastAsia="方正小标宋简体"/>
          <w:sz w:val="36"/>
          <w:szCs w:val="36"/>
        </w:rPr>
      </w:pPr>
    </w:p>
    <w:p w14:paraId="668CDEDC">
      <w:pPr>
        <w:rPr>
          <w:rFonts w:ascii="方正小标宋简体" w:hAnsi="宋体" w:eastAsia="方正小标宋简体"/>
          <w:sz w:val="36"/>
          <w:szCs w:val="36"/>
        </w:rPr>
      </w:pPr>
    </w:p>
    <w:p w14:paraId="0E78050B">
      <w:pPr>
        <w:rPr>
          <w:rFonts w:ascii="方正小标宋简体" w:hAnsi="宋体" w:eastAsia="方正小标宋简体"/>
          <w:sz w:val="36"/>
          <w:szCs w:val="36"/>
        </w:rPr>
      </w:pPr>
    </w:p>
    <w:p w14:paraId="7DB7BB11">
      <w:pPr>
        <w:rPr>
          <w:rFonts w:ascii="方正小标宋简体" w:hAnsi="宋体" w:eastAsia="方正小标宋简体"/>
          <w:sz w:val="36"/>
          <w:szCs w:val="36"/>
        </w:rPr>
      </w:pPr>
    </w:p>
    <w:p w14:paraId="7B2DB8D9">
      <w:pPr>
        <w:rPr>
          <w:rFonts w:ascii="方正小标宋简体" w:hAnsi="宋体" w:eastAsia="方正小标宋简体"/>
          <w:sz w:val="36"/>
          <w:szCs w:val="36"/>
        </w:rPr>
      </w:pPr>
    </w:p>
    <w:p w14:paraId="2A8024F1">
      <w:pPr>
        <w:rPr>
          <w:rFonts w:ascii="方正小标宋简体" w:hAnsi="宋体" w:eastAsia="方正小标宋简体"/>
          <w:sz w:val="36"/>
          <w:szCs w:val="36"/>
        </w:rPr>
      </w:pPr>
    </w:p>
    <w:p w14:paraId="188FCD25">
      <w:pPr>
        <w:rPr>
          <w:rFonts w:ascii="方正小标宋简体" w:hAnsi="宋体" w:eastAsia="方正小标宋简体"/>
          <w:sz w:val="36"/>
          <w:szCs w:val="36"/>
        </w:rPr>
      </w:pPr>
    </w:p>
    <w:p w14:paraId="373EFC77">
      <w:pPr>
        <w:rPr>
          <w:rFonts w:ascii="方正小标宋简体" w:hAnsi="宋体" w:eastAsia="方正小标宋简体"/>
          <w:sz w:val="36"/>
          <w:szCs w:val="36"/>
        </w:rPr>
      </w:pPr>
    </w:p>
    <w:p w14:paraId="7FCBBCC4">
      <w:pPr>
        <w:rPr>
          <w:rFonts w:ascii="方正小标宋简体" w:hAnsi="宋体" w:eastAsia="方正小标宋简体"/>
          <w:sz w:val="36"/>
          <w:szCs w:val="36"/>
        </w:rPr>
      </w:pPr>
    </w:p>
    <w:p w14:paraId="26F1CAEC">
      <w:pPr>
        <w:autoSpaceDE w:val="0"/>
        <w:autoSpaceDN w:val="0"/>
        <w:adjustRightInd w:val="0"/>
        <w:ind w:left="414" w:leftChars="200"/>
        <w:jc w:val="left"/>
        <w:rPr>
          <w:rFonts w:hint="eastAsia" w:ascii="宋体" w:hAnsi="宋体" w:cs="仿宋_GB2312"/>
          <w:sz w:val="32"/>
          <w:szCs w:val="32"/>
        </w:rPr>
      </w:pPr>
    </w:p>
    <w:p w14:paraId="3506EB57">
      <w:pPr>
        <w:autoSpaceDE w:val="0"/>
        <w:autoSpaceDN w:val="0"/>
        <w:adjustRightInd w:val="0"/>
        <w:ind w:left="414" w:leftChars="200"/>
        <w:jc w:val="left"/>
        <w:rPr>
          <w:rFonts w:ascii="宋体" w:hAnsi="宋体"/>
          <w:sz w:val="32"/>
          <w:szCs w:val="32"/>
        </w:rPr>
      </w:pPr>
      <w:r>
        <w:rPr>
          <w:rFonts w:hint="eastAsia" w:ascii="宋体" w:hAnsi="宋体" w:cs="仿宋_GB2312"/>
          <w:sz w:val="32"/>
          <w:szCs w:val="32"/>
        </w:rPr>
        <w:t>保密审查情况：已审查，内容审定</w:t>
      </w:r>
    </w:p>
    <w:p w14:paraId="1E026DE0">
      <w:pPr>
        <w:autoSpaceDE w:val="0"/>
        <w:autoSpaceDN w:val="0"/>
        <w:adjustRightInd w:val="0"/>
        <w:ind w:left="414" w:left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1094F274">
      <w:pPr>
        <w:widowControl/>
        <w:jc w:val="center"/>
        <w:rPr>
          <w:rFonts w:ascii="方正小标宋简体" w:hAnsi="宋体" w:eastAsia="方正小标宋简体"/>
          <w:color w:val="000000"/>
          <w:sz w:val="36"/>
          <w:szCs w:val="36"/>
        </w:rPr>
      </w:pPr>
    </w:p>
    <w:p w14:paraId="3077D2F5">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755D7233">
      <w:pPr>
        <w:pStyle w:val="14"/>
        <w:jc w:val="center"/>
        <w:rPr>
          <w:rFonts w:hAnsiTheme="minorHAnsi"/>
          <w:b w:val="0"/>
          <w:bCs w:val="0"/>
          <w:sz w:val="24"/>
          <w:szCs w:val="24"/>
        </w:rPr>
      </w:pPr>
      <w:r>
        <w:rPr>
          <w:rFonts w:hint="eastAsia" w:hAnsiTheme="minorHAnsi"/>
          <w:b w:val="0"/>
          <w:bCs w:val="0"/>
          <w:sz w:val="24"/>
          <w:szCs w:val="24"/>
        </w:rPr>
        <w:t>公开时间：2021年9月10日</w:t>
      </w:r>
    </w:p>
    <w:p w14:paraId="42DAF223">
      <w:pPr>
        <w:pStyle w:val="14"/>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rPr>
        <w:t>6-9</w:t>
      </w:r>
    </w:p>
    <w:p w14:paraId="77C260E4">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rPr>
          <w:rFonts w:hint="eastAsia"/>
        </w:rPr>
        <w:t>6-8</w:t>
      </w:r>
    </w:p>
    <w:p w14:paraId="3DE11500">
      <w:pPr>
        <w:pStyle w:val="9"/>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rPr>
          <w:rFonts w:hint="eastAsia"/>
        </w:rPr>
        <w:t>6-7</w:t>
      </w:r>
    </w:p>
    <w:p w14:paraId="5A5D75B0">
      <w:pPr>
        <w:pStyle w:val="9"/>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rPr>
          <w:rFonts w:hint="eastAsia"/>
        </w:rPr>
        <w:t>7-8</w:t>
      </w:r>
    </w:p>
    <w:p w14:paraId="2D3FB5CA">
      <w:pPr>
        <w:pStyle w:val="17"/>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rPr>
        <w:t>8-9</w:t>
      </w:r>
    </w:p>
    <w:p w14:paraId="5B5E7451">
      <w:pPr>
        <w:pStyle w:val="9"/>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1.</w:t>
      </w:r>
      <w:r>
        <w:rPr>
          <w:rFonts w:hAnsiTheme="minorHAnsi" w:eastAsiaTheme="minorEastAsia" w:cstheme="minorBidi"/>
          <w:i w:val="0"/>
          <w:iCs w:val="0"/>
          <w:sz w:val="21"/>
          <w:szCs w:val="22"/>
        </w:rPr>
        <w:tab/>
      </w:r>
      <w:r>
        <w:rPr>
          <w:rFonts w:ascii="仿宋" w:hAnsi="仿宋" w:eastAsia="仿宋"/>
          <w:color w:val="000000"/>
        </w:rPr>
        <w:t>***</w:t>
      </w:r>
      <w:r>
        <w:tab/>
      </w:r>
      <w:r>
        <w:rPr>
          <w:rFonts w:hint="eastAsia"/>
        </w:rPr>
        <w:t>8-9</w:t>
      </w:r>
    </w:p>
    <w:p w14:paraId="7A87CF36">
      <w:pPr>
        <w:pStyle w:val="9"/>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2.</w:t>
      </w:r>
      <w:r>
        <w:rPr>
          <w:rFonts w:hAnsiTheme="minorHAnsi" w:eastAsiaTheme="minorEastAsia" w:cstheme="minorBidi"/>
          <w:i w:val="0"/>
          <w:iCs w:val="0"/>
          <w:sz w:val="21"/>
          <w:szCs w:val="22"/>
        </w:rPr>
        <w:tab/>
      </w:r>
      <w:r>
        <w:rPr>
          <w:rFonts w:ascii="仿宋" w:hAnsi="仿宋" w:eastAsia="仿宋"/>
          <w:color w:val="000000"/>
        </w:rPr>
        <w:t>***</w:t>
      </w:r>
      <w:r>
        <w:tab/>
      </w:r>
      <w:r>
        <w:rPr>
          <w:rFonts w:hint="eastAsia"/>
        </w:rPr>
        <w:t>8-9</w:t>
      </w:r>
    </w:p>
    <w:p w14:paraId="28900986">
      <w:pPr>
        <w:pStyle w:val="9"/>
        <w:tabs>
          <w:tab w:val="left" w:pos="840"/>
          <w:tab w:val="right" w:leader="dot" w:pos="8296"/>
        </w:tabs>
        <w:rPr>
          <w:rFonts w:hAnsiTheme="minorHAnsi" w:eastAsiaTheme="minorEastAsia" w:cstheme="minorBidi"/>
          <w:i w:val="0"/>
          <w:iCs w:val="0"/>
          <w:sz w:val="21"/>
          <w:szCs w:val="22"/>
        </w:rPr>
      </w:pPr>
      <w:r>
        <w:rPr>
          <w:rFonts w:ascii="仿宋" w:hAnsi="仿宋" w:eastAsia="仿宋"/>
          <w:color w:val="000000"/>
        </w:rPr>
        <w:t>3.</w:t>
      </w:r>
      <w:r>
        <w:rPr>
          <w:rFonts w:hAnsiTheme="minorHAnsi" w:eastAsiaTheme="minorEastAsia" w:cstheme="minorBidi"/>
          <w:i w:val="0"/>
          <w:iCs w:val="0"/>
          <w:sz w:val="21"/>
          <w:szCs w:val="22"/>
        </w:rPr>
        <w:tab/>
      </w:r>
      <w:r>
        <w:rPr>
          <w:rFonts w:ascii="仿宋" w:hAnsi="仿宋" w:eastAsia="仿宋"/>
          <w:color w:val="000000"/>
        </w:rPr>
        <w:t>***</w:t>
      </w:r>
      <w:r>
        <w:tab/>
      </w:r>
      <w:r>
        <w:rPr>
          <w:rFonts w:hint="eastAsia"/>
        </w:rPr>
        <w:t>8-9</w:t>
      </w:r>
    </w:p>
    <w:p w14:paraId="558288F8">
      <w:pPr>
        <w:pStyle w:val="14"/>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b w:val="0"/>
          <w:bCs w:val="0"/>
        </w:rPr>
        <w:t>2020年度部门决算情况说明</w:t>
      </w:r>
      <w:r>
        <w:tab/>
      </w:r>
      <w:r>
        <w:rPr>
          <w:rFonts w:hint="eastAsia"/>
        </w:rPr>
        <w:t>10-15</w:t>
      </w:r>
    </w:p>
    <w:p w14:paraId="51038F1E">
      <w:pPr>
        <w:pStyle w:val="17"/>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rPr>
        <w:t>10</w:t>
      </w:r>
    </w:p>
    <w:p w14:paraId="06EE6395">
      <w:pPr>
        <w:pStyle w:val="17"/>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rPr>
        <w:t>10</w:t>
      </w:r>
    </w:p>
    <w:p w14:paraId="2FAD60AE">
      <w:pPr>
        <w:pStyle w:val="17"/>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rPr>
        <w:t>10</w:t>
      </w:r>
    </w:p>
    <w:p w14:paraId="448C717E">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rPr>
          <w:rFonts w:hint="eastAsia"/>
        </w:rPr>
        <w:t>10</w:t>
      </w:r>
    </w:p>
    <w:p w14:paraId="41B519C2">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rPr>
        <w:t>10-11</w:t>
      </w:r>
    </w:p>
    <w:p w14:paraId="22895962">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rPr>
          <w:rFonts w:hint="eastAsia"/>
        </w:rPr>
        <w:t>10</w:t>
      </w:r>
    </w:p>
    <w:p w14:paraId="1C8CE171">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rPr>
          <w:rFonts w:hint="eastAsia"/>
        </w:rPr>
        <w:t>10-11</w:t>
      </w:r>
    </w:p>
    <w:p w14:paraId="51BEC50F">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rPr>
          <w:rFonts w:hint="eastAsia"/>
        </w:rPr>
        <w:t>11</w:t>
      </w:r>
    </w:p>
    <w:p w14:paraId="39E43674">
      <w:pPr>
        <w:pStyle w:val="17"/>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rPr>
        <w:t>11-12</w:t>
      </w:r>
    </w:p>
    <w:p w14:paraId="55A23FFD">
      <w:pPr>
        <w:pStyle w:val="17"/>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rPr>
        <w:t>12-13</w:t>
      </w:r>
    </w:p>
    <w:p w14:paraId="3141F15F">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rPr>
          <w:rFonts w:hint="eastAsia"/>
        </w:rPr>
        <w:t>12</w:t>
      </w:r>
    </w:p>
    <w:p w14:paraId="43AB2735">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rPr>
          <w:rFonts w:hint="eastAsia"/>
        </w:rPr>
        <w:t>12-13</w:t>
      </w:r>
    </w:p>
    <w:p w14:paraId="293BCE1D">
      <w:pPr>
        <w:pStyle w:val="17"/>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rPr>
          <w:rFonts w:hint="eastAsia"/>
        </w:rPr>
        <w:t>13</w:t>
      </w:r>
    </w:p>
    <w:p w14:paraId="6ABC24A0">
      <w:pPr>
        <w:pStyle w:val="17"/>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rPr>
          <w:rFonts w:hint="eastAsia"/>
        </w:rPr>
        <w:t>13</w:t>
      </w:r>
    </w:p>
    <w:p w14:paraId="28DA7F16">
      <w:pPr>
        <w:pStyle w:val="17"/>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rPr>
        <w:t>13-15</w:t>
      </w:r>
    </w:p>
    <w:p w14:paraId="7844A24D">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rPr>
          <w:rFonts w:hint="eastAsia"/>
        </w:rPr>
        <w:t>13</w:t>
      </w:r>
    </w:p>
    <w:p w14:paraId="4314749D">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rPr>
          <w:rFonts w:hint="eastAsia"/>
        </w:rPr>
        <w:t>13-14</w:t>
      </w:r>
    </w:p>
    <w:p w14:paraId="48214B1B">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rPr>
          <w:rFonts w:hint="eastAsia"/>
        </w:rPr>
        <w:t>14</w:t>
      </w:r>
    </w:p>
    <w:p w14:paraId="5B067D97">
      <w:pPr>
        <w:pStyle w:val="9"/>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rPr>
          <w:rFonts w:hint="eastAsia"/>
        </w:rPr>
        <w:t>14-15</w:t>
      </w:r>
    </w:p>
    <w:p w14:paraId="4BF5E72D">
      <w:pPr>
        <w:pStyle w:val="14"/>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16</w:t>
      </w:r>
      <w:r>
        <w:fldChar w:fldCharType="end"/>
      </w:r>
      <w:r>
        <w:rPr>
          <w:rFonts w:hint="eastAsia"/>
        </w:rPr>
        <w:t>-17</w:t>
      </w:r>
    </w:p>
    <w:p w14:paraId="7D0DBC24">
      <w:pPr>
        <w:pStyle w:val="14"/>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rPr>
          <w:rFonts w:hint="eastAsia"/>
        </w:rPr>
        <w:t>18-20</w:t>
      </w:r>
    </w:p>
    <w:p w14:paraId="3500E8CD">
      <w:pPr>
        <w:pStyle w:val="14"/>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rPr>
          <w:rFonts w:hint="eastAsia"/>
        </w:rPr>
        <w:t>18</w:t>
      </w:r>
    </w:p>
    <w:p w14:paraId="7910DB69">
      <w:pPr>
        <w:pStyle w:val="14"/>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XX部门2020年部门整体支出绩效评价报告</w:t>
      </w:r>
      <w:r>
        <w:tab/>
      </w:r>
      <w:r>
        <w:fldChar w:fldCharType="begin"/>
      </w:r>
      <w:r>
        <w:instrText xml:space="preserve"> PAGEREF _Toc79163882 \h </w:instrText>
      </w:r>
      <w:r>
        <w:fldChar w:fldCharType="separate"/>
      </w:r>
      <w:r>
        <w:rPr>
          <w:rFonts w:hint="eastAsia"/>
          <w:b w:val="0"/>
          <w:bCs w:val="0"/>
        </w:rPr>
        <w:t>错误！未定义书签。</w:t>
      </w:r>
      <w:r>
        <w:fldChar w:fldCharType="end"/>
      </w:r>
    </w:p>
    <w:p w14:paraId="27628DD1">
      <w:pPr>
        <w:pStyle w:val="14"/>
        <w:tabs>
          <w:tab w:val="right" w:leader="dot" w:pos="8296"/>
        </w:tabs>
        <w:rPr>
          <w:rFonts w:hAnsiTheme="minorHAnsi" w:eastAsiaTheme="minorEastAsia" w:cstheme="minorBidi"/>
          <w:b w:val="0"/>
          <w:bCs w:val="0"/>
          <w:caps w:val="0"/>
          <w:sz w:val="21"/>
          <w:szCs w:val="22"/>
        </w:rPr>
      </w:pPr>
      <w:r>
        <w:rPr>
          <w:rFonts w:ascii="黑体" w:hAnsi="黑体" w:eastAsia="黑体" w:cs="黑体"/>
        </w:rPr>
        <w:t>附件2</w:t>
      </w:r>
      <w:r>
        <w:tab/>
      </w:r>
    </w:p>
    <w:p w14:paraId="1FD1496F">
      <w:pPr>
        <w:pStyle w:val="14"/>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XXX项目2020年绩效评价报告</w:t>
      </w:r>
      <w:r>
        <w:tab/>
      </w:r>
    </w:p>
    <w:p w14:paraId="7AA810FF">
      <w:pPr>
        <w:pStyle w:val="14"/>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21</w:t>
      </w:r>
      <w:r>
        <w:fldChar w:fldCharType="end"/>
      </w:r>
    </w:p>
    <w:p w14:paraId="325ABD64">
      <w:pPr>
        <w:pStyle w:val="17"/>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21</w:t>
      </w:r>
      <w:r>
        <w:fldChar w:fldCharType="end"/>
      </w:r>
    </w:p>
    <w:p w14:paraId="28F7E0E6">
      <w:pPr>
        <w:pStyle w:val="17"/>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21</w:t>
      </w:r>
      <w:r>
        <w:fldChar w:fldCharType="end"/>
      </w:r>
    </w:p>
    <w:p w14:paraId="752FAC61">
      <w:pPr>
        <w:pStyle w:val="17"/>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21</w:t>
      </w:r>
      <w:r>
        <w:fldChar w:fldCharType="end"/>
      </w:r>
    </w:p>
    <w:p w14:paraId="093D6E2D">
      <w:pPr>
        <w:pStyle w:val="17"/>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21</w:t>
      </w:r>
      <w:r>
        <w:fldChar w:fldCharType="end"/>
      </w:r>
    </w:p>
    <w:p w14:paraId="5BC2D4BC">
      <w:pPr>
        <w:pStyle w:val="17"/>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rPr>
        <w:t>21</w:t>
      </w:r>
    </w:p>
    <w:p w14:paraId="1FA58506">
      <w:pPr>
        <w:pStyle w:val="17"/>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21</w:t>
      </w:r>
      <w:r>
        <w:fldChar w:fldCharType="end"/>
      </w:r>
    </w:p>
    <w:p w14:paraId="71E2CECA">
      <w:pPr>
        <w:pStyle w:val="17"/>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21</w:t>
      </w:r>
      <w:r>
        <w:fldChar w:fldCharType="end"/>
      </w:r>
    </w:p>
    <w:p w14:paraId="4B1D4C55">
      <w:pPr>
        <w:pStyle w:val="17"/>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21</w:t>
      </w:r>
      <w:r>
        <w:fldChar w:fldCharType="end"/>
      </w:r>
    </w:p>
    <w:p w14:paraId="02525368">
      <w:pPr>
        <w:pStyle w:val="17"/>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21</w:t>
      </w:r>
      <w:r>
        <w:fldChar w:fldCharType="end"/>
      </w:r>
    </w:p>
    <w:p w14:paraId="1FB31AC1">
      <w:pPr>
        <w:pStyle w:val="17"/>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rPr>
        <w:t>21</w:t>
      </w:r>
    </w:p>
    <w:p w14:paraId="29B62DF1">
      <w:pPr>
        <w:pStyle w:val="17"/>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21</w:t>
      </w:r>
      <w:r>
        <w:fldChar w:fldCharType="end"/>
      </w:r>
    </w:p>
    <w:p w14:paraId="2DE2EA10">
      <w:pPr>
        <w:pStyle w:val="17"/>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21</w:t>
      </w:r>
      <w:r>
        <w:fldChar w:fldCharType="end"/>
      </w:r>
    </w:p>
    <w:p w14:paraId="5B4AB811">
      <w:pPr>
        <w:pStyle w:val="17"/>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21</w:t>
      </w:r>
      <w:r>
        <w:fldChar w:fldCharType="end"/>
      </w:r>
    </w:p>
    <w:p w14:paraId="44619CB2">
      <w:pPr>
        <w:pStyle w:val="17"/>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21</w:t>
      </w:r>
      <w:r>
        <w:fldChar w:fldCharType="end"/>
      </w:r>
    </w:p>
    <w:p w14:paraId="3947A3C7">
      <w:r>
        <w:rPr>
          <w:rFonts w:asciiTheme="minorHAnsi" w:eastAsiaTheme="minorHAnsi"/>
          <w:b/>
          <w:bCs/>
          <w:caps/>
          <w:sz w:val="20"/>
          <w:szCs w:val="20"/>
        </w:rPr>
        <w:fldChar w:fldCharType="end"/>
      </w:r>
    </w:p>
    <w:p w14:paraId="7695C099">
      <w:pPr>
        <w:widowControl/>
        <w:adjustRightInd w:val="0"/>
        <w:snapToGrid w:val="0"/>
        <w:spacing w:line="440" w:lineRule="exact"/>
        <w:ind w:firstLine="1304"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14:paraId="266210E1">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bookmarkEnd w:id="12"/>
    <w:bookmarkEnd w:id="13"/>
    <w:p w14:paraId="41375ECB">
      <w:pPr>
        <w:widowControl/>
        <w:ind w:firstLine="2185" w:firstLineChars="500"/>
        <w:rPr>
          <w:rStyle w:val="25"/>
          <w:rFonts w:ascii="黑体" w:hAnsi="黑体" w:eastAsia="黑体"/>
          <w:bCs w:val="0"/>
        </w:rPr>
      </w:pPr>
      <w:r>
        <w:rPr>
          <w:rFonts w:hint="eastAsia" w:ascii="黑体" w:hAnsi="黑体" w:eastAsia="黑体"/>
          <w:sz w:val="44"/>
          <w:szCs w:val="44"/>
        </w:rPr>
        <w:t xml:space="preserve">第一部分 </w:t>
      </w:r>
      <w:r>
        <w:rPr>
          <w:rStyle w:val="25"/>
          <w:rFonts w:hint="eastAsia" w:ascii="黑体" w:hAnsi="黑体" w:eastAsia="黑体"/>
        </w:rPr>
        <w:t>部门概况</w:t>
      </w:r>
    </w:p>
    <w:p w14:paraId="4CA81B0C">
      <w:pPr>
        <w:widowControl/>
        <w:jc w:val="left"/>
        <w:rPr>
          <w:color w:val="000000"/>
          <w:sz w:val="32"/>
          <w:szCs w:val="32"/>
        </w:rPr>
      </w:pPr>
    </w:p>
    <w:p w14:paraId="41D29AEB">
      <w:pPr>
        <w:pStyle w:val="3"/>
        <w:rPr>
          <w:rStyle w:val="26"/>
          <w:rFonts w:ascii="仿宋" w:hAnsi="仿宋" w:eastAsia="仿宋"/>
          <w:b/>
          <w:bCs/>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bCs/>
        </w:rPr>
        <w:t>本职能及主要工作</w:t>
      </w:r>
      <w:bookmarkEnd w:id="14"/>
      <w:bookmarkEnd w:id="15"/>
    </w:p>
    <w:p w14:paraId="7C52266E">
      <w:pPr>
        <w:pStyle w:val="6"/>
        <w:spacing w:before="180" w:line="550" w:lineRule="exact"/>
        <w:ind w:firstLine="672"/>
      </w:pPr>
      <w:bookmarkStart w:id="16" w:name="_Toc15378445"/>
      <w:bookmarkStart w:id="17" w:name="_Toc15377198"/>
      <w:r>
        <w:rPr>
          <w:rFonts w:hint="eastAsia" w:ascii="仿宋" w:hAnsi="仿宋" w:eastAsia="仿宋"/>
          <w:bCs/>
          <w:color w:val="000000"/>
          <w:sz w:val="32"/>
          <w:szCs w:val="32"/>
        </w:rPr>
        <w:t>（一）主要职能。</w:t>
      </w:r>
      <w:r>
        <w:rPr>
          <w:rFonts w:hint="eastAsia" w:eastAsia="仿宋"/>
          <w:sz w:val="32"/>
          <w:szCs w:val="32"/>
        </w:rPr>
        <w:t>九寨沟县青少年宫主要是为青少年健康成长提供校外服务。组织开展丰富多彩的校外活动。</w:t>
      </w:r>
    </w:p>
    <w:bookmarkEnd w:id="16"/>
    <w:bookmarkEnd w:id="17"/>
    <w:p w14:paraId="4B34A6D9">
      <w:pPr>
        <w:spacing w:line="192" w:lineRule="auto"/>
        <w:ind w:firstLine="634" w:firstLineChars="200"/>
        <w:rPr>
          <w:rFonts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（二）2020年重点工作完成情况。</w:t>
      </w:r>
      <w:bookmarkEnd w:id="18"/>
      <w:bookmarkEnd w:id="19"/>
    </w:p>
    <w:p w14:paraId="2C1703A2">
      <w:pPr>
        <w:spacing w:line="192" w:lineRule="auto"/>
        <w:ind w:firstLine="951" w:firstLineChars="300"/>
        <w:rPr>
          <w:rFonts w:ascii="仿宋" w:hAnsi="仿宋" w:eastAsia="仿宋" w:cs="仿宋"/>
          <w:sz w:val="32"/>
          <w:szCs w:val="32"/>
        </w:rPr>
      </w:pPr>
      <w:r>
        <w:rPr>
          <w:rFonts w:hint="eastAsia" w:ascii="仿宋" w:hAnsi="仿宋" w:eastAsia="仿宋" w:cs="仿宋"/>
          <w:sz w:val="32"/>
          <w:szCs w:val="32"/>
        </w:rPr>
        <w:t>一、深化青少年思想信念教育。</w:t>
      </w:r>
    </w:p>
    <w:p w14:paraId="0DC6AFEC">
      <w:pPr>
        <w:spacing w:line="192" w:lineRule="auto"/>
        <w:ind w:firstLine="951" w:firstLineChars="300"/>
        <w:rPr>
          <w:rFonts w:ascii="仿宋" w:hAnsi="仿宋" w:eastAsia="仿宋" w:cs="仿宋"/>
          <w:sz w:val="32"/>
          <w:szCs w:val="32"/>
        </w:rPr>
      </w:pPr>
      <w:r>
        <w:rPr>
          <w:rFonts w:hint="eastAsia" w:ascii="仿宋" w:hAnsi="仿宋" w:eastAsia="仿宋" w:cs="仿宋"/>
          <w:sz w:val="32"/>
          <w:szCs w:val="32"/>
        </w:rPr>
        <w:t>二、强化督促指导基层工作。</w:t>
      </w:r>
    </w:p>
    <w:p w14:paraId="7976015C">
      <w:pPr>
        <w:spacing w:line="192" w:lineRule="auto"/>
        <w:ind w:firstLine="951" w:firstLineChars="300"/>
        <w:rPr>
          <w:rFonts w:ascii="仿宋" w:hAnsi="仿宋" w:eastAsia="仿宋" w:cs="仿宋"/>
          <w:sz w:val="32"/>
          <w:szCs w:val="32"/>
        </w:rPr>
      </w:pPr>
      <w:r>
        <w:rPr>
          <w:rFonts w:hint="eastAsia" w:ascii="仿宋" w:hAnsi="仿宋" w:eastAsia="仿宋" w:cs="仿宋"/>
          <w:sz w:val="32"/>
          <w:szCs w:val="32"/>
        </w:rPr>
        <w:t>三、扎实开展主题实践。</w:t>
      </w:r>
    </w:p>
    <w:p w14:paraId="481C6C9A">
      <w:pPr>
        <w:spacing w:line="192" w:lineRule="auto"/>
        <w:ind w:firstLine="951" w:firstLineChars="300"/>
        <w:rPr>
          <w:rFonts w:ascii="仿宋" w:hAnsi="仿宋" w:eastAsia="仿宋" w:cs="仿宋"/>
          <w:sz w:val="32"/>
          <w:szCs w:val="32"/>
        </w:rPr>
      </w:pPr>
      <w:r>
        <w:rPr>
          <w:rFonts w:hint="eastAsia" w:ascii="仿宋" w:hAnsi="仿宋" w:eastAsia="仿宋" w:cs="仿宋"/>
          <w:sz w:val="32"/>
          <w:szCs w:val="32"/>
        </w:rPr>
        <w:t>四、利用新媒体阵地广泛发布青春咨询。</w:t>
      </w:r>
    </w:p>
    <w:p w14:paraId="5A02D36D">
      <w:pPr>
        <w:spacing w:line="192" w:lineRule="auto"/>
        <w:ind w:firstLine="951" w:firstLineChars="300"/>
        <w:rPr>
          <w:rFonts w:ascii="仿宋" w:hAnsi="仿宋" w:eastAsia="仿宋" w:cs="仿宋"/>
          <w:sz w:val="32"/>
          <w:szCs w:val="32"/>
        </w:rPr>
      </w:pPr>
      <w:r>
        <w:rPr>
          <w:rFonts w:hint="eastAsia" w:ascii="仿宋" w:hAnsi="仿宋" w:eastAsia="仿宋" w:cs="仿宋"/>
          <w:sz w:val="32"/>
          <w:szCs w:val="32"/>
        </w:rPr>
        <w:t>五、链接政策资源，抓实青年扶持。</w:t>
      </w:r>
    </w:p>
    <w:p w14:paraId="429E7F91">
      <w:pPr>
        <w:spacing w:line="192" w:lineRule="auto"/>
        <w:ind w:firstLine="951" w:firstLineChars="300"/>
        <w:rPr>
          <w:rFonts w:ascii="仿宋" w:hAnsi="仿宋" w:eastAsia="仿宋"/>
          <w:bCs/>
          <w:color w:val="000000"/>
          <w:sz w:val="32"/>
          <w:szCs w:val="32"/>
        </w:rPr>
      </w:pPr>
      <w:r>
        <w:rPr>
          <w:rFonts w:hint="eastAsia" w:ascii="仿宋" w:hAnsi="仿宋" w:eastAsia="仿宋" w:cs="仿宋"/>
          <w:sz w:val="32"/>
          <w:szCs w:val="32"/>
        </w:rPr>
        <w:t>六、管理服务并重，抓好西部计划。</w:t>
      </w:r>
    </w:p>
    <w:p w14:paraId="27CE46E8">
      <w:pPr>
        <w:pStyle w:val="3"/>
        <w:rPr>
          <w:rStyle w:val="26"/>
          <w:b/>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bCs/>
        </w:rPr>
        <w:t>构设置</w:t>
      </w:r>
      <w:bookmarkEnd w:id="20"/>
      <w:bookmarkEnd w:id="21"/>
    </w:p>
    <w:p w14:paraId="6707FDF6">
      <w:pPr>
        <w:pStyle w:val="6"/>
        <w:adjustRightInd w:val="0"/>
        <w:snapToGrid w:val="0"/>
        <w:spacing w:before="180" w:line="550" w:lineRule="exact"/>
        <w:ind w:firstLine="666" w:firstLineChars="210"/>
        <w:rPr>
          <w:color w:val="000000"/>
        </w:rPr>
      </w:pPr>
      <w:r>
        <w:rPr>
          <w:rFonts w:hint="eastAsia" w:hAnsi="仿宋_GB2312" w:cs="仿宋_GB2312"/>
          <w:kern w:val="2"/>
          <w:sz w:val="32"/>
          <w:szCs w:val="32"/>
        </w:rPr>
        <w:t>根据</w:t>
      </w:r>
      <w:r>
        <w:rPr>
          <w:rFonts w:hint="eastAsia" w:eastAsia="仿宋"/>
          <w:sz w:val="32"/>
          <w:szCs w:val="32"/>
        </w:rPr>
        <w:t>九寨沟县青少年宫</w:t>
      </w:r>
      <w:r>
        <w:rPr>
          <w:rFonts w:hint="eastAsia" w:hAnsi="仿宋_GB2312" w:cs="仿宋_GB2312"/>
          <w:kern w:val="2"/>
          <w:sz w:val="32"/>
          <w:szCs w:val="32"/>
        </w:rPr>
        <w:t>的实际情况，单位内部不设内设机构。</w:t>
      </w:r>
      <w:r>
        <w:rPr>
          <w:rFonts w:hint="eastAsia" w:eastAsia="仿宋"/>
          <w:sz w:val="32"/>
          <w:szCs w:val="32"/>
        </w:rPr>
        <w:t>九寨沟县青少年宫</w:t>
      </w:r>
      <w:r>
        <w:rPr>
          <w:rFonts w:hint="eastAsia" w:hAnsi="仿宋_GB2312" w:cs="仿宋_GB2312"/>
          <w:kern w:val="2"/>
          <w:sz w:val="32"/>
          <w:szCs w:val="32"/>
        </w:rPr>
        <w:t>编制3名;事业管理编制2名，事业工勤编制1名，</w:t>
      </w:r>
      <w:r>
        <w:rPr>
          <w:rFonts w:hint="eastAsia" w:eastAsia="仿宋"/>
          <w:sz w:val="32"/>
          <w:szCs w:val="32"/>
        </w:rPr>
        <w:t>九寨沟县青少年宫</w:t>
      </w:r>
      <w:r>
        <w:rPr>
          <w:rFonts w:hint="eastAsia" w:hAnsi="仿宋_GB2312" w:cs="仿宋_GB2312"/>
          <w:kern w:val="2"/>
          <w:sz w:val="32"/>
          <w:szCs w:val="32"/>
        </w:rPr>
        <w:t>编制合计3名</w:t>
      </w:r>
      <w:r>
        <w:rPr>
          <w:rFonts w:hint="eastAsia"/>
          <w:color w:val="000000"/>
          <w:sz w:val="32"/>
          <w:szCs w:val="32"/>
        </w:rPr>
        <w:t>。</w:t>
      </w:r>
    </w:p>
    <w:p w14:paraId="7FFCD010">
      <w:pPr>
        <w:pStyle w:val="2"/>
        <w:ind w:right="1320"/>
        <w:rPr>
          <w:rStyle w:val="25"/>
          <w:rFonts w:ascii="黑体" w:hAnsi="黑体" w:eastAsia="黑体"/>
          <w:b/>
          <w:bCs/>
        </w:rPr>
      </w:pPr>
      <w:bookmarkStart w:id="22" w:name="_Toc15377204"/>
      <w:bookmarkStart w:id="23" w:name="_Toc15396602"/>
      <w:r>
        <w:rPr>
          <w:rFonts w:hint="eastAsia" w:ascii="黑体" w:hAnsi="黑体" w:eastAsia="黑体"/>
          <w:b w:val="0"/>
          <w:color w:val="000000"/>
        </w:rPr>
        <w:t>第二部分</w:t>
      </w:r>
      <w:r>
        <w:rPr>
          <w:rStyle w:val="25"/>
          <w:rFonts w:hint="eastAsia" w:ascii="黑体" w:hAnsi="黑体" w:eastAsia="黑体"/>
          <w:b/>
          <w:bCs/>
        </w:rPr>
        <w:t>20２０年度部门决算情说明</w:t>
      </w:r>
      <w:bookmarkEnd w:id="22"/>
      <w:bookmarkEnd w:id="23"/>
      <w:bookmarkStart w:id="24" w:name="_Toc15396603"/>
      <w:bookmarkStart w:id="25" w:name="_Toc15377205"/>
    </w:p>
    <w:p w14:paraId="58FFC7FB">
      <w:pPr>
        <w:pStyle w:val="2"/>
        <w:ind w:right="1320"/>
        <w:rPr>
          <w:rStyle w:val="26"/>
          <w:rFonts w:ascii="黑体" w:hAnsi="黑体"/>
          <w:b/>
          <w:bCs/>
        </w:rPr>
      </w:pPr>
      <w:r>
        <w:rPr>
          <w:rStyle w:val="25"/>
          <w:rFonts w:hint="eastAsia" w:ascii="黑体" w:hAnsi="黑体" w:eastAsia="黑体"/>
          <w:b/>
          <w:bCs/>
        </w:rPr>
        <w:t>一.</w:t>
      </w:r>
      <w:r>
        <w:rPr>
          <w:rFonts w:hint="eastAsia" w:ascii="黑体" w:hAnsi="黑体" w:eastAsia="黑体"/>
          <w:color w:val="000000"/>
          <w:sz w:val="32"/>
          <w:szCs w:val="32"/>
        </w:rPr>
        <w:t>收</w:t>
      </w:r>
      <w:r>
        <w:rPr>
          <w:rStyle w:val="26"/>
          <w:rFonts w:hint="eastAsia" w:ascii="黑体" w:hAnsi="黑体" w:eastAsia="黑体"/>
          <w:b/>
          <w:bCs/>
        </w:rPr>
        <w:t>入支出决算总体情况说明</w:t>
      </w:r>
      <w:bookmarkEnd w:id="24"/>
      <w:bookmarkEnd w:id="25"/>
    </w:p>
    <w:p w14:paraId="75433547">
      <w:pPr>
        <w:spacing w:line="600" w:lineRule="exact"/>
        <w:ind w:firstLine="634" w:firstLineChars="200"/>
        <w:rPr>
          <w:rFonts w:ascii="仿宋" w:hAnsi="仿宋" w:eastAsia="仿宋"/>
          <w:color w:val="000000"/>
        </w:rPr>
      </w:pPr>
      <w:r>
        <w:rPr>
          <w:rFonts w:hint="eastAsia" w:ascii="仿宋" w:hAnsi="仿宋" w:eastAsia="仿宋"/>
          <w:color w:val="000000"/>
          <w:sz w:val="32"/>
          <w:szCs w:val="32"/>
        </w:rPr>
        <w:t>2020年度总收入26.13万元、支出总计26.13万元。</w:t>
      </w:r>
    </w:p>
    <w:p w14:paraId="3C09C8D4">
      <w:pPr>
        <w:pStyle w:val="43"/>
        <w:numPr>
          <w:ilvl w:val="0"/>
          <w:numId w:val="1"/>
        </w:numPr>
        <w:spacing w:line="600"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rPr>
        <w:t>入决算情况说明</w:t>
      </w:r>
      <w:bookmarkEnd w:id="26"/>
      <w:bookmarkEnd w:id="27"/>
    </w:p>
    <w:p w14:paraId="7B84B4D6">
      <w:pPr>
        <w:spacing w:line="600" w:lineRule="exact"/>
        <w:ind w:firstLine="634" w:firstLineChars="200"/>
        <w:outlineLvl w:val="1"/>
        <w:rPr>
          <w:rFonts w:ascii="仿宋" w:hAnsi="仿宋" w:eastAsia="仿宋"/>
          <w:color w:val="000000"/>
        </w:rPr>
      </w:pPr>
      <w:r>
        <w:rPr>
          <w:rFonts w:hint="eastAsia" w:ascii="仿宋" w:hAnsi="仿宋" w:eastAsia="仿宋"/>
          <w:color w:val="000000"/>
          <w:sz w:val="32"/>
          <w:szCs w:val="32"/>
        </w:rPr>
        <w:t>2020年本年收入合计26.13万元，其中：一般公共预算财政拨款收入26.13万元，占100%；政府性基金预算财政拨款收入0万元，占0%；国有资本经营预算财政拨款收入0万元，占0%；事业收入0万元，占0%；经营收入0万元，占0%；附属单位上缴收入0万元，占0%；其他收入0万元，占0%。</w:t>
      </w:r>
    </w:p>
    <w:p w14:paraId="36B4E921">
      <w:pPr>
        <w:pStyle w:val="43"/>
        <w:spacing w:line="600" w:lineRule="exact"/>
        <w:ind w:firstLine="317" w:firstLineChars="10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rPr>
        <w:t>三、支</w:t>
      </w:r>
      <w:r>
        <w:rPr>
          <w:rStyle w:val="26"/>
          <w:rFonts w:hint="eastAsia" w:ascii="黑体" w:hAnsi="黑体" w:eastAsia="黑体"/>
        </w:rPr>
        <w:t>出决算情况说明</w:t>
      </w:r>
      <w:bookmarkEnd w:id="28"/>
      <w:bookmarkEnd w:id="29"/>
    </w:p>
    <w:p w14:paraId="140B33DF">
      <w:pPr>
        <w:spacing w:line="600" w:lineRule="exact"/>
        <w:ind w:firstLine="640"/>
        <w:rPr>
          <w:rFonts w:ascii="仿宋_GB2312" w:eastAsia="仿宋_GB2312"/>
          <w:color w:val="FF0000"/>
        </w:rPr>
      </w:pPr>
      <w:r>
        <w:rPr>
          <w:rFonts w:hint="eastAsia" w:ascii="仿宋" w:hAnsi="仿宋" w:eastAsia="仿宋"/>
          <w:color w:val="000000"/>
          <w:sz w:val="32"/>
          <w:szCs w:val="32"/>
        </w:rPr>
        <w:t>2020年本年支出合计26.13万元，其中：基本支出26.13万元，占100%；项目支出0万元，占0%；上缴上级支出0万元，占0%；经营支出0万元，占0%；对附属单位补助支出0万元，占0%。</w:t>
      </w:r>
    </w:p>
    <w:p w14:paraId="30C2B874">
      <w:pPr>
        <w:spacing w:line="600" w:lineRule="exact"/>
        <w:ind w:firstLine="634" w:firstLineChars="200"/>
        <w:outlineLvl w:val="1"/>
        <w:rPr>
          <w:rStyle w:val="26"/>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6"/>
          <w:rFonts w:hint="eastAsia" w:ascii="黑体" w:hAnsi="黑体" w:eastAsia="黑体"/>
        </w:rPr>
        <w:t>政拨款收入支出决算总体情况说明</w:t>
      </w:r>
      <w:bookmarkEnd w:id="30"/>
      <w:bookmarkEnd w:id="31"/>
    </w:p>
    <w:p w14:paraId="2E492A37">
      <w:pPr>
        <w:spacing w:line="600" w:lineRule="exact"/>
        <w:ind w:firstLine="634" w:firstLineChars="200"/>
        <w:rPr>
          <w:rFonts w:ascii="仿宋" w:hAnsi="仿宋" w:eastAsia="仿宋"/>
          <w:color w:val="000000"/>
        </w:rPr>
      </w:pPr>
      <w:r>
        <w:rPr>
          <w:rFonts w:hint="eastAsia" w:ascii="仿宋" w:hAnsi="仿宋" w:eastAsia="仿宋"/>
          <w:color w:val="000000"/>
          <w:sz w:val="32"/>
          <w:szCs w:val="32"/>
        </w:rPr>
        <w:t>2020年财政拨款收入26.13万元、支出总计26.13万元。</w:t>
      </w:r>
    </w:p>
    <w:p w14:paraId="3C198BB9">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（除国有资本经营预算外，数据来源于财决Z01-1表，口径为“总计”数+国有资本经营预算。）</w:t>
      </w:r>
    </w:p>
    <w:p w14:paraId="20BC145A">
      <w:pPr>
        <w:spacing w:line="600" w:lineRule="exact"/>
        <w:outlineLvl w:val="1"/>
        <w:rPr>
          <w:rStyle w:val="26"/>
          <w:rFonts w:ascii="黑体" w:hAnsi="黑体" w:eastAsia="黑体"/>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rPr>
        <w:t>般公共预算财政拨款支出决算情况说明</w:t>
      </w:r>
      <w:bookmarkEnd w:id="32"/>
      <w:bookmarkEnd w:id="33"/>
    </w:p>
    <w:p w14:paraId="36AC3D3F">
      <w:pPr>
        <w:spacing w:line="600" w:lineRule="exact"/>
        <w:ind w:firstLine="634" w:firstLineChars="200"/>
        <w:outlineLvl w:val="2"/>
        <w:rPr>
          <w:rFonts w:ascii="仿宋" w:hAnsi="仿宋" w:eastAsia="仿宋"/>
          <w:b/>
          <w:color w:val="000000"/>
        </w:rPr>
      </w:pPr>
      <w:bookmarkStart w:id="34" w:name="_Toc15377210"/>
      <w:r>
        <w:rPr>
          <w:rFonts w:hint="eastAsia" w:ascii="仿宋" w:hAnsi="仿宋" w:eastAsia="仿宋"/>
          <w:b/>
          <w:color w:val="000000"/>
          <w:sz w:val="32"/>
          <w:szCs w:val="32"/>
        </w:rPr>
        <w:t>（一）一般公共预算财政拨款支出决算总体情况</w:t>
      </w:r>
      <w:bookmarkEnd w:id="34"/>
    </w:p>
    <w:p w14:paraId="6A490EFE">
      <w:pPr>
        <w:spacing w:line="600" w:lineRule="exact"/>
        <w:ind w:firstLine="634" w:firstLineChars="200"/>
        <w:rPr>
          <w:rFonts w:ascii="仿宋" w:hAnsi="仿宋" w:eastAsia="仿宋"/>
          <w:color w:val="000000"/>
          <w:sz w:val="32"/>
          <w:szCs w:val="32"/>
        </w:rPr>
      </w:pPr>
      <w:r>
        <w:rPr>
          <w:rFonts w:hint="eastAsia" w:ascii="仿宋" w:hAnsi="仿宋" w:eastAsia="仿宋"/>
          <w:color w:val="000000"/>
          <w:sz w:val="32"/>
          <w:szCs w:val="32"/>
        </w:rPr>
        <w:t>2020年一般公共预算财政拨款支出26.13元，占本年支出合计的100%。</w:t>
      </w:r>
    </w:p>
    <w:p w14:paraId="585CCEDA">
      <w:pPr>
        <w:spacing w:line="600" w:lineRule="exact"/>
        <w:ind w:firstLine="634"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076FEFB1">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2020年一般公共预算财政拨款支出26.13万元，主要用于以下方面:</w:t>
      </w:r>
      <w:r>
        <w:rPr>
          <w:rFonts w:hint="eastAsia" w:ascii="仿宋" w:hAnsi="仿宋" w:eastAsia="仿宋"/>
          <w:b/>
          <w:color w:val="000000"/>
          <w:sz w:val="32"/>
          <w:szCs w:val="32"/>
        </w:rPr>
        <w:t>一般公共服务（210）</w:t>
      </w:r>
      <w:r>
        <w:rPr>
          <w:rFonts w:hint="eastAsia" w:ascii="仿宋" w:hAnsi="仿宋" w:eastAsia="仿宋"/>
          <w:color w:val="000000"/>
          <w:sz w:val="32"/>
          <w:szCs w:val="32"/>
        </w:rPr>
        <w:t>支出18.73万元，占77%；</w:t>
      </w:r>
      <w:r>
        <w:rPr>
          <w:rFonts w:hint="eastAsia" w:ascii="仿宋" w:hAnsi="仿宋" w:eastAsia="仿宋"/>
          <w:b/>
          <w:color w:val="000000"/>
          <w:sz w:val="32"/>
          <w:szCs w:val="32"/>
        </w:rPr>
        <w:t>教社会保障和就业（208）</w:t>
      </w:r>
      <w:r>
        <w:rPr>
          <w:rFonts w:hint="eastAsia" w:ascii="仿宋" w:hAnsi="仿宋" w:eastAsia="仿宋"/>
          <w:color w:val="000000"/>
          <w:sz w:val="32"/>
          <w:szCs w:val="32"/>
        </w:rPr>
        <w:t>支出2.9万元，占9%；</w:t>
      </w:r>
      <w:r>
        <w:rPr>
          <w:rFonts w:hint="eastAsia" w:ascii="仿宋" w:hAnsi="仿宋" w:eastAsia="仿宋"/>
          <w:b/>
          <w:color w:val="000000"/>
          <w:sz w:val="32"/>
          <w:szCs w:val="32"/>
        </w:rPr>
        <w:t>医疗卫生</w:t>
      </w:r>
      <w:r>
        <w:rPr>
          <w:rFonts w:hint="eastAsia" w:ascii="仿宋" w:hAnsi="仿宋" w:eastAsia="仿宋"/>
          <w:color w:val="000000"/>
          <w:sz w:val="32"/>
          <w:szCs w:val="32"/>
        </w:rPr>
        <w:t>(</w:t>
      </w:r>
      <w:r>
        <w:rPr>
          <w:rFonts w:hint="eastAsia" w:ascii="仿宋" w:hAnsi="仿宋" w:eastAsia="仿宋"/>
          <w:b/>
          <w:color w:val="000000"/>
          <w:sz w:val="32"/>
          <w:szCs w:val="32"/>
        </w:rPr>
        <w:t>210)</w:t>
      </w:r>
      <w:r>
        <w:rPr>
          <w:rFonts w:hint="eastAsia" w:ascii="仿宋" w:hAnsi="仿宋" w:eastAsia="仿宋"/>
          <w:color w:val="000000"/>
          <w:sz w:val="32"/>
          <w:szCs w:val="32"/>
        </w:rPr>
        <w:t>支出1.9万元，占5%；住房保障支出2.6万元，占8%</w:t>
      </w:r>
    </w:p>
    <w:p w14:paraId="3D5A4B1C">
      <w:pPr>
        <w:spacing w:line="600" w:lineRule="exact"/>
        <w:ind w:firstLine="634"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1E4CDB74">
      <w:pPr>
        <w:spacing w:line="600" w:lineRule="exact"/>
        <w:ind w:firstLine="634" w:firstLineChars="200"/>
        <w:outlineLvl w:val="2"/>
        <w:rPr>
          <w:rFonts w:ascii="仿宋" w:hAnsi="仿宋" w:eastAsia="仿宋"/>
          <w:color w:val="FF0000"/>
          <w:sz w:val="32"/>
          <w:szCs w:val="32"/>
        </w:rPr>
      </w:pPr>
      <w:bookmarkStart w:id="37" w:name="_Toc15377213"/>
      <w:bookmarkStart w:id="38" w:name="_Toc15378460"/>
      <w:bookmarkStart w:id="39" w:name="_Toc15377444"/>
      <w:r>
        <w:rPr>
          <w:rFonts w:hint="eastAsia" w:ascii="仿宋" w:hAnsi="仿宋" w:eastAsia="仿宋"/>
          <w:b/>
          <w:color w:val="000000"/>
          <w:sz w:val="32"/>
          <w:szCs w:val="32"/>
        </w:rPr>
        <w:t>2020年般公共预算支出决算数为26.13万元</w:t>
      </w:r>
      <w:r>
        <w:rPr>
          <w:rFonts w:hint="eastAsia" w:ascii="仿宋" w:hAnsi="仿宋" w:eastAsia="仿宋"/>
          <w:color w:val="000000"/>
          <w:sz w:val="32"/>
          <w:szCs w:val="32"/>
        </w:rPr>
        <w:t>，</w:t>
      </w:r>
      <w:r>
        <w:rPr>
          <w:rStyle w:val="23"/>
          <w:rFonts w:hint="eastAsia" w:ascii="仿宋" w:hAnsi="仿宋" w:eastAsia="仿宋"/>
          <w:bCs/>
          <w:color w:val="000000"/>
          <w:sz w:val="32"/>
          <w:szCs w:val="32"/>
        </w:rPr>
        <w:t>完成预算100%。其中：</w:t>
      </w:r>
      <w:bookmarkEnd w:id="37"/>
      <w:bookmarkEnd w:id="38"/>
      <w:bookmarkEnd w:id="39"/>
    </w:p>
    <w:p w14:paraId="49664FC2">
      <w:pPr>
        <w:numPr>
          <w:ilvl w:val="0"/>
          <w:numId w:val="2"/>
        </w:numPr>
        <w:spacing w:line="600" w:lineRule="exact"/>
        <w:ind w:firstLine="634" w:firstLineChars="200"/>
        <w:rPr>
          <w:rStyle w:val="23"/>
          <w:b w:val="0"/>
          <w:bCs/>
          <w:color w:val="000000"/>
        </w:rPr>
      </w:pPr>
      <w:r>
        <w:rPr>
          <w:rStyle w:val="23"/>
          <w:rFonts w:hint="eastAsia" w:ascii="仿宋" w:hAnsi="仿宋" w:eastAsia="仿宋"/>
          <w:bCs/>
          <w:color w:val="000000"/>
          <w:sz w:val="32"/>
          <w:szCs w:val="32"/>
        </w:rPr>
        <w:t>一般公共服务（210）群众团体事务（29）事业运行（50）:支出决算为18.73万元，完成预算100%，</w:t>
      </w:r>
    </w:p>
    <w:p w14:paraId="7B92A749">
      <w:pPr>
        <w:numPr>
          <w:ilvl w:val="0"/>
          <w:numId w:val="2"/>
        </w:numPr>
        <w:spacing w:line="600" w:lineRule="exact"/>
        <w:ind w:firstLine="472"/>
      </w:pPr>
      <w:r>
        <w:rPr>
          <w:rFonts w:hint="eastAsia" w:ascii="仿宋" w:hAnsi="仿宋" w:eastAsia="仿宋"/>
          <w:b/>
          <w:bCs/>
          <w:color w:val="000000"/>
          <w:sz w:val="32"/>
          <w:szCs w:val="32"/>
        </w:rPr>
        <w:t>社会保障和就业（208）行政事业单位 离退休（05）机关事业单位基本养老保险缴费支出（05）:</w:t>
      </w:r>
      <w:r>
        <w:rPr>
          <w:rFonts w:hint="eastAsia" w:ascii="仿宋" w:hAnsi="仿宋" w:eastAsia="仿宋"/>
          <w:bCs/>
          <w:color w:val="000000"/>
          <w:sz w:val="32"/>
          <w:szCs w:val="32"/>
        </w:rPr>
        <w:t>支出决算为2.6万元，完成预算100%。</w:t>
      </w:r>
    </w:p>
    <w:p w14:paraId="083F7BB5">
      <w:pPr>
        <w:numPr>
          <w:ilvl w:val="0"/>
          <w:numId w:val="2"/>
        </w:numPr>
        <w:spacing w:line="600" w:lineRule="exact"/>
        <w:ind w:firstLine="472"/>
        <w:rPr>
          <w:rFonts w:ascii="仿宋" w:hAnsi="仿宋" w:eastAsia="仿宋"/>
          <w:bCs/>
          <w:color w:val="000000"/>
          <w:sz w:val="32"/>
          <w:szCs w:val="32"/>
        </w:rPr>
      </w:pPr>
      <w:r>
        <w:rPr>
          <w:rFonts w:hint="eastAsia" w:ascii="仿宋" w:hAnsi="仿宋" w:eastAsia="仿宋"/>
          <w:b/>
          <w:bCs/>
          <w:color w:val="000000"/>
          <w:sz w:val="32"/>
          <w:szCs w:val="32"/>
        </w:rPr>
        <w:t>社会保障和就业（208）行政事业单位 离退休（05）机关事业单位职业年金缴费支出（06）:</w:t>
      </w:r>
      <w:r>
        <w:rPr>
          <w:rFonts w:hint="eastAsia" w:ascii="仿宋" w:hAnsi="仿宋" w:eastAsia="仿宋"/>
          <w:bCs/>
          <w:color w:val="000000"/>
          <w:sz w:val="32"/>
          <w:szCs w:val="32"/>
        </w:rPr>
        <w:t xml:space="preserve"> 支出决算为0.3万元，完成预算100%。</w:t>
      </w:r>
    </w:p>
    <w:p w14:paraId="751E4BAE">
      <w:pPr>
        <w:tabs>
          <w:tab w:val="left" w:pos="312"/>
        </w:tabs>
        <w:spacing w:line="600" w:lineRule="exact"/>
        <w:ind w:firstLine="634" w:firstLineChars="200"/>
        <w:rPr>
          <w:rFonts w:ascii="仿宋" w:hAnsi="仿宋" w:eastAsia="仿宋"/>
          <w:bCs/>
          <w:color w:val="000000"/>
          <w:sz w:val="32"/>
          <w:szCs w:val="32"/>
        </w:rPr>
      </w:pPr>
      <w:r>
        <w:rPr>
          <w:rFonts w:hint="eastAsia" w:ascii="仿宋" w:hAnsi="仿宋" w:eastAsia="仿宋"/>
          <w:b/>
          <w:bCs/>
          <w:color w:val="000000"/>
          <w:sz w:val="32"/>
          <w:szCs w:val="32"/>
        </w:rPr>
        <w:t>4.医疗卫生与计划生育（210）事业单位医疗（11）事业单位医疗（02）：</w:t>
      </w:r>
      <w:r>
        <w:rPr>
          <w:rFonts w:hint="eastAsia" w:ascii="仿宋" w:hAnsi="仿宋" w:eastAsia="仿宋"/>
          <w:bCs/>
          <w:color w:val="000000"/>
          <w:sz w:val="32"/>
          <w:szCs w:val="32"/>
        </w:rPr>
        <w:t>支出决算为1.5万元，完成预算100%。</w:t>
      </w:r>
    </w:p>
    <w:p w14:paraId="47562814">
      <w:pPr>
        <w:tabs>
          <w:tab w:val="left" w:pos="312"/>
        </w:tabs>
        <w:spacing w:line="600" w:lineRule="exact"/>
        <w:ind w:firstLine="634" w:firstLineChars="200"/>
        <w:rPr>
          <w:rFonts w:ascii="仿宋" w:hAnsi="仿宋" w:eastAsia="仿宋"/>
          <w:bCs/>
          <w:color w:val="000000"/>
          <w:sz w:val="32"/>
          <w:szCs w:val="32"/>
        </w:rPr>
      </w:pPr>
      <w:r>
        <w:rPr>
          <w:rFonts w:hint="eastAsia" w:ascii="仿宋" w:hAnsi="仿宋" w:eastAsia="仿宋"/>
          <w:b/>
          <w:bCs/>
          <w:color w:val="000000"/>
          <w:sz w:val="32"/>
          <w:szCs w:val="32"/>
        </w:rPr>
        <w:t>5.医疗卫生与计划生育（210）事业单位医疗（11）其它行政事业单位医疗支出（99）：</w:t>
      </w:r>
      <w:r>
        <w:rPr>
          <w:rFonts w:hint="eastAsia" w:ascii="仿宋" w:hAnsi="仿宋" w:eastAsia="仿宋"/>
          <w:bCs/>
          <w:color w:val="000000"/>
          <w:sz w:val="32"/>
          <w:szCs w:val="32"/>
        </w:rPr>
        <w:t>支出决算为0.4万元，完成预算100%。</w:t>
      </w:r>
    </w:p>
    <w:p w14:paraId="353F60E4">
      <w:pPr>
        <w:spacing w:line="600" w:lineRule="exact"/>
        <w:ind w:firstLine="640"/>
        <w:rPr>
          <w:rFonts w:ascii="仿宋" w:hAnsi="仿宋" w:eastAsia="仿宋"/>
          <w:bCs/>
          <w:color w:val="000000"/>
          <w:sz w:val="32"/>
          <w:szCs w:val="32"/>
        </w:rPr>
      </w:pPr>
      <w:r>
        <w:rPr>
          <w:rFonts w:hint="eastAsia" w:ascii="仿宋" w:hAnsi="仿宋" w:eastAsia="仿宋"/>
          <w:b/>
          <w:color w:val="000000"/>
          <w:sz w:val="32"/>
          <w:szCs w:val="32"/>
        </w:rPr>
        <w:t>6、住房保障支出（</w:t>
      </w:r>
      <w:r>
        <w:rPr>
          <w:rFonts w:hint="eastAsia" w:ascii="仿宋" w:hAnsi="仿宋" w:eastAsia="仿宋"/>
          <w:b/>
          <w:bCs/>
          <w:color w:val="000000"/>
          <w:sz w:val="32"/>
          <w:szCs w:val="32"/>
        </w:rPr>
        <w:t>221）住房改革支出（02）住房公积金（01）:</w:t>
      </w:r>
      <w:r>
        <w:rPr>
          <w:rFonts w:hint="eastAsia" w:ascii="仿宋" w:hAnsi="仿宋" w:eastAsia="仿宋"/>
          <w:bCs/>
          <w:color w:val="000000"/>
          <w:sz w:val="32"/>
          <w:szCs w:val="32"/>
        </w:rPr>
        <w:t>支出决算为2.6完成预算100%</w:t>
      </w:r>
    </w:p>
    <w:p w14:paraId="3599CF84">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（数据来源财决08表，罗列全部功能分类科目至项级。上述“预算”口径为调整预算数。增减变动原因为决算数&lt;项级&gt;和调整预算数&lt;项级&gt;比较，与预算数持平可以不写原因。）</w:t>
      </w:r>
    </w:p>
    <w:p w14:paraId="4D9E4A32">
      <w:pPr>
        <w:tabs>
          <w:tab w:val="right" w:pos="8306"/>
        </w:tabs>
        <w:spacing w:line="600" w:lineRule="exact"/>
        <w:ind w:firstLine="640"/>
        <w:outlineLvl w:val="1"/>
        <w:rPr>
          <w:rStyle w:val="26"/>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rPr>
        <w:t>般公共预算财政拨款基本支出决算情况说明</w:t>
      </w:r>
      <w:bookmarkEnd w:id="40"/>
      <w:bookmarkEnd w:id="41"/>
      <w:r>
        <w:rPr>
          <w:rStyle w:val="26"/>
          <w:rFonts w:hint="eastAsia" w:ascii="黑体" w:hAnsi="黑体" w:eastAsia="黑体"/>
        </w:rPr>
        <w:tab/>
      </w:r>
    </w:p>
    <w:p w14:paraId="3D4230B8">
      <w:pPr>
        <w:spacing w:line="600" w:lineRule="exact"/>
        <w:ind w:firstLine="645"/>
        <w:rPr>
          <w:rFonts w:ascii="仿宋" w:hAnsi="仿宋" w:eastAsia="仿宋"/>
          <w:color w:val="000000"/>
        </w:rPr>
      </w:pPr>
      <w:r>
        <w:rPr>
          <w:rFonts w:hint="eastAsia" w:ascii="仿宋" w:hAnsi="仿宋" w:eastAsia="仿宋"/>
          <w:color w:val="000000"/>
          <w:sz w:val="32"/>
          <w:szCs w:val="32"/>
        </w:rPr>
        <w:t>2020般公共预算财政拨款基本支出26.13：</w:t>
      </w:r>
    </w:p>
    <w:p w14:paraId="7F4914A7">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26.13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仿宋" w:hAnsi="仿宋" w:eastAsia="仿宋"/>
          <w:color w:val="000000"/>
          <w:sz w:val="32"/>
          <w:szCs w:val="32"/>
        </w:rPr>
        <w:br w:type="textWrapping"/>
      </w:r>
      <w:r>
        <w:rPr>
          <w:rFonts w:hint="eastAsia" w:ascii="仿宋" w:hAnsi="仿宋" w:eastAsia="仿宋"/>
          <w:color w:val="000000"/>
          <w:sz w:val="32"/>
          <w:szCs w:val="32"/>
        </w:rPr>
        <w:t>　　公用经费3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59A2698">
      <w:pPr>
        <w:spacing w:line="600" w:lineRule="exact"/>
        <w:ind w:firstLine="640"/>
        <w:rPr>
          <w:rFonts w:ascii="仿宋" w:hAnsi="仿宋" w:eastAsia="仿宋"/>
          <w:b/>
          <w:color w:val="FF0000"/>
          <w:sz w:val="32"/>
          <w:szCs w:val="32"/>
        </w:rPr>
      </w:pPr>
      <w:r>
        <w:rPr>
          <w:rFonts w:hint="eastAsia" w:ascii="仿宋" w:hAnsi="仿宋" w:eastAsia="仿宋"/>
          <w:b/>
          <w:color w:val="000000"/>
          <w:sz w:val="32"/>
          <w:szCs w:val="32"/>
        </w:rPr>
        <w:t>（数据来源财决07表，根据本部门实际支出情况罗列全部经济分类科目。）</w:t>
      </w:r>
    </w:p>
    <w:p w14:paraId="65AE353A">
      <w:pPr>
        <w:spacing w:line="600" w:lineRule="exact"/>
        <w:ind w:firstLine="640"/>
        <w:outlineLvl w:val="1"/>
        <w:rPr>
          <w:rStyle w:val="26"/>
          <w:rFonts w:ascii="黑体" w:hAnsi="黑体" w:eastAsia="黑体"/>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“三公”经费财政拨款支出决算情况说明</w:t>
      </w:r>
      <w:bookmarkEnd w:id="42"/>
      <w:bookmarkEnd w:id="43"/>
    </w:p>
    <w:p w14:paraId="5EE60942">
      <w:pPr>
        <w:spacing w:line="600" w:lineRule="exact"/>
        <w:ind w:firstLine="640"/>
        <w:outlineLvl w:val="2"/>
        <w:rPr>
          <w:rFonts w:ascii="仿宋" w:hAnsi="仿宋" w:eastAsia="仿宋"/>
          <w:b/>
          <w:color w:val="000000"/>
        </w:rPr>
      </w:pPr>
      <w:bookmarkStart w:id="44" w:name="_Toc15377216"/>
      <w:r>
        <w:rPr>
          <w:rFonts w:hint="eastAsia" w:ascii="仿宋" w:hAnsi="仿宋" w:eastAsia="仿宋"/>
          <w:b/>
          <w:color w:val="000000"/>
          <w:sz w:val="32"/>
          <w:szCs w:val="32"/>
        </w:rPr>
        <w:t>（一）“三公”经费财政拨款支出决算总体情况说明</w:t>
      </w:r>
      <w:bookmarkEnd w:id="44"/>
    </w:p>
    <w:p w14:paraId="0B7937AD">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2019年“三公”经费财政拨款支出决算为0万元，完成预算0%。从2018年工会、团委、妇联三家合署办公。财务合并到县总工会，三公经费从工会账上收支。</w:t>
      </w:r>
    </w:p>
    <w:p w14:paraId="37032199">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（上述“预算”口径为调整预算数，包括政府性基金支出决算情况。）</w:t>
      </w:r>
    </w:p>
    <w:p w14:paraId="55A05DF6">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54839B95">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2020三公”经费财政拨款支出决算中，因公出国（境）费支出决算0万元，占0%；公务用车购置及运行维护费支出决算0万元，占0%；公务接待费支出决算0万元，占%。具体情况如下：</w:t>
      </w:r>
    </w:p>
    <w:p w14:paraId="5039065C">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1.因公出国（境）经费支出0</w:t>
      </w:r>
      <w:r>
        <w:rPr>
          <w:rFonts w:hint="eastAsia" w:ascii="仿宋_GB2312" w:eastAsia="仿宋_GB2312"/>
          <w:color w:val="000000"/>
          <w:sz w:val="32"/>
          <w:szCs w:val="32"/>
        </w:rPr>
        <w:t>万元，</w:t>
      </w:r>
      <w:r>
        <w:rPr>
          <w:rStyle w:val="23"/>
          <w:rFonts w:hint="eastAsia" w:ascii="仿宋" w:hAnsi="仿宋" w:eastAsia="仿宋"/>
          <w:bCs/>
          <w:color w:val="000000"/>
          <w:sz w:val="32"/>
          <w:szCs w:val="32"/>
        </w:rPr>
        <w:t>完成预算0%。</w:t>
      </w:r>
      <w:r>
        <w:rPr>
          <w:rFonts w:hint="eastAsia" w:ascii="仿宋_GB2312" w:eastAsia="仿宋_GB2312"/>
          <w:color w:val="000000"/>
          <w:sz w:val="32"/>
          <w:szCs w:val="32"/>
        </w:rPr>
        <w:t>全年安排因公出国（境）团组0次，出国（境）0人。因公出国（境）支出决算比2019增加/减少0万元，增长/下降0%。。</w:t>
      </w:r>
    </w:p>
    <w:p w14:paraId="4403EC2F">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2.公务用车购置及运行维护费支出0</w:t>
      </w:r>
      <w:r>
        <w:rPr>
          <w:rFonts w:hint="eastAsia" w:ascii="仿宋_GB2312" w:eastAsia="仿宋_GB2312"/>
          <w:color w:val="000000"/>
          <w:sz w:val="32"/>
          <w:szCs w:val="32"/>
        </w:rPr>
        <w:t>万元,</w:t>
      </w:r>
      <w:r>
        <w:rPr>
          <w:rStyle w:val="23"/>
          <w:rFonts w:hint="eastAsia" w:ascii="仿宋" w:hAnsi="仿宋" w:eastAsia="仿宋"/>
          <w:bCs/>
          <w:color w:val="000000"/>
          <w:sz w:val="32"/>
          <w:szCs w:val="32"/>
        </w:rPr>
        <w:t>完成预算0%。</w:t>
      </w:r>
      <w:r>
        <w:rPr>
          <w:rFonts w:hint="eastAsia" w:ascii="仿宋_GB2312" w:eastAsia="仿宋_GB2312"/>
          <w:color w:val="000000"/>
          <w:sz w:val="32"/>
          <w:szCs w:val="32"/>
        </w:rPr>
        <w:t>公务用车购置及运行维护费支出决算比2019增加/减少0万元，增长/下降%。</w:t>
      </w:r>
    </w:p>
    <w:p w14:paraId="70F48182">
      <w:pPr>
        <w:spacing w:line="600" w:lineRule="exact"/>
        <w:ind w:firstLine="634"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公务用车购置支出0</w:t>
      </w:r>
      <w:r>
        <w:rPr>
          <w:rFonts w:hint="eastAsia" w:ascii="仿宋_GB2312" w:eastAsia="仿宋_GB2312"/>
          <w:color w:val="000000"/>
          <w:sz w:val="32"/>
          <w:szCs w:val="32"/>
        </w:rPr>
        <w:t>万元。全年按规定更新购置公务用车0辆，其中：轿车0辆、金额0万元，越野车0辆、金额0万元，载客汽车0辆、金额0万元。截至2020年月底,位共有公务用车0辆，其中：轿车0辆、越野车0辆、载客汽车0辆。</w:t>
      </w:r>
    </w:p>
    <w:p w14:paraId="07206CC4">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公务用车运行维护费支出0</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（具体工作）等所需的公务用车燃料费、维修费、过路过桥费、保险费等支出。</w:t>
      </w:r>
    </w:p>
    <w:p w14:paraId="4F97B30F">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3.公务接待费支出0</w:t>
      </w:r>
      <w:r>
        <w:rPr>
          <w:rFonts w:hint="eastAsia" w:ascii="仿宋_GB2312" w:eastAsia="仿宋_GB2312"/>
          <w:color w:val="000000"/>
          <w:sz w:val="32"/>
          <w:szCs w:val="32"/>
        </w:rPr>
        <w:t>万元，</w:t>
      </w:r>
      <w:r>
        <w:rPr>
          <w:rStyle w:val="23"/>
          <w:rFonts w:hint="eastAsia" w:ascii="仿宋" w:hAnsi="仿宋" w:eastAsia="仿宋"/>
          <w:bCs/>
          <w:color w:val="000000"/>
          <w:sz w:val="32"/>
          <w:szCs w:val="32"/>
        </w:rPr>
        <w:t>完成预算0%。</w:t>
      </w:r>
      <w:r>
        <w:rPr>
          <w:rFonts w:hint="eastAsia" w:ascii="仿宋_GB2312" w:eastAsia="仿宋_GB2312"/>
          <w:color w:val="000000"/>
          <w:sz w:val="32"/>
          <w:szCs w:val="32"/>
        </w:rPr>
        <w:t>公务接待费支出决算比2019增加/减少0万元，增长/下降0%。</w:t>
      </w:r>
    </w:p>
    <w:p w14:paraId="13D9F94C">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主要用于执行公务、开展业务活动开支的交通费、住宿费、用餐费等。国内公务接待0批次，0人次（不包括陪同人员），共计支出0万元。</w:t>
      </w:r>
    </w:p>
    <w:p w14:paraId="2175D9F2">
      <w:pPr>
        <w:spacing w:line="600" w:lineRule="exact"/>
        <w:ind w:firstLine="634" w:firstLineChars="200"/>
        <w:rPr>
          <w:rFonts w:ascii="仿宋_GB2312" w:eastAsia="仿宋_GB2312"/>
          <w:color w:val="000000"/>
          <w:sz w:val="32"/>
          <w:szCs w:val="32"/>
        </w:rPr>
      </w:pPr>
      <w:r>
        <w:rPr>
          <w:rFonts w:hint="eastAsia" w:ascii="仿宋" w:hAnsi="仿宋" w:eastAsia="仿宋"/>
          <w:b/>
          <w:color w:val="000000"/>
          <w:sz w:val="32"/>
          <w:szCs w:val="32"/>
        </w:rPr>
        <w:t>外事接待支出0</w:t>
      </w:r>
      <w:r>
        <w:rPr>
          <w:rFonts w:hint="eastAsia" w:ascii="仿宋_GB2312" w:eastAsia="仿宋_GB2312"/>
          <w:color w:val="000000"/>
          <w:sz w:val="32"/>
          <w:szCs w:val="32"/>
        </w:rPr>
        <w:t>万元，外事接待0批次，0人，共计支出0万元。</w:t>
      </w:r>
    </w:p>
    <w:p w14:paraId="1C6EECFE">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其他国内公务接待支出0</w:t>
      </w:r>
      <w:r>
        <w:rPr>
          <w:rFonts w:hint="eastAsia" w:ascii="仿宋_GB2312" w:eastAsia="仿宋_GB2312"/>
          <w:color w:val="000000"/>
          <w:sz w:val="32"/>
          <w:szCs w:val="32"/>
        </w:rPr>
        <w:t>万元。</w:t>
      </w:r>
    </w:p>
    <w:p w14:paraId="5ECF6BA3">
      <w:pPr>
        <w:spacing w:line="600" w:lineRule="exact"/>
        <w:ind w:firstLine="640"/>
        <w:outlineLvl w:val="1"/>
        <w:rPr>
          <w:rFonts w:ascii="黑体" w:eastAsia="黑体"/>
          <w:color w:val="000000"/>
          <w:sz w:val="32"/>
          <w:szCs w:val="32"/>
        </w:rPr>
      </w:pPr>
      <w:bookmarkStart w:id="46" w:name="_Toc15396610"/>
      <w:bookmarkStart w:id="47" w:name="_Toc15377218"/>
    </w:p>
    <w:p w14:paraId="292BE8E4">
      <w:pPr>
        <w:spacing w:line="600" w:lineRule="exact"/>
        <w:ind w:firstLine="640"/>
        <w:outlineLvl w:val="1"/>
        <w:rPr>
          <w:rStyle w:val="26"/>
          <w:rFonts w:ascii="黑体" w:hAnsi="黑体"/>
        </w:rPr>
      </w:pPr>
      <w:r>
        <w:rPr>
          <w:rFonts w:hint="eastAsia" w:ascii="黑体" w:eastAsia="黑体"/>
          <w:color w:val="000000"/>
          <w:sz w:val="32"/>
          <w:szCs w:val="32"/>
        </w:rPr>
        <w:t>八、</w:t>
      </w:r>
      <w:r>
        <w:rPr>
          <w:rStyle w:val="26"/>
          <w:rFonts w:hint="eastAsia" w:ascii="黑体" w:hAnsi="黑体" w:eastAsia="黑体"/>
        </w:rPr>
        <w:t>政府性基金预算支出决算情况说明</w:t>
      </w:r>
      <w:bookmarkEnd w:id="46"/>
      <w:bookmarkEnd w:id="47"/>
    </w:p>
    <w:p w14:paraId="0919BBC9">
      <w:pPr>
        <w:spacing w:line="600" w:lineRule="exact"/>
        <w:ind w:firstLine="640"/>
        <w:rPr>
          <w:rFonts w:ascii="仿宋_GB2312" w:eastAsia="仿宋_GB2312"/>
          <w:color w:val="000000"/>
        </w:rPr>
      </w:pPr>
      <w:r>
        <w:rPr>
          <w:rFonts w:hint="eastAsia" w:ascii="仿宋_GB2312" w:eastAsia="仿宋_GB2312"/>
          <w:color w:val="000000"/>
          <w:sz w:val="32"/>
          <w:szCs w:val="32"/>
        </w:rPr>
        <w:t>2020府性基金预算拨款支出0万元。</w:t>
      </w:r>
    </w:p>
    <w:p w14:paraId="05137BEF">
      <w:pPr>
        <w:spacing w:line="600" w:lineRule="exact"/>
        <w:ind w:firstLine="640"/>
        <w:rPr>
          <w:rFonts w:ascii="仿宋_GB2312" w:eastAsia="仿宋_GB2312"/>
          <w:color w:val="000000"/>
          <w:sz w:val="32"/>
          <w:szCs w:val="32"/>
        </w:rPr>
      </w:pPr>
    </w:p>
    <w:p w14:paraId="71086A5E">
      <w:pPr>
        <w:numPr>
          <w:ilvl w:val="0"/>
          <w:numId w:val="3"/>
        </w:numPr>
        <w:spacing w:line="600" w:lineRule="exact"/>
        <w:outlineLvl w:val="1"/>
        <w:rPr>
          <w:rStyle w:val="26"/>
          <w:rFonts w:ascii="黑体" w:hAnsi="黑体" w:eastAsia="黑体"/>
          <w:b w:val="0"/>
        </w:rPr>
      </w:pPr>
      <w:bookmarkStart w:id="48" w:name="_Toc15377219"/>
      <w:bookmarkStart w:id="49" w:name="_Toc15396611"/>
      <w:r>
        <w:rPr>
          <w:rStyle w:val="26"/>
          <w:rFonts w:hint="eastAsia" w:ascii="黑体" w:hAnsi="黑体" w:eastAsia="黑体"/>
        </w:rPr>
        <w:t>国有资本经营预算支出决算情况说明</w:t>
      </w:r>
      <w:bookmarkEnd w:id="48"/>
      <w:bookmarkEnd w:id="49"/>
    </w:p>
    <w:p w14:paraId="1DA6511A">
      <w:pPr>
        <w:spacing w:line="600" w:lineRule="exact"/>
        <w:ind w:firstLine="640"/>
        <w:rPr>
          <w:rFonts w:ascii="仿宋_GB2312" w:eastAsia="仿宋_GB2312"/>
          <w:color w:val="000000"/>
        </w:rPr>
      </w:pPr>
      <w:r>
        <w:rPr>
          <w:rFonts w:hint="eastAsia" w:ascii="仿宋_GB2312" w:eastAsia="仿宋_GB2312"/>
          <w:color w:val="000000"/>
          <w:sz w:val="32"/>
          <w:szCs w:val="32"/>
        </w:rPr>
        <w:t>2020有资本经营预算拨款支出0万元。</w:t>
      </w:r>
    </w:p>
    <w:p w14:paraId="74219489">
      <w:pPr>
        <w:pStyle w:val="43"/>
        <w:numPr>
          <w:ilvl w:val="0"/>
          <w:numId w:val="4"/>
        </w:numPr>
        <w:spacing w:line="580" w:lineRule="exact"/>
        <w:ind w:firstLineChars="0"/>
        <w:rPr>
          <w:rStyle w:val="26"/>
          <w:rFonts w:ascii="黑体" w:hAnsi="黑体" w:eastAsia="黑体"/>
          <w:b w:val="0"/>
        </w:rPr>
      </w:pPr>
      <w:r>
        <w:rPr>
          <w:rStyle w:val="26"/>
          <w:rFonts w:hint="eastAsia" w:ascii="黑体" w:hAnsi="黑体" w:eastAsia="黑体"/>
        </w:rPr>
        <w:t>预算绩效情况说明</w:t>
      </w:r>
    </w:p>
    <w:p w14:paraId="6BBAEF00">
      <w:pPr>
        <w:numPr>
          <w:ilvl w:val="0"/>
          <w:numId w:val="5"/>
        </w:numPr>
        <w:spacing w:line="580" w:lineRule="exact"/>
        <w:ind w:firstLine="634" w:firstLineChars="200"/>
        <w:rPr>
          <w:rFonts w:ascii="仿宋" w:hAnsi="仿宋" w:eastAsia="仿宋" w:cs="楷体_GB2312"/>
          <w:b/>
        </w:rPr>
      </w:pPr>
      <w:r>
        <w:rPr>
          <w:rFonts w:hint="eastAsia" w:ascii="仿宋" w:hAnsi="仿宋" w:eastAsia="仿宋" w:cs="楷体_GB2312"/>
          <w:b/>
          <w:bCs/>
          <w:sz w:val="32"/>
          <w:szCs w:val="32"/>
        </w:rPr>
        <w:t>预算绩效管理工作开展情况。</w:t>
      </w:r>
    </w:p>
    <w:p w14:paraId="3BF13934">
      <w:pPr>
        <w:spacing w:line="580" w:lineRule="exact"/>
        <w:ind w:firstLine="63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0项目开展了预算事前绩效评估，对0个项目编制了绩效目标，预算执行过程中，选取0个项目开展绩效监控，年终执行完毕后，对0个项目开展了绩效目标完成情况梳理填报。</w:t>
      </w:r>
    </w:p>
    <w:p w14:paraId="60100D33">
      <w:pPr>
        <w:spacing w:line="580" w:lineRule="exact"/>
        <w:ind w:firstLine="63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本部门按要求对2020门整体支出开展绩效自评。本部门还自行组织了0个项目绩效评价，</w:t>
      </w:r>
    </w:p>
    <w:p w14:paraId="01094F9C">
      <w:pPr>
        <w:numPr>
          <w:ilvl w:val="0"/>
          <w:numId w:val="5"/>
        </w:numPr>
        <w:spacing w:line="580" w:lineRule="exact"/>
        <w:ind w:firstLine="634"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202度部门决算中反映“项目绩效目标实际完成情况。（本单位部门项目绩效目标个数在0个以上的，选取0个项目进行公开，目标个数在0个以下的，全部进行公开，公开内容包括完成情况综述和完成情况表）。</w:t>
      </w:r>
    </w:p>
    <w:p w14:paraId="228E5978">
      <w:pPr>
        <w:numPr>
          <w:ilvl w:val="0"/>
          <w:numId w:val="5"/>
        </w:numPr>
        <w:spacing w:line="580" w:lineRule="exact"/>
        <w:ind w:firstLine="634"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14:paraId="09780226">
      <w:pPr>
        <w:spacing w:line="580" w:lineRule="exact"/>
        <w:ind w:firstLine="63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本部门按要求对2020门整体支出绩效评价情况开展自评，《部门2020门整体支出绩效评价报告》见附件。</w:t>
      </w:r>
    </w:p>
    <w:p w14:paraId="23D67398">
      <w:pPr>
        <w:spacing w:line="580" w:lineRule="exact"/>
        <w:ind w:firstLine="63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本部门自行组织对0项目、0项目开展了绩效评价，《项目2019年绩效评价报告》见附件。（非涉密部门均需公开部门整体支出评价报告，部门自行组织的绩效评价情况根据部门实际公开）</w:t>
      </w:r>
    </w:p>
    <w:p w14:paraId="12A08F99">
      <w:pPr>
        <w:spacing w:line="580" w:lineRule="exact"/>
        <w:jc w:val="center"/>
        <w:rPr>
          <w:rFonts w:ascii="方正小标宋简体" w:hAnsi="方正小标宋简体" w:eastAsia="方正小标宋简体" w:cs="方正小标宋简体"/>
          <w:sz w:val="44"/>
          <w:szCs w:val="44"/>
        </w:rPr>
      </w:pPr>
    </w:p>
    <w:p w14:paraId="2EE5C5E0">
      <w:pPr>
        <w:spacing w:line="600" w:lineRule="exact"/>
        <w:ind w:firstLine="793" w:firstLineChars="25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一、其他重要事项的情况说明</w:t>
      </w:r>
      <w:bookmarkEnd w:id="50"/>
      <w:bookmarkEnd w:id="51"/>
    </w:p>
    <w:p w14:paraId="083EF0B2">
      <w:pPr>
        <w:spacing w:line="600" w:lineRule="exact"/>
        <w:ind w:firstLine="634" w:firstLineChars="200"/>
        <w:outlineLvl w:val="2"/>
        <w:rPr>
          <w:rFonts w:ascii="仿宋" w:hAnsi="仿宋" w:eastAsia="仿宋"/>
          <w:color w:val="000000"/>
        </w:rPr>
      </w:pPr>
      <w:bookmarkStart w:id="52" w:name="_Toc15377222"/>
      <w:r>
        <w:rPr>
          <w:rFonts w:hint="eastAsia" w:ascii="仿宋" w:hAnsi="仿宋" w:eastAsia="仿宋"/>
          <w:b/>
          <w:color w:val="000000"/>
          <w:sz w:val="32"/>
          <w:szCs w:val="32"/>
        </w:rPr>
        <w:t>（一）机关运行经费支出情况</w:t>
      </w:r>
      <w:bookmarkEnd w:id="52"/>
    </w:p>
    <w:p w14:paraId="4FBE919D">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2020青少年宫机关运行经费支出26.13万元,比增加/减少0万元，增长/下降0%。</w:t>
      </w:r>
    </w:p>
    <w:p w14:paraId="2F25964A">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（数据来源财决CS05表）</w:t>
      </w:r>
    </w:p>
    <w:p w14:paraId="28E92863">
      <w:pPr>
        <w:autoSpaceDE w:val="0"/>
        <w:autoSpaceDN w:val="0"/>
        <w:adjustRightInd w:val="0"/>
        <w:spacing w:line="600" w:lineRule="exact"/>
        <w:ind w:firstLine="634"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3BC77AB5">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2020政府采购支出总额0万元，其中：政府采购货物支出0万元、政府采购工程支出0万元、政府采购服务支出0万元。</w:t>
      </w:r>
    </w:p>
    <w:p w14:paraId="349E259D">
      <w:pPr>
        <w:autoSpaceDE w:val="0"/>
        <w:autoSpaceDN w:val="0"/>
        <w:adjustRightInd w:val="0"/>
        <w:spacing w:line="600" w:lineRule="exact"/>
        <w:ind w:firstLine="634"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（数据来源财决CS06表）</w:t>
      </w:r>
    </w:p>
    <w:p w14:paraId="44B10237">
      <w:pPr>
        <w:autoSpaceDE w:val="0"/>
        <w:autoSpaceDN w:val="0"/>
        <w:adjustRightInd w:val="0"/>
        <w:spacing w:line="600" w:lineRule="exact"/>
        <w:ind w:firstLine="634"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174E26F3">
      <w:pPr>
        <w:autoSpaceDE w:val="0"/>
        <w:autoSpaceDN w:val="0"/>
        <w:adjustRightInd w:val="0"/>
        <w:spacing w:line="600" w:lineRule="exact"/>
        <w:ind w:firstLine="634" w:firstLineChars="200"/>
        <w:jc w:val="left"/>
        <w:rPr>
          <w:rFonts w:ascii="仿宋_GB2312" w:eastAsia="仿宋_GB2312"/>
          <w:color w:val="000000"/>
          <w:sz w:val="32"/>
          <w:szCs w:val="32"/>
        </w:rPr>
      </w:pPr>
      <w:r>
        <w:rPr>
          <w:rFonts w:hint="eastAsia" w:ascii="仿宋_GB2312" w:eastAsia="仿宋_GB2312"/>
          <w:color w:val="000000"/>
          <w:sz w:val="32"/>
          <w:szCs w:val="32"/>
        </w:rPr>
        <w:t>截至2020</w:t>
      </w:r>
      <w:r>
        <w:rPr>
          <w:rFonts w:hint="eastAsia" w:ascii="仿宋_GB2312" w:eastAsia="仿宋_GB2312"/>
          <w:color w:val="000000"/>
          <w:sz w:val="32"/>
          <w:szCs w:val="32"/>
          <w:lang w:eastAsia="zh-CN"/>
        </w:rPr>
        <w:t>年</w:t>
      </w:r>
      <w:r>
        <w:rPr>
          <w:rFonts w:hint="eastAsia" w:ascii="仿宋_GB2312" w:eastAsia="仿宋_GB2312"/>
          <w:color w:val="000000"/>
          <w:sz w:val="32"/>
          <w:szCs w:val="32"/>
        </w:rPr>
        <w:t>31日，青少年宫共有车辆0辆，其中：部级领导干部用车0辆、一般公务用车0辆、一般执法执勤用车0辆、特种专业技术用车0辆、其他用车0辆，其他用车主要是单价50万元以上通用设备0台（套），单价100万元以上专用设备0台（套）。</w:t>
      </w:r>
    </w:p>
    <w:p w14:paraId="48B8EE9A">
      <w:pPr>
        <w:autoSpaceDE w:val="0"/>
        <w:autoSpaceDN w:val="0"/>
        <w:adjustRightInd w:val="0"/>
        <w:spacing w:line="600" w:lineRule="exact"/>
        <w:ind w:firstLine="634"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（数据来源财决CS05表，按部门决算报表填报数据罗列车辆情况。）</w:t>
      </w:r>
    </w:p>
    <w:p w14:paraId="34D2237C">
      <w:pPr>
        <w:spacing w:line="600" w:lineRule="atLeast"/>
        <w:ind w:firstLine="634" w:firstLineChars="200"/>
        <w:rPr>
          <w:rFonts w:ascii="仿宋_GB2312" w:eastAsia="仿宋_GB2312"/>
          <w:b/>
          <w:color w:val="000000"/>
          <w:sz w:val="32"/>
          <w:szCs w:val="32"/>
        </w:rPr>
      </w:pPr>
    </w:p>
    <w:p w14:paraId="531482CE">
      <w:pPr>
        <w:widowControl/>
        <w:jc w:val="left"/>
        <w:rPr>
          <w:rFonts w:ascii="仿宋_GB2312" w:eastAsia="仿宋_GB2312"/>
          <w:b/>
          <w:color w:val="000000"/>
          <w:sz w:val="32"/>
          <w:szCs w:val="32"/>
        </w:rPr>
      </w:pPr>
      <w:r>
        <w:rPr>
          <w:rFonts w:hint="eastAsia" w:ascii="仿宋_GB2312" w:eastAsia="仿宋_GB2312"/>
          <w:b/>
          <w:color w:val="000000"/>
          <w:sz w:val="32"/>
          <w:szCs w:val="32"/>
        </w:rPr>
        <w:br w:type="page"/>
      </w:r>
    </w:p>
    <w:p w14:paraId="03C27DF0">
      <w:pPr>
        <w:numPr>
          <w:ilvl w:val="0"/>
          <w:numId w:val="6"/>
        </w:numPr>
        <w:spacing w:line="600" w:lineRule="exact"/>
        <w:ind w:firstLine="656" w:firstLineChars="150"/>
        <w:jc w:val="center"/>
        <w:outlineLvl w:val="0"/>
        <w:rPr>
          <w:rStyle w:val="25"/>
          <w:rFonts w:ascii="黑体" w:hAnsi="黑体" w:eastAsia="黑体"/>
        </w:rPr>
      </w:pPr>
      <w:bookmarkStart w:id="55" w:name="_Toc15396613"/>
      <w:bookmarkStart w:id="56" w:name="_Toc15377225"/>
      <w:r>
        <w:rPr>
          <w:rFonts w:hint="eastAsia" w:ascii="黑体" w:hAnsi="黑体" w:eastAsia="黑体"/>
          <w:b/>
          <w:color w:val="000000"/>
          <w:sz w:val="44"/>
          <w:szCs w:val="44"/>
        </w:rPr>
        <w:t>名</w:t>
      </w:r>
      <w:r>
        <w:rPr>
          <w:rStyle w:val="25"/>
          <w:rFonts w:hint="eastAsia" w:ascii="黑体" w:hAnsi="黑体" w:eastAsia="黑体"/>
        </w:rPr>
        <w:t>词解释</w:t>
      </w:r>
      <w:bookmarkEnd w:id="55"/>
      <w:bookmarkEnd w:id="56"/>
    </w:p>
    <w:p w14:paraId="721F72B7">
      <w:pPr>
        <w:spacing w:line="600" w:lineRule="exact"/>
        <w:jc w:val="left"/>
        <w:rPr>
          <w:rFonts w:ascii="宋体"/>
          <w:b/>
          <w:color w:val="000000"/>
        </w:rPr>
      </w:pPr>
    </w:p>
    <w:p w14:paraId="6162249B">
      <w:pPr>
        <w:pStyle w:val="35"/>
        <w:spacing w:line="560" w:lineRule="exact"/>
        <w:ind w:firstLine="634"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14:paraId="11A4C113">
      <w:pPr>
        <w:pStyle w:val="35"/>
        <w:spacing w:line="560" w:lineRule="exact"/>
        <w:ind w:firstLine="634"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14:paraId="00FCE9C1">
      <w:pPr>
        <w:pStyle w:val="35"/>
        <w:spacing w:line="560" w:lineRule="exact"/>
        <w:ind w:firstLine="634"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0135ED1B">
      <w:pPr>
        <w:pStyle w:val="35"/>
        <w:spacing w:line="560" w:lineRule="exact"/>
        <w:ind w:firstLine="634" w:firstLineChars="200"/>
        <w:rPr>
          <w:rFonts w:ascii="仿宋_GB2312" w:eastAsia="仿宋_GB2312"/>
          <w:sz w:val="32"/>
          <w:szCs w:val="32"/>
        </w:rPr>
      </w:pPr>
      <w:r>
        <w:rPr>
          <w:rFonts w:hint="eastAsia" w:ascii="仿宋_GB2312" w:eastAsia="仿宋_GB2312"/>
          <w:sz w:val="32"/>
          <w:szCs w:val="32"/>
        </w:rPr>
        <w:t>4.其他收入：指单位取得的除上述收入以外的各项收入。</w:t>
      </w:r>
    </w:p>
    <w:p w14:paraId="63C8BA3B">
      <w:pPr>
        <w:pStyle w:val="35"/>
        <w:spacing w:line="560" w:lineRule="exact"/>
        <w:ind w:firstLine="634" w:firstLineChars="200"/>
        <w:rPr>
          <w:rFonts w:ascii="仿宋_GB2312" w:eastAsia="仿宋_GB2312"/>
          <w:sz w:val="32"/>
          <w:szCs w:val="32"/>
        </w:rPr>
      </w:pPr>
      <w:r>
        <w:rPr>
          <w:rFonts w:hint="eastAsia" w:ascii="仿宋_GB2312" w:eastAsia="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2F429DF7">
      <w:pPr>
        <w:pStyle w:val="35"/>
        <w:spacing w:line="560" w:lineRule="exact"/>
        <w:ind w:firstLine="634" w:firstLineChars="200"/>
        <w:rPr>
          <w:rFonts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14:paraId="35A4E466">
      <w:pPr>
        <w:pStyle w:val="35"/>
        <w:spacing w:line="560" w:lineRule="exact"/>
        <w:ind w:firstLine="634"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14:paraId="10995AC6">
      <w:pPr>
        <w:pStyle w:val="35"/>
        <w:spacing w:line="560" w:lineRule="exact"/>
        <w:ind w:firstLine="634"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557D7445">
      <w:pPr>
        <w:ind w:firstLine="634" w:firstLineChars="200"/>
        <w:rPr>
          <w:rFonts w:ascii="仿宋_GB2312" w:eastAsia="仿宋_GB2312"/>
          <w:color w:val="000000"/>
          <w:sz w:val="32"/>
          <w:szCs w:val="32"/>
        </w:rPr>
      </w:pPr>
      <w:r>
        <w:rPr>
          <w:rFonts w:hint="eastAsia" w:ascii="仿宋_GB2312" w:eastAsia="仿宋_GB2312"/>
          <w:color w:val="000000"/>
          <w:sz w:val="32"/>
          <w:szCs w:val="32"/>
        </w:rPr>
        <w:t>9.社会保障和就业（208）行政事业单位离退休（05）机关事业单位基本养老保险缴费支出（05）：指部门实施养老保险制度由单位缴纳的养老保险支出。</w:t>
      </w:r>
    </w:p>
    <w:p w14:paraId="414376ED">
      <w:pPr>
        <w:spacing w:line="560" w:lineRule="exact"/>
        <w:ind w:firstLine="634" w:firstLineChars="200"/>
      </w:pPr>
      <w:r>
        <w:rPr>
          <w:rFonts w:hint="eastAsia" w:ascii="仿宋_GB2312" w:eastAsia="仿宋_GB2312"/>
          <w:color w:val="000000"/>
          <w:sz w:val="32"/>
          <w:szCs w:val="32"/>
        </w:rPr>
        <w:t xml:space="preserve">10.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03）公务员医疗补助：指国家公务员在参加城镇职工基本医疗保险制度的基础上国家对公务员实行的医疗补助。 </w:t>
      </w:r>
    </w:p>
    <w:p w14:paraId="7A6BC2BF">
      <w:pPr>
        <w:ind w:firstLine="634" w:firstLineChars="200"/>
        <w:rPr>
          <w:rFonts w:ascii="仿宋_GB2312" w:eastAsia="仿宋_GB2312"/>
          <w:color w:val="000000"/>
          <w:sz w:val="32"/>
          <w:szCs w:val="32"/>
        </w:rPr>
      </w:pPr>
      <w:r>
        <w:rPr>
          <w:rFonts w:hint="eastAsia" w:ascii="仿宋_GB2312" w:eastAsia="仿宋_GB2312"/>
          <w:color w:val="000000"/>
          <w:sz w:val="32"/>
          <w:szCs w:val="32"/>
        </w:rPr>
        <w:t xml:space="preserve">11.住房保障支出（221）住房改革支出（02）住房公积金（01）：指按照《住房公积金管理条例》的规定，由单位及其在职职工缴存的长期住房储金。 </w:t>
      </w:r>
    </w:p>
    <w:p w14:paraId="709B938E">
      <w:pPr>
        <w:ind w:firstLine="634" w:firstLineChars="200"/>
        <w:rPr>
          <w:rFonts w:ascii="仿宋_GB2312" w:eastAsia="仿宋_GB2312"/>
          <w:color w:val="000000"/>
          <w:sz w:val="32"/>
          <w:szCs w:val="32"/>
        </w:rPr>
      </w:pPr>
      <w:r>
        <w:rPr>
          <w:rFonts w:hint="eastAsia" w:ascii="仿宋_GB2312" w:eastAsia="仿宋_GB2312"/>
          <w:color w:val="000000"/>
          <w:sz w:val="32"/>
          <w:szCs w:val="32"/>
        </w:rPr>
        <w:t>12.基本支出：指为保障机构正常运转、完成日常工作任务而发生的人员支出和公用支出。</w:t>
      </w:r>
    </w:p>
    <w:p w14:paraId="2F5845B5">
      <w:pPr>
        <w:ind w:firstLine="634" w:firstLineChars="200"/>
        <w:rPr>
          <w:rFonts w:ascii="仿宋_GB2312" w:eastAsia="仿宋_GB2312"/>
          <w:color w:val="000000"/>
          <w:sz w:val="32"/>
          <w:szCs w:val="32"/>
        </w:rPr>
      </w:pPr>
      <w:r>
        <w:rPr>
          <w:rFonts w:hint="eastAsia" w:ascii="仿宋_GB2312" w:eastAsia="仿宋_GB2312"/>
          <w:color w:val="000000"/>
          <w:sz w:val="32"/>
          <w:szCs w:val="32"/>
        </w:rPr>
        <w:t>13.项目支出：指在基本支出之外为完成特定行政任务和事业发展目标所发生的支出。</w:t>
      </w:r>
    </w:p>
    <w:p w14:paraId="4D421993">
      <w:pPr>
        <w:ind w:firstLine="634" w:firstLineChars="200"/>
        <w:rPr>
          <w:rFonts w:ascii="仿宋_GB2312" w:eastAsia="仿宋_GB2312"/>
          <w:color w:val="000000"/>
          <w:sz w:val="32"/>
          <w:szCs w:val="32"/>
        </w:rPr>
      </w:pPr>
      <w:r>
        <w:rPr>
          <w:rFonts w:hint="eastAsia" w:ascii="仿宋_GB2312" w:eastAsia="仿宋_GB2312"/>
          <w:color w:val="000000"/>
          <w:sz w:val="32"/>
          <w:szCs w:val="32"/>
        </w:rPr>
        <w:t>14.经营支出：指事业单位在专业业务活动及其辅助活动之外开展非独立核算经营活动发生的支出。</w:t>
      </w:r>
    </w:p>
    <w:p w14:paraId="079A2590">
      <w:pPr>
        <w:pStyle w:val="35"/>
        <w:spacing w:line="560" w:lineRule="exact"/>
        <w:ind w:firstLine="634" w:firstLineChars="200"/>
        <w:rPr>
          <w:rFonts w:ascii="仿宋_GB2312" w:eastAsia="仿宋_GB2312"/>
          <w:sz w:val="32"/>
          <w:szCs w:val="32"/>
        </w:rPr>
      </w:pPr>
      <w:r>
        <w:rPr>
          <w:rFonts w:hint="eastAsia" w:ascii="仿宋_GB2312" w:eastAsia="仿宋_GB2312"/>
          <w:sz w:val="32"/>
          <w:szCs w:val="32"/>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EF86566">
      <w:pPr>
        <w:pStyle w:val="35"/>
        <w:spacing w:line="560" w:lineRule="exact"/>
        <w:ind w:firstLine="634" w:firstLineChars="200"/>
        <w:rPr>
          <w:rFonts w:ascii="仿宋_GB2312" w:eastAsia="仿宋_GB2312"/>
          <w:sz w:val="32"/>
          <w:szCs w:val="32"/>
        </w:rPr>
      </w:pPr>
      <w:r>
        <w:rPr>
          <w:rFonts w:hint="eastAsia" w:ascii="仿宋_GB2312" w:eastAsia="仿宋_GB2312"/>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288BA54">
      <w:pPr>
        <w:widowControl/>
        <w:jc w:val="left"/>
        <w:rPr>
          <w:rStyle w:val="25"/>
          <w:rFonts w:ascii="黑体" w:hAnsi="黑体" w:eastAsia="黑体"/>
        </w:rPr>
      </w:pPr>
      <w:r>
        <w:rPr>
          <w:rFonts w:hint="eastAsia" w:ascii="宋体"/>
          <w:b/>
          <w:color w:val="000000"/>
          <w:sz w:val="44"/>
          <w:szCs w:val="44"/>
        </w:rPr>
        <w:br w:type="page"/>
      </w:r>
    </w:p>
    <w:p w14:paraId="1A2B860D">
      <w:pPr>
        <w:spacing w:line="348" w:lineRule="auto"/>
        <w:ind w:firstLine="437" w:firstLineChars="100"/>
        <w:jc w:val="center"/>
        <w:rPr>
          <w:rFonts w:hint="default" w:ascii="黑体" w:hAnsi="黑体" w:eastAsia="黑体" w:cs="黑体"/>
          <w:b/>
          <w:bCs w:val="0"/>
          <w:sz w:val="44"/>
          <w:szCs w:val="44"/>
          <w:lang w:val="en-US" w:eastAsia="zh-CN"/>
        </w:rPr>
      </w:pPr>
      <w:r>
        <w:rPr>
          <w:rFonts w:hint="eastAsia" w:ascii="黑体" w:hAnsi="黑体" w:eastAsia="黑体" w:cs="黑体"/>
          <w:b/>
          <w:bCs w:val="0"/>
          <w:sz w:val="44"/>
          <w:szCs w:val="44"/>
          <w:lang w:val="en-US" w:eastAsia="zh-CN"/>
        </w:rPr>
        <w:t>第四部分 附件</w:t>
      </w:r>
    </w:p>
    <w:p w14:paraId="12E5A8DF">
      <w:pPr>
        <w:spacing w:line="348" w:lineRule="auto"/>
        <w:ind w:firstLine="317" w:firstLineChars="100"/>
        <w:rPr>
          <w:rFonts w:hint="eastAsia" w:eastAsia="黑体"/>
          <w:bCs/>
          <w:sz w:val="46"/>
          <w:szCs w:val="46"/>
          <w:lang w:val="en-US"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1</w:t>
      </w:r>
    </w:p>
    <w:p w14:paraId="645CF8D6">
      <w:pPr>
        <w:spacing w:line="800" w:lineRule="exact"/>
        <w:jc w:val="center"/>
        <w:rPr>
          <w:rFonts w:eastAsia="方正小标宋简体"/>
          <w:bCs/>
          <w:sz w:val="46"/>
          <w:szCs w:val="46"/>
        </w:rPr>
      </w:pPr>
      <w:r>
        <w:rPr>
          <w:rFonts w:hint="eastAsia" w:eastAsia="方正小标宋简体"/>
          <w:bCs/>
          <w:sz w:val="46"/>
          <w:szCs w:val="46"/>
        </w:rPr>
        <w:t>九寨沟县</w:t>
      </w:r>
      <w:r>
        <w:rPr>
          <w:rFonts w:eastAsia="方正小标宋简体"/>
          <w:bCs/>
          <w:sz w:val="46"/>
          <w:szCs w:val="46"/>
          <w:u w:val="single"/>
        </w:rPr>
        <w:t>2020</w:t>
      </w:r>
      <w:r>
        <w:rPr>
          <w:rFonts w:hint="eastAsia" w:eastAsia="方正小标宋简体"/>
          <w:bCs/>
          <w:sz w:val="46"/>
          <w:szCs w:val="46"/>
        </w:rPr>
        <w:t>年度部门整体支出</w:t>
      </w:r>
    </w:p>
    <w:p w14:paraId="2A8F2C5A">
      <w:pPr>
        <w:spacing w:line="800" w:lineRule="exact"/>
        <w:jc w:val="center"/>
        <w:rPr>
          <w:rFonts w:eastAsia="方正小标宋简体"/>
          <w:bCs/>
          <w:sz w:val="46"/>
          <w:szCs w:val="46"/>
        </w:rPr>
      </w:pPr>
      <w:r>
        <w:rPr>
          <w:rFonts w:hint="eastAsia" w:eastAsia="方正小标宋简体"/>
          <w:bCs/>
          <w:sz w:val="46"/>
          <w:szCs w:val="46"/>
        </w:rPr>
        <w:t>绩效评价自评报告</w:t>
      </w:r>
    </w:p>
    <w:p w14:paraId="7642C4A3">
      <w:pPr>
        <w:rPr>
          <w:rFonts w:eastAsia="仿宋_GB2312"/>
          <w:b/>
          <w:sz w:val="32"/>
        </w:rPr>
      </w:pPr>
    </w:p>
    <w:p w14:paraId="0497F3ED">
      <w:pPr>
        <w:rPr>
          <w:rFonts w:eastAsia="仿宋_GB2312"/>
          <w:b/>
          <w:sz w:val="32"/>
        </w:rPr>
      </w:pPr>
    </w:p>
    <w:p w14:paraId="014DF656">
      <w:pPr>
        <w:rPr>
          <w:rFonts w:eastAsia="仿宋_GB2312"/>
          <w:b/>
          <w:sz w:val="32"/>
        </w:rPr>
      </w:pPr>
    </w:p>
    <w:p w14:paraId="1CCD29EE">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w:t>
      </w:r>
      <w:r>
        <w:rPr>
          <w:rFonts w:eastAsia="仿宋_GB2312"/>
          <w:sz w:val="32"/>
          <w:szCs w:val="32"/>
          <w:u w:val="single"/>
        </w:rPr>
        <w:t xml:space="preserve">   </w:t>
      </w:r>
      <w:r>
        <w:rPr>
          <w:rFonts w:hint="eastAsia" w:eastAsia="仿宋_GB2312"/>
          <w:sz w:val="32"/>
          <w:szCs w:val="32"/>
          <w:u w:val="single"/>
        </w:rPr>
        <w:t>九寨沟县总工会</w:t>
      </w:r>
      <w:r>
        <w:rPr>
          <w:rFonts w:eastAsia="仿宋_GB2312"/>
          <w:sz w:val="32"/>
          <w:szCs w:val="32"/>
          <w:u w:val="single"/>
        </w:rPr>
        <w:t xml:space="preserve">                                </w:t>
      </w:r>
    </w:p>
    <w:p w14:paraId="6A7B4480">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eastAsia="仿宋_GB2312"/>
          <w:spacing w:val="30"/>
          <w:sz w:val="32"/>
          <w:szCs w:val="32"/>
        </w:rPr>
        <w:t xml:space="preserve"> </w:t>
      </w:r>
      <w:r>
        <w:rPr>
          <w:rFonts w:hint="eastAsia" w:eastAsia="仿宋_GB2312"/>
          <w:spacing w:val="30"/>
          <w:sz w:val="32"/>
          <w:szCs w:val="32"/>
        </w:rPr>
        <w:t>算</w:t>
      </w:r>
      <w:r>
        <w:rPr>
          <w:rFonts w:eastAsia="仿宋_GB2312"/>
          <w:spacing w:val="30"/>
          <w:sz w:val="32"/>
          <w:szCs w:val="32"/>
        </w:rPr>
        <w:t xml:space="preserve"> </w:t>
      </w:r>
      <w:r>
        <w:rPr>
          <w:rFonts w:hint="eastAsia" w:eastAsia="仿宋_GB2312"/>
          <w:spacing w:val="30"/>
          <w:sz w:val="32"/>
          <w:szCs w:val="32"/>
        </w:rPr>
        <w:t>编</w:t>
      </w:r>
      <w:r>
        <w:rPr>
          <w:rFonts w:eastAsia="仿宋_GB2312"/>
          <w:spacing w:val="30"/>
          <w:sz w:val="32"/>
          <w:szCs w:val="32"/>
        </w:rPr>
        <w:t xml:space="preserve"> </w:t>
      </w:r>
      <w:r>
        <w:rPr>
          <w:rFonts w:hint="eastAsia" w:eastAsia="仿宋_GB2312"/>
          <w:spacing w:val="30"/>
          <w:sz w:val="32"/>
          <w:szCs w:val="32"/>
        </w:rPr>
        <w:t>码：</w:t>
      </w:r>
      <w:r>
        <w:rPr>
          <w:rFonts w:eastAsia="仿宋_GB2312"/>
          <w:spacing w:val="20"/>
          <w:sz w:val="32"/>
          <w:szCs w:val="32"/>
          <w:u w:val="single"/>
        </w:rPr>
        <w:t xml:space="preserve">  149101                          </w:t>
      </w:r>
    </w:p>
    <w:p w14:paraId="6BCC282F">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14:paraId="6F641FF0">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r>
        <w:rPr>
          <w:rFonts w:eastAsia="仿宋_GB2312"/>
          <w:sz w:val="32"/>
          <w:szCs w:val="32"/>
        </w:rPr>
        <w:t xml:space="preserve">   </w:t>
      </w:r>
    </w:p>
    <w:p w14:paraId="35BF80DD">
      <w:pPr>
        <w:spacing w:beforeLines="50" w:line="348" w:lineRule="auto"/>
        <w:ind w:firstLine="476" w:firstLineChars="150"/>
        <w:rPr>
          <w:rFonts w:eastAsia="仿宋_GB2312"/>
          <w:sz w:val="32"/>
          <w:szCs w:val="32"/>
        </w:rPr>
      </w:pPr>
    </w:p>
    <w:p w14:paraId="608A8391">
      <w:pPr>
        <w:spacing w:line="720" w:lineRule="exact"/>
        <w:ind w:firstLine="2188" w:firstLineChars="690"/>
        <w:rPr>
          <w:rFonts w:eastAsia="仿宋_GB2312"/>
          <w:sz w:val="32"/>
        </w:rPr>
      </w:pPr>
    </w:p>
    <w:p w14:paraId="6092BBB0">
      <w:pPr>
        <w:spacing w:line="348" w:lineRule="auto"/>
        <w:rPr>
          <w:rFonts w:eastAsia="仿宋_GB2312"/>
          <w:sz w:val="32"/>
        </w:rPr>
      </w:pPr>
      <w:r>
        <w:rPr>
          <w:rFonts w:hint="eastAsia" w:eastAsia="仿宋_GB2312"/>
          <w:sz w:val="32"/>
        </w:rPr>
        <w:t>报告日期：</w:t>
      </w:r>
      <w:r>
        <w:rPr>
          <w:rFonts w:eastAsia="仿宋_GB2312"/>
          <w:sz w:val="32"/>
        </w:rPr>
        <w:t>2021</w:t>
      </w:r>
      <w:r>
        <w:rPr>
          <w:rFonts w:hint="eastAsia" w:eastAsia="仿宋_GB2312"/>
          <w:sz w:val="32"/>
        </w:rPr>
        <w:t>年</w:t>
      </w:r>
      <w:r>
        <w:rPr>
          <w:rFonts w:eastAsia="仿宋_GB2312"/>
          <w:sz w:val="32"/>
        </w:rPr>
        <w:t>6</w:t>
      </w:r>
      <w:r>
        <w:rPr>
          <w:rFonts w:hint="eastAsia" w:eastAsia="仿宋_GB2312"/>
          <w:sz w:val="32"/>
        </w:rPr>
        <w:t>月</w:t>
      </w:r>
      <w:r>
        <w:rPr>
          <w:rFonts w:eastAsia="仿宋_GB2312"/>
          <w:sz w:val="32"/>
        </w:rPr>
        <w:t xml:space="preserve">20 </w:t>
      </w:r>
      <w:r>
        <w:rPr>
          <w:rFonts w:hint="eastAsia" w:eastAsia="仿宋_GB2312"/>
          <w:sz w:val="32"/>
        </w:rPr>
        <w:t>日</w:t>
      </w:r>
    </w:p>
    <w:p w14:paraId="3A7181A9">
      <w:pPr>
        <w:autoSpaceDN w:val="0"/>
        <w:jc w:val="center"/>
        <w:textAlignment w:val="center"/>
        <w:rPr>
          <w:rFonts w:eastAsia="仿宋_GB2312"/>
          <w:sz w:val="32"/>
          <w:szCs w:val="32"/>
        </w:rPr>
      </w:pPr>
      <w:r>
        <w:rPr>
          <w:rFonts w:hint="eastAsia" w:eastAsia="仿宋_GB2312"/>
          <w:sz w:val="32"/>
        </w:rPr>
        <w:t>九寨沟县财政</w:t>
      </w:r>
      <w:r>
        <w:rPr>
          <w:rFonts w:hint="eastAsia" w:eastAsia="仿宋_GB2312"/>
          <w:sz w:val="32"/>
          <w:szCs w:val="32"/>
        </w:rPr>
        <w:t>局（制）</w:t>
      </w:r>
    </w:p>
    <w:p w14:paraId="4720363E">
      <w:pPr>
        <w:widowControl/>
        <w:spacing w:afterAutospacing="1"/>
        <w:jc w:val="left"/>
        <w:rPr>
          <w:rFonts w:eastAsia="仿宋_GB2312"/>
          <w:sz w:val="32"/>
          <w:szCs w:val="32"/>
        </w:rPr>
        <w:sectPr>
          <w:footerReference r:id="rId6" w:type="first"/>
          <w:footerReference r:id="rId4" w:type="default"/>
          <w:headerReference r:id="rId3" w:type="even"/>
          <w:footerReference r:id="rId5" w:type="even"/>
          <w:pgSz w:w="11906" w:h="16838"/>
          <w:pgMar w:top="1588" w:right="1588" w:bottom="1588" w:left="1588" w:header="851" w:footer="992" w:gutter="0"/>
          <w:pgNumType w:fmt="decimal" w:start="1"/>
          <w:cols w:space="720" w:num="1"/>
          <w:docGrid w:type="linesAndChars" w:linePitch="602" w:charSpace="-782"/>
        </w:sectPr>
      </w:pPr>
    </w:p>
    <w:tbl>
      <w:tblPr>
        <w:tblStyle w:val="2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14:paraId="5CA3A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5FE972D">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14:paraId="719CE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94C9DD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69F366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龙永丽</w:t>
            </w:r>
          </w:p>
        </w:tc>
        <w:tc>
          <w:tcPr>
            <w:tcW w:w="1479" w:type="dxa"/>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9D4949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7F02E9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18990422616</w:t>
            </w:r>
          </w:p>
        </w:tc>
      </w:tr>
      <w:tr w14:paraId="38E22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75D930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E0245C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w:t>
            </w:r>
          </w:p>
        </w:tc>
        <w:tc>
          <w:tcPr>
            <w:tcW w:w="1479" w:type="dxa"/>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9A5134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5F40EC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w:t>
            </w:r>
          </w:p>
        </w:tc>
      </w:tr>
      <w:tr w14:paraId="49F40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4D1A13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99E51DF">
            <w:pPr>
              <w:spacing w:line="550" w:lineRule="exact"/>
              <w:ind w:firstLine="640"/>
              <w:rPr>
                <w:rFonts w:ascii="仿宋_GB2312" w:hAnsi="仿宋_GB2312" w:eastAsia="仿宋_GB2312" w:cs="仿宋_GB2312"/>
                <w:sz w:val="24"/>
              </w:rPr>
            </w:pPr>
            <w:r>
              <w:rPr>
                <w:rFonts w:hint="eastAsia" w:ascii="仿宋_GB2312" w:hAnsi="仿宋_GB2312" w:eastAsia="仿宋_GB2312" w:cs="仿宋_GB2312"/>
                <w:sz w:val="24"/>
              </w:rPr>
              <w:t>依照《工会法》和《工会章程》的规定，组织和领导全县各级工会履行工会的“维护、建设项目、参与、教育”的四项职能，贯彻执行全州和全县工会代表大会的各项决议，对有关职工利益的重大问题进行调查研究，向县委、县政府和州总工会反映职工群众的意见、愿望和要求并提出意见和见议，参与重大劳动争议案件的调查研究工作。对全县各级基层共地自身建设和改革进行研究指导，按照县委和州总工会的要求，研究和制定工会的各项组织制度、民主制度，参与涉及职工切身利益的有关政策、措施和制度制定工作。协助县政府做好全国、省、州劳模的推荐、评选和管理工作。负责全县工会经费和管理、审查、审计工作，研究制定发展工会企事业单位的有关政策和规定、负责全县工会企事业单位的发展规划的、管理实施工作。</w:t>
            </w:r>
          </w:p>
          <w:p w14:paraId="1A322368">
            <w:pPr>
              <w:autoSpaceDN w:val="0"/>
              <w:spacing w:line="320" w:lineRule="exact"/>
              <w:jc w:val="left"/>
              <w:textAlignment w:val="center"/>
              <w:rPr>
                <w:rFonts w:ascii="仿宋_GB2312" w:hAnsi="仿宋_GB2312" w:eastAsia="仿宋_GB2312" w:cs="仿宋_GB2312"/>
                <w:color w:val="000000"/>
                <w:sz w:val="24"/>
              </w:rPr>
            </w:pPr>
          </w:p>
        </w:tc>
      </w:tr>
      <w:tr w14:paraId="06AC3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4"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95E318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14:paraId="3DC2F3A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67260B7">
            <w:pPr>
              <w:spacing w:line="560" w:lineRule="exact"/>
              <w:ind w:firstLine="240" w:firstLineChars="100"/>
              <w:rPr>
                <w:rFonts w:ascii="仿宋_GB2312" w:hAnsi="黑体" w:eastAsia="仿宋_GB2312"/>
                <w:sz w:val="24"/>
              </w:rPr>
            </w:pPr>
            <w:r>
              <w:rPr>
                <w:rFonts w:hint="eastAsia" w:ascii="仿宋_GB2312" w:hAnsi="仿宋_GB2312" w:eastAsia="仿宋_GB2312" w:cs="仿宋_GB2312"/>
                <w:color w:val="000000"/>
                <w:sz w:val="24"/>
              </w:rPr>
              <w:t>任务：</w:t>
            </w:r>
            <w:r>
              <w:rPr>
                <w:rFonts w:hint="eastAsia" w:ascii="仿宋_GB2312" w:hAnsi="黑体" w:eastAsia="仿宋_GB2312"/>
                <w:sz w:val="24"/>
              </w:rPr>
              <w:t>1.基层组织建设：涉及机改、拆乡并镇以及60多家旅游行业的八大群体等100家的建会工作和规范管理。</w:t>
            </w:r>
          </w:p>
          <w:p w14:paraId="73487655">
            <w:pPr>
              <w:spacing w:line="560" w:lineRule="exact"/>
              <w:ind w:firstLine="240" w:firstLineChars="100"/>
              <w:rPr>
                <w:rFonts w:ascii="仿宋_GB2312" w:hAnsi="黑体" w:eastAsia="仿宋_GB2312"/>
                <w:sz w:val="24"/>
              </w:rPr>
            </w:pPr>
            <w:r>
              <w:rPr>
                <w:rFonts w:hint="eastAsia" w:ascii="仿宋_GB2312" w:hAnsi="黑体" w:eastAsia="仿宋_GB2312"/>
                <w:sz w:val="24"/>
              </w:rPr>
              <w:t>2.完成全县职工之家建设，及规范管理工作。</w:t>
            </w:r>
          </w:p>
          <w:p w14:paraId="1B6A3945">
            <w:pPr>
              <w:spacing w:line="560" w:lineRule="exact"/>
              <w:ind w:firstLine="240" w:firstLineChars="100"/>
              <w:rPr>
                <w:rFonts w:ascii="仿宋_GB2312" w:hAnsi="黑体" w:eastAsia="仿宋_GB2312"/>
                <w:sz w:val="24"/>
              </w:rPr>
            </w:pPr>
            <w:r>
              <w:rPr>
                <w:rFonts w:hint="eastAsia" w:ascii="仿宋_GB2312" w:hAnsi="黑体" w:eastAsia="仿宋_GB2312"/>
                <w:sz w:val="24"/>
              </w:rPr>
              <w:t>3.第一季度开展春送岗位活动，第二季度开展夏送清凉活动，第三季度开展金秋助学活动。第四季度开展冬送温暖活动，看望和慰问省外农民工。</w:t>
            </w:r>
          </w:p>
          <w:p w14:paraId="34092275">
            <w:pPr>
              <w:spacing w:line="560" w:lineRule="exact"/>
              <w:ind w:firstLine="240" w:firstLineChars="100"/>
              <w:rPr>
                <w:rFonts w:ascii="仿宋_GB2312" w:hAnsi="黑体" w:eastAsia="仿宋_GB2312"/>
                <w:sz w:val="24"/>
              </w:rPr>
            </w:pPr>
            <w:r>
              <w:rPr>
                <w:rFonts w:hint="eastAsia" w:ascii="仿宋_GB2312" w:hAnsi="黑体" w:eastAsia="仿宋_GB2312"/>
                <w:sz w:val="24"/>
              </w:rPr>
              <w:t>4.内审和工会主席的培训6-9月完成。</w:t>
            </w:r>
          </w:p>
          <w:p w14:paraId="108BCD0A">
            <w:pPr>
              <w:spacing w:line="560" w:lineRule="exact"/>
              <w:ind w:firstLine="240" w:firstLineChars="100"/>
              <w:rPr>
                <w:rFonts w:ascii="仿宋_GB2312" w:hAnsi="黑体" w:eastAsia="仿宋_GB2312"/>
                <w:sz w:val="24"/>
              </w:rPr>
            </w:pPr>
          </w:p>
          <w:p w14:paraId="34C52B34">
            <w:pPr>
              <w:autoSpaceDN w:val="0"/>
              <w:spacing w:line="320" w:lineRule="exact"/>
              <w:jc w:val="left"/>
              <w:textAlignment w:val="center"/>
              <w:rPr>
                <w:rFonts w:ascii="仿宋_GB2312" w:hAnsi="仿宋_GB2312" w:eastAsia="仿宋_GB2312" w:cs="仿宋_GB2312"/>
                <w:color w:val="000000"/>
                <w:sz w:val="24"/>
              </w:rPr>
            </w:pPr>
          </w:p>
        </w:tc>
      </w:tr>
      <w:tr w14:paraId="6EE84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ADF7201">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EEF2223">
            <w:pPr>
              <w:spacing w:line="560" w:lineRule="exact"/>
              <w:ind w:firstLine="480" w:firstLineChars="200"/>
              <w:rPr>
                <w:rFonts w:ascii="仿宋_GB2312" w:hAnsi="仿宋_GB2312" w:eastAsia="仿宋_GB2312"/>
                <w:sz w:val="24"/>
              </w:rPr>
            </w:pPr>
            <w:r>
              <w:rPr>
                <w:rFonts w:hint="eastAsia" w:ascii="仿宋_GB2312" w:hAnsi="仿宋_GB2312" w:eastAsia="仿宋_GB2312"/>
                <w:sz w:val="24"/>
              </w:rPr>
              <w:t>从2018年到2020年因工，青、妇三家合并财务到县总工会账上，县总工会经费包括了工会、团委、妇联三家的资金。</w:t>
            </w:r>
          </w:p>
          <w:p w14:paraId="2AF83F09">
            <w:pPr>
              <w:spacing w:line="560" w:lineRule="exact"/>
              <w:ind w:firstLine="480" w:firstLineChars="200"/>
              <w:rPr>
                <w:rFonts w:ascii="仿宋_GB2312" w:eastAsia="仿宋_GB2312"/>
                <w:sz w:val="24"/>
              </w:rPr>
            </w:pPr>
            <w:r>
              <w:rPr>
                <w:rFonts w:hint="eastAsia" w:ascii="仿宋_GB2312" w:hAnsi="黑体" w:eastAsia="仿宋_GB2312" w:cs="黑体"/>
                <w:bCs/>
                <w:sz w:val="24"/>
              </w:rPr>
              <w:t>九寨沟县总工会2020年度整体支出534.77元，其中一般公共服务支出438.6万元，占总支出82%；教育支出0万元，占总支出%；社会保障就业支出30.25万元，占总支出5.7%；医疗卫生与计划生育支</w:t>
            </w:r>
            <w:r>
              <w:rPr>
                <w:rFonts w:hint="eastAsia" w:ascii="仿宋_GB2312" w:hAnsi="黑体" w:eastAsia="仿宋_GB2312" w:cs="黑体"/>
                <w:bCs/>
                <w:sz w:val="28"/>
                <w:szCs w:val="28"/>
              </w:rPr>
              <w:t>出</w:t>
            </w:r>
            <w:r>
              <w:rPr>
                <w:rFonts w:hint="eastAsia" w:ascii="仿宋_GB2312" w:hAnsi="黑体" w:eastAsia="仿宋_GB2312" w:cs="黑体"/>
                <w:bCs/>
                <w:sz w:val="24"/>
              </w:rPr>
              <w:t>27.43万元，占总支出5%；住房保障支出28.47万元，占总支出5%。</w:t>
            </w:r>
            <w:r>
              <w:rPr>
                <w:rFonts w:hint="eastAsia" w:ascii="仿宋_GB2312" w:eastAsia="仿宋_GB2312"/>
                <w:sz w:val="24"/>
              </w:rPr>
              <w:t>一年来，在县委、县政府和州总工会坚强领导下，全县工会深入学习贯彻党的十九大、习近平新时代中国特色社会主义思想和中国工会十七大精神，紧紧围绕县委、县政府中心工作，圆满完成了各项目标任务。</w:t>
            </w:r>
          </w:p>
          <w:p w14:paraId="23079A7D">
            <w:pPr>
              <w:spacing w:line="560" w:lineRule="exact"/>
              <w:ind w:firstLine="480" w:firstLineChars="200"/>
              <w:rPr>
                <w:rFonts w:ascii="仿宋_GB2312" w:eastAsia="仿宋_GB2312"/>
                <w:sz w:val="24"/>
              </w:rPr>
            </w:pPr>
          </w:p>
          <w:p w14:paraId="5CD26C22">
            <w:pPr>
              <w:autoSpaceDN w:val="0"/>
              <w:spacing w:line="320" w:lineRule="exact"/>
              <w:jc w:val="left"/>
              <w:textAlignment w:val="center"/>
              <w:rPr>
                <w:rFonts w:ascii="仿宋_GB2312" w:hAnsi="仿宋_GB2312" w:eastAsia="仿宋_GB2312" w:cs="仿宋_GB2312"/>
                <w:color w:val="000000"/>
                <w:sz w:val="24"/>
              </w:rPr>
            </w:pPr>
          </w:p>
        </w:tc>
      </w:tr>
      <w:tr w14:paraId="121CC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AACA9D1">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14:paraId="2546E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142499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14:paraId="4E1AD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0" w:type="dxa"/>
            <w:gridSpan w:val="3"/>
            <w:vMerge w:val="restart"/>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17F9A8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348BB40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6021646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2E116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90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8CE26CB">
            <w:pPr>
              <w:widowControl/>
              <w:jc w:val="left"/>
              <w:rPr>
                <w:rFonts w:ascii="仿宋_GB2312" w:hAnsi="仿宋_GB2312" w:eastAsia="仿宋_GB2312" w:cs="仿宋_GB2312"/>
                <w:color w:val="000000"/>
                <w:sz w:val="24"/>
              </w:rPr>
            </w:pPr>
          </w:p>
        </w:tc>
        <w:tc>
          <w:tcPr>
            <w:tcW w:w="300" w:type="dxa"/>
            <w:vMerge w:val="continue"/>
            <w:tcBorders>
              <w:top w:val="single" w:color="000000" w:sz="4" w:space="0"/>
              <w:left w:val="single" w:color="000000" w:sz="4" w:space="0"/>
              <w:bottom w:val="single" w:color="000000" w:sz="4" w:space="0"/>
              <w:right w:val="single" w:color="auto" w:sz="4" w:space="0"/>
            </w:tcBorders>
            <w:vAlign w:val="center"/>
          </w:tcPr>
          <w:p w14:paraId="5E6FE7CF">
            <w:pPr>
              <w:widowControl/>
              <w:jc w:val="left"/>
              <w:rPr>
                <w:rFonts w:ascii="仿宋_GB2312" w:hAnsi="仿宋_GB2312" w:eastAsia="仿宋_GB2312" w:cs="仿宋_GB2312"/>
                <w:color w:val="000000"/>
                <w:sz w:val="24"/>
              </w:rPr>
            </w:pP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15DFB76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7B3669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14:paraId="7E93694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1A6CB2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E7F36B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4EBBC4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14:paraId="4F17B75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14:paraId="78219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2"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CD1D53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九寨沟县总工会汇总</w:t>
            </w: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05CA3FC7">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534.77</w:t>
            </w: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5D361684">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38.8</w:t>
            </w: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3144EA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495.97</w:t>
            </w:r>
          </w:p>
        </w:tc>
        <w:tc>
          <w:tcPr>
            <w:tcW w:w="1705"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07D012E">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307C85D">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36CB8CC">
            <w:pPr>
              <w:autoSpaceDN w:val="0"/>
              <w:spacing w:line="320" w:lineRule="exact"/>
              <w:jc w:val="left"/>
              <w:textAlignment w:val="center"/>
              <w:rPr>
                <w:rFonts w:ascii="仿宋_GB2312" w:hAnsi="仿宋_GB2312" w:eastAsia="仿宋_GB2312" w:cs="仿宋_GB2312"/>
                <w:color w:val="000000"/>
                <w:sz w:val="24"/>
              </w:rPr>
            </w:pPr>
          </w:p>
        </w:tc>
      </w:tr>
      <w:tr w14:paraId="67D12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918953C">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1、九寨沟县总工会</w:t>
            </w: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0BF8C3D7">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508.64</w:t>
            </w: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2883DE8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38.8</w:t>
            </w: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A83D545">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469.84</w:t>
            </w:r>
          </w:p>
        </w:tc>
        <w:tc>
          <w:tcPr>
            <w:tcW w:w="1705"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412FE0B">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9738E5C">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26E0C9B">
            <w:pPr>
              <w:autoSpaceDN w:val="0"/>
              <w:spacing w:line="320" w:lineRule="exact"/>
              <w:jc w:val="left"/>
              <w:textAlignment w:val="center"/>
              <w:rPr>
                <w:rFonts w:ascii="仿宋_GB2312" w:hAnsi="仿宋_GB2312" w:eastAsia="仿宋_GB2312" w:cs="仿宋_GB2312"/>
                <w:color w:val="000000"/>
                <w:sz w:val="24"/>
              </w:rPr>
            </w:pPr>
          </w:p>
        </w:tc>
      </w:tr>
      <w:tr w14:paraId="3295D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E5C187A">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2、九寨沟县青少年宫</w:t>
            </w: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53EAC1F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26.13</w:t>
            </w: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074137EC">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736F0F6">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26.13</w:t>
            </w:r>
          </w:p>
        </w:tc>
        <w:tc>
          <w:tcPr>
            <w:tcW w:w="1705"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B99BC66">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8D0D46C">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0081065">
            <w:pPr>
              <w:autoSpaceDN w:val="0"/>
              <w:spacing w:line="320" w:lineRule="exact"/>
              <w:jc w:val="left"/>
              <w:textAlignment w:val="center"/>
              <w:rPr>
                <w:rFonts w:ascii="仿宋_GB2312" w:hAnsi="仿宋_GB2312" w:eastAsia="仿宋_GB2312" w:cs="仿宋_GB2312"/>
                <w:color w:val="000000"/>
                <w:sz w:val="24"/>
              </w:rPr>
            </w:pPr>
          </w:p>
        </w:tc>
      </w:tr>
      <w:tr w14:paraId="2C9D7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1732F23">
            <w:pPr>
              <w:spacing w:line="320" w:lineRule="exact"/>
              <w:rPr>
                <w:rFonts w:ascii="仿宋_GB2312" w:hAnsi="仿宋_GB2312" w:eastAsia="仿宋_GB2312" w:cs="仿宋_GB2312"/>
                <w:sz w:val="24"/>
              </w:rPr>
            </w:pP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50259900">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198A4A91">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5A001BC">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9C0CB4C">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A345105">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0469F28">
            <w:pPr>
              <w:autoSpaceDN w:val="0"/>
              <w:spacing w:line="320" w:lineRule="exact"/>
              <w:jc w:val="left"/>
              <w:textAlignment w:val="center"/>
              <w:rPr>
                <w:rFonts w:ascii="仿宋_GB2312" w:hAnsi="仿宋_GB2312" w:eastAsia="仿宋_GB2312" w:cs="仿宋_GB2312"/>
                <w:color w:val="000000"/>
                <w:sz w:val="24"/>
              </w:rPr>
            </w:pPr>
          </w:p>
        </w:tc>
      </w:tr>
      <w:tr w14:paraId="614C3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960E45C">
            <w:pPr>
              <w:autoSpaceDN w:val="0"/>
              <w:spacing w:line="320" w:lineRule="exact"/>
              <w:jc w:val="center"/>
              <w:textAlignment w:val="center"/>
              <w:rPr>
                <w:rFonts w:ascii="仿宋_GB2312" w:hAnsi="仿宋_GB2312" w:eastAsia="仿宋_GB2312" w:cs="仿宋_GB2312"/>
                <w:b/>
                <w:bCs/>
                <w:color w:val="000000"/>
                <w:sz w:val="24"/>
              </w:rPr>
            </w:pPr>
          </w:p>
          <w:p w14:paraId="642DE32D">
            <w:pPr>
              <w:autoSpaceDN w:val="0"/>
              <w:spacing w:line="320" w:lineRule="exact"/>
              <w:jc w:val="center"/>
              <w:textAlignment w:val="center"/>
              <w:rPr>
                <w:rFonts w:ascii="仿宋_GB2312" w:hAnsi="仿宋_GB2312" w:eastAsia="仿宋_GB2312" w:cs="仿宋_GB2312"/>
                <w:b/>
                <w:bCs/>
                <w:color w:val="000000"/>
                <w:sz w:val="24"/>
              </w:rPr>
            </w:pPr>
          </w:p>
          <w:p w14:paraId="07B4FF06">
            <w:pPr>
              <w:autoSpaceDN w:val="0"/>
              <w:spacing w:line="320" w:lineRule="exact"/>
              <w:jc w:val="center"/>
              <w:textAlignment w:val="center"/>
              <w:rPr>
                <w:rFonts w:ascii="仿宋_GB2312" w:hAnsi="仿宋_GB2312" w:eastAsia="仿宋_GB2312" w:cs="仿宋_GB2312"/>
                <w:b/>
                <w:bCs/>
                <w:color w:val="000000"/>
                <w:sz w:val="24"/>
              </w:rPr>
            </w:pPr>
          </w:p>
          <w:p w14:paraId="2245AA84">
            <w:pPr>
              <w:autoSpaceDN w:val="0"/>
              <w:spacing w:line="320" w:lineRule="exact"/>
              <w:jc w:val="center"/>
              <w:textAlignment w:val="center"/>
              <w:rPr>
                <w:rFonts w:ascii="仿宋_GB2312" w:hAnsi="仿宋_GB2312" w:eastAsia="仿宋_GB2312" w:cs="仿宋_GB2312"/>
                <w:b/>
                <w:bCs/>
                <w:color w:val="000000"/>
                <w:sz w:val="24"/>
              </w:rPr>
            </w:pPr>
          </w:p>
          <w:p w14:paraId="66525B49">
            <w:pPr>
              <w:autoSpaceDN w:val="0"/>
              <w:spacing w:line="320" w:lineRule="exact"/>
              <w:jc w:val="center"/>
              <w:textAlignment w:val="center"/>
              <w:rPr>
                <w:rFonts w:ascii="仿宋_GB2312" w:hAnsi="仿宋_GB2312" w:eastAsia="仿宋_GB2312" w:cs="仿宋_GB2312"/>
                <w:b/>
                <w:bCs/>
                <w:color w:val="000000"/>
                <w:sz w:val="24"/>
              </w:rPr>
            </w:pPr>
          </w:p>
          <w:p w14:paraId="3155A1B4">
            <w:pPr>
              <w:autoSpaceDN w:val="0"/>
              <w:spacing w:line="320" w:lineRule="exact"/>
              <w:jc w:val="center"/>
              <w:textAlignment w:val="center"/>
              <w:rPr>
                <w:rFonts w:ascii="仿宋_GB2312" w:hAnsi="仿宋_GB2312" w:eastAsia="仿宋_GB2312" w:cs="仿宋_GB2312"/>
                <w:b/>
                <w:bCs/>
                <w:color w:val="000000"/>
                <w:sz w:val="24"/>
              </w:rPr>
            </w:pPr>
          </w:p>
          <w:p w14:paraId="0FE585DE">
            <w:pPr>
              <w:autoSpaceDN w:val="0"/>
              <w:spacing w:line="320" w:lineRule="exact"/>
              <w:jc w:val="center"/>
              <w:textAlignment w:val="center"/>
              <w:rPr>
                <w:rFonts w:ascii="仿宋_GB2312" w:hAnsi="仿宋_GB2312" w:eastAsia="仿宋_GB2312" w:cs="仿宋_GB2312"/>
                <w:b/>
                <w:bCs/>
                <w:color w:val="000000"/>
                <w:sz w:val="24"/>
              </w:rPr>
            </w:pPr>
          </w:p>
          <w:p w14:paraId="1C9D5E78">
            <w:pPr>
              <w:autoSpaceDN w:val="0"/>
              <w:spacing w:line="320" w:lineRule="exact"/>
              <w:jc w:val="center"/>
              <w:textAlignment w:val="center"/>
              <w:rPr>
                <w:rFonts w:ascii="仿宋_GB2312" w:hAnsi="仿宋_GB2312" w:eastAsia="仿宋_GB2312" w:cs="仿宋_GB2312"/>
                <w:b/>
                <w:bCs/>
                <w:color w:val="000000"/>
                <w:sz w:val="24"/>
              </w:rPr>
            </w:pPr>
          </w:p>
          <w:p w14:paraId="0671EE9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14:paraId="1186D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700" w:type="dxa"/>
            <w:gridSpan w:val="3"/>
            <w:vMerge w:val="restart"/>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15853F9">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3834A04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top w:val="single" w:color="000000" w:sz="4" w:space="0"/>
              <w:left w:val="single" w:color="auto" w:sz="4" w:space="0"/>
              <w:bottom w:val="single" w:color="auto" w:sz="4" w:space="0"/>
              <w:right w:val="single" w:color="auto" w:sz="4" w:space="0"/>
            </w:tcBorders>
            <w:tcMar>
              <w:top w:w="0" w:type="dxa"/>
              <w:left w:w="15" w:type="dxa"/>
              <w:bottom w:w="0" w:type="dxa"/>
              <w:right w:w="15" w:type="dxa"/>
            </w:tcMar>
            <w:vAlign w:val="center"/>
          </w:tcPr>
          <w:p w14:paraId="24084D7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top w:val="single" w:color="000000" w:sz="4" w:space="0"/>
              <w:left w:val="single" w:color="auto" w:sz="4" w:space="0"/>
              <w:bottom w:val="single" w:color="auto" w:sz="4" w:space="0"/>
              <w:right w:val="single" w:color="000000" w:sz="4" w:space="0"/>
            </w:tcBorders>
            <w:tcMar>
              <w:top w:w="0" w:type="dxa"/>
              <w:left w:w="15" w:type="dxa"/>
              <w:bottom w:w="0" w:type="dxa"/>
              <w:right w:w="15" w:type="dxa"/>
            </w:tcMar>
            <w:vAlign w:val="center"/>
          </w:tcPr>
          <w:p w14:paraId="3C6C85B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14:paraId="37841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90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3DF232A">
            <w:pPr>
              <w:widowControl/>
              <w:jc w:val="left"/>
              <w:rPr>
                <w:rFonts w:ascii="仿宋_GB2312" w:hAnsi="仿宋_GB2312" w:eastAsia="仿宋_GB2312" w:cs="仿宋_GB2312"/>
                <w:sz w:val="24"/>
              </w:rPr>
            </w:pPr>
          </w:p>
        </w:tc>
        <w:tc>
          <w:tcPr>
            <w:tcW w:w="300" w:type="dxa"/>
            <w:vMerge w:val="continue"/>
            <w:tcBorders>
              <w:top w:val="single" w:color="000000" w:sz="4" w:space="0"/>
              <w:left w:val="single" w:color="000000" w:sz="4" w:space="0"/>
              <w:bottom w:val="single" w:color="000000" w:sz="4" w:space="0"/>
              <w:right w:val="single" w:color="auto" w:sz="4" w:space="0"/>
            </w:tcBorders>
            <w:vAlign w:val="center"/>
          </w:tcPr>
          <w:p w14:paraId="065B90D2">
            <w:pPr>
              <w:widowControl/>
              <w:jc w:val="left"/>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7F6B8EA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7E8E2F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2A46845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bottom w:val="single" w:color="000000" w:sz="4" w:space="0"/>
              <w:right w:val="single" w:color="auto" w:sz="4" w:space="0"/>
            </w:tcBorders>
            <w:tcMar>
              <w:top w:w="0" w:type="dxa"/>
              <w:left w:w="15" w:type="dxa"/>
              <w:bottom w:w="0" w:type="dxa"/>
              <w:right w:w="15" w:type="dxa"/>
            </w:tcMar>
            <w:vAlign w:val="center"/>
          </w:tcPr>
          <w:p w14:paraId="6641F67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48A7B57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14:paraId="26D2F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90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D6024D8">
            <w:pPr>
              <w:widowControl/>
              <w:jc w:val="left"/>
              <w:rPr>
                <w:rFonts w:ascii="仿宋_GB2312" w:hAnsi="仿宋_GB2312" w:eastAsia="仿宋_GB2312" w:cs="仿宋_GB2312"/>
                <w:sz w:val="24"/>
              </w:rPr>
            </w:pPr>
          </w:p>
        </w:tc>
        <w:tc>
          <w:tcPr>
            <w:tcW w:w="300" w:type="dxa"/>
            <w:vMerge w:val="continue"/>
            <w:tcBorders>
              <w:top w:val="single" w:color="000000" w:sz="4" w:space="0"/>
              <w:left w:val="single" w:color="000000" w:sz="4" w:space="0"/>
              <w:bottom w:val="single" w:color="000000" w:sz="4" w:space="0"/>
              <w:right w:val="single" w:color="auto" w:sz="4" w:space="0"/>
            </w:tcBorders>
            <w:vAlign w:val="center"/>
          </w:tcPr>
          <w:p w14:paraId="2DA2259F">
            <w:pPr>
              <w:widowControl/>
              <w:jc w:val="left"/>
              <w:rPr>
                <w:rFonts w:ascii="仿宋_GB2312" w:hAnsi="仿宋_GB2312" w:eastAsia="仿宋_GB2312" w:cs="仿宋_GB2312"/>
                <w:color w:val="000000"/>
                <w:sz w:val="24"/>
              </w:rPr>
            </w:pPr>
          </w:p>
        </w:tc>
        <w:tc>
          <w:tcPr>
            <w:tcW w:w="600" w:type="dxa"/>
            <w:gridSpan w:val="2"/>
            <w:vMerge w:val="continue"/>
            <w:tcBorders>
              <w:top w:val="single" w:color="auto" w:sz="4" w:space="0"/>
              <w:left w:val="single" w:color="auto" w:sz="4" w:space="0"/>
              <w:bottom w:val="single" w:color="000000" w:sz="4" w:space="0"/>
              <w:right w:val="single" w:color="000000" w:sz="4" w:space="0"/>
            </w:tcBorders>
            <w:vAlign w:val="center"/>
          </w:tcPr>
          <w:p w14:paraId="24B40F15">
            <w:pPr>
              <w:widowControl/>
              <w:jc w:val="left"/>
              <w:rPr>
                <w:rFonts w:ascii="仿宋_GB2312" w:hAnsi="仿宋_GB2312" w:eastAsia="仿宋_GB2312" w:cs="仿宋_GB2312"/>
                <w:color w:val="000000"/>
                <w:sz w:val="24"/>
              </w:rPr>
            </w:pP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88889D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BD4320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300" w:type="dxa"/>
            <w:vMerge w:val="continue"/>
            <w:tcBorders>
              <w:top w:val="single" w:color="auto" w:sz="4" w:space="0"/>
              <w:left w:val="single" w:color="000000" w:sz="4" w:space="0"/>
              <w:bottom w:val="single" w:color="000000" w:sz="4" w:space="0"/>
              <w:right w:val="single" w:color="auto" w:sz="4" w:space="0"/>
            </w:tcBorders>
            <w:vAlign w:val="center"/>
          </w:tcPr>
          <w:p w14:paraId="713A37FC">
            <w:pPr>
              <w:widowControl/>
              <w:jc w:val="left"/>
              <w:rPr>
                <w:rFonts w:ascii="仿宋_GB2312" w:hAnsi="仿宋_GB2312" w:eastAsia="仿宋_GB2312" w:cs="仿宋_GB2312"/>
                <w:color w:val="000000"/>
                <w:sz w:val="24"/>
              </w:rPr>
            </w:pPr>
          </w:p>
        </w:tc>
        <w:tc>
          <w:tcPr>
            <w:tcW w:w="1841" w:type="dxa"/>
            <w:gridSpan w:val="3"/>
            <w:vMerge w:val="continue"/>
            <w:tcBorders>
              <w:top w:val="single" w:color="auto" w:sz="4" w:space="0"/>
              <w:left w:val="single" w:color="auto" w:sz="4" w:space="0"/>
              <w:bottom w:val="single" w:color="000000" w:sz="4" w:space="0"/>
              <w:right w:val="single" w:color="auto" w:sz="4" w:space="0"/>
            </w:tcBorders>
            <w:vAlign w:val="center"/>
          </w:tcPr>
          <w:p w14:paraId="77D29B95">
            <w:pPr>
              <w:widowControl/>
              <w:jc w:val="left"/>
              <w:rPr>
                <w:rFonts w:ascii="仿宋_GB2312" w:hAnsi="仿宋_GB2312" w:eastAsia="仿宋_GB2312" w:cs="仿宋_GB2312"/>
                <w:color w:val="000000"/>
                <w:sz w:val="24"/>
              </w:rPr>
            </w:pPr>
          </w:p>
        </w:tc>
        <w:tc>
          <w:tcPr>
            <w:tcW w:w="625" w:type="dxa"/>
            <w:vMerge w:val="continue"/>
            <w:tcBorders>
              <w:top w:val="single" w:color="auto" w:sz="4" w:space="0"/>
              <w:left w:val="single" w:color="auto" w:sz="4" w:space="0"/>
              <w:bottom w:val="single" w:color="000000" w:sz="4" w:space="0"/>
              <w:right w:val="single" w:color="000000" w:sz="4" w:space="0"/>
            </w:tcBorders>
            <w:vAlign w:val="center"/>
          </w:tcPr>
          <w:p w14:paraId="41908EEF">
            <w:pPr>
              <w:widowControl/>
              <w:jc w:val="left"/>
              <w:rPr>
                <w:rFonts w:ascii="仿宋_GB2312" w:hAnsi="仿宋_GB2312" w:eastAsia="仿宋_GB2312" w:cs="仿宋_GB2312"/>
                <w:color w:val="000000"/>
                <w:sz w:val="24"/>
              </w:rPr>
            </w:pPr>
          </w:p>
        </w:tc>
      </w:tr>
      <w:tr w14:paraId="01293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3C00B38">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九寨沟县总工会</w:t>
            </w:r>
            <w:r>
              <w:rPr>
                <w:rFonts w:hint="eastAsia" w:ascii="仿宋_GB2312" w:hAnsi="仿宋_GB2312" w:eastAsia="仿宋_GB2312" w:cs="仿宋_GB2312"/>
                <w:color w:val="000000"/>
                <w:sz w:val="24"/>
              </w:rPr>
              <w:t>汇总</w:t>
            </w: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1C993B9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534.76</w:t>
            </w: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044CC48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479.83</w:t>
            </w: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D2EC45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404.92</w:t>
            </w:r>
          </w:p>
          <w:p w14:paraId="4472F7FF">
            <w:pPr>
              <w:autoSpaceDN w:val="0"/>
              <w:spacing w:line="320" w:lineRule="exact"/>
              <w:textAlignment w:val="center"/>
              <w:rPr>
                <w:rFonts w:ascii="仿宋_GB2312" w:hAnsi="仿宋_GB2312" w:eastAsia="仿宋_GB2312" w:cs="仿宋_GB2312"/>
                <w:color w:val="000000"/>
                <w:sz w:val="24"/>
              </w:rPr>
            </w:pPr>
          </w:p>
        </w:tc>
        <w:tc>
          <w:tcPr>
            <w:tcW w:w="216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CB1096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7.81</w:t>
            </w:r>
          </w:p>
        </w:tc>
        <w:tc>
          <w:tcPr>
            <w:tcW w:w="1080" w:type="dxa"/>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B95191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44.83</w:t>
            </w:r>
          </w:p>
        </w:tc>
        <w:tc>
          <w:tcPr>
            <w:tcW w:w="720" w:type="dxa"/>
            <w:gridSpan w:val="3"/>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3A1AE4E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10.1</w:t>
            </w:r>
          </w:p>
        </w:tc>
        <w:tc>
          <w:tcPr>
            <w:tcW w:w="625" w:type="dxa"/>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5E1D29E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10.1</w:t>
            </w:r>
          </w:p>
        </w:tc>
      </w:tr>
      <w:tr w14:paraId="43D12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16FA66C">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1、九寨沟县总工会</w:t>
            </w: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48C05A5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498.53</w:t>
            </w: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358785C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453.7</w:t>
            </w: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24E011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381.89</w:t>
            </w:r>
          </w:p>
        </w:tc>
        <w:tc>
          <w:tcPr>
            <w:tcW w:w="216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A4053D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71.81</w:t>
            </w:r>
          </w:p>
        </w:tc>
        <w:tc>
          <w:tcPr>
            <w:tcW w:w="1080" w:type="dxa"/>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C8F5C7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44.83</w:t>
            </w:r>
          </w:p>
        </w:tc>
        <w:tc>
          <w:tcPr>
            <w:tcW w:w="720" w:type="dxa"/>
            <w:gridSpan w:val="3"/>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6DA9924C">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6A08928E">
            <w:pPr>
              <w:autoSpaceDN w:val="0"/>
              <w:spacing w:line="320" w:lineRule="exact"/>
              <w:jc w:val="center"/>
              <w:textAlignment w:val="center"/>
              <w:rPr>
                <w:rFonts w:ascii="仿宋_GB2312" w:hAnsi="仿宋_GB2312" w:eastAsia="仿宋_GB2312" w:cs="仿宋_GB2312"/>
                <w:color w:val="000000"/>
                <w:sz w:val="24"/>
              </w:rPr>
            </w:pPr>
          </w:p>
        </w:tc>
      </w:tr>
      <w:tr w14:paraId="2D84D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9E451A9">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2、九寨沟县青少年宫</w:t>
            </w: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2F620D0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26.13</w:t>
            </w: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6845CA0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26.13</w:t>
            </w: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476489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23.13</w:t>
            </w:r>
          </w:p>
        </w:tc>
        <w:tc>
          <w:tcPr>
            <w:tcW w:w="216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2DF7ED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w:t>
            </w:r>
          </w:p>
        </w:tc>
        <w:tc>
          <w:tcPr>
            <w:tcW w:w="1080" w:type="dxa"/>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57A872C">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71153FDD">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0E6893A6">
            <w:pPr>
              <w:autoSpaceDN w:val="0"/>
              <w:spacing w:line="320" w:lineRule="exact"/>
              <w:jc w:val="center"/>
              <w:textAlignment w:val="center"/>
              <w:rPr>
                <w:rFonts w:ascii="仿宋_GB2312" w:hAnsi="仿宋_GB2312" w:eastAsia="仿宋_GB2312" w:cs="仿宋_GB2312"/>
                <w:color w:val="000000"/>
                <w:sz w:val="24"/>
              </w:rPr>
            </w:pPr>
          </w:p>
        </w:tc>
      </w:tr>
      <w:tr w14:paraId="62EB4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8FB9C88">
            <w:pPr>
              <w:spacing w:line="320" w:lineRule="exact"/>
              <w:jc w:val="left"/>
              <w:rPr>
                <w:rFonts w:ascii="仿宋_GB2312" w:hAnsi="仿宋_GB2312" w:eastAsia="仿宋_GB2312" w:cs="仿宋_GB2312"/>
                <w:color w:val="000000"/>
                <w:sz w:val="24"/>
              </w:rPr>
            </w:pP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76D789D6">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3ADB9546">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0DB9809">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683DB1E">
            <w:pPr>
              <w:autoSpaceDN w:val="0"/>
              <w:spacing w:line="320" w:lineRule="exact"/>
              <w:jc w:val="center"/>
              <w:textAlignment w:val="center"/>
              <w:rPr>
                <w:rFonts w:ascii="仿宋_GB2312" w:hAnsi="仿宋_GB2312" w:eastAsia="仿宋_GB2312" w:cs="仿宋_GB2312"/>
                <w:color w:val="000000"/>
                <w:sz w:val="24"/>
              </w:rPr>
            </w:pPr>
          </w:p>
        </w:tc>
        <w:tc>
          <w:tcPr>
            <w:tcW w:w="1080" w:type="dxa"/>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3DD2834">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65975D46">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5E47399A">
            <w:pPr>
              <w:autoSpaceDN w:val="0"/>
              <w:spacing w:line="320" w:lineRule="exact"/>
              <w:jc w:val="center"/>
              <w:textAlignment w:val="center"/>
              <w:rPr>
                <w:rFonts w:ascii="仿宋_GB2312" w:hAnsi="仿宋_GB2312" w:eastAsia="仿宋_GB2312" w:cs="仿宋_GB2312"/>
                <w:color w:val="000000"/>
                <w:sz w:val="24"/>
              </w:rPr>
            </w:pPr>
          </w:p>
        </w:tc>
      </w:tr>
      <w:tr w14:paraId="036CA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700" w:type="dxa"/>
            <w:gridSpan w:val="3"/>
            <w:vMerge w:val="restart"/>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0046D21">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25E23A3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14:paraId="61F09AE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73F4C3B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54183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90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BC488F7">
            <w:pPr>
              <w:widowControl/>
              <w:jc w:val="left"/>
              <w:rPr>
                <w:rFonts w:ascii="仿宋_GB2312" w:hAnsi="仿宋_GB2312" w:eastAsia="仿宋_GB2312" w:cs="仿宋_GB2312"/>
                <w:sz w:val="24"/>
              </w:rPr>
            </w:pPr>
          </w:p>
        </w:tc>
        <w:tc>
          <w:tcPr>
            <w:tcW w:w="300" w:type="dxa"/>
            <w:vMerge w:val="continue"/>
            <w:tcBorders>
              <w:top w:val="single" w:color="000000" w:sz="4" w:space="0"/>
              <w:left w:val="single" w:color="000000" w:sz="4" w:space="0"/>
              <w:bottom w:val="single" w:color="000000" w:sz="4" w:space="0"/>
              <w:right w:val="single" w:color="auto" w:sz="4" w:space="0"/>
            </w:tcBorders>
            <w:vAlign w:val="center"/>
          </w:tcPr>
          <w:p w14:paraId="719D73CE">
            <w:pPr>
              <w:widowControl/>
              <w:jc w:val="left"/>
              <w:rPr>
                <w:rFonts w:ascii="仿宋_GB2312" w:hAnsi="仿宋_GB2312" w:eastAsia="仿宋_GB2312" w:cs="仿宋_GB2312"/>
                <w:color w:val="000000"/>
                <w:sz w:val="24"/>
              </w:rPr>
            </w:pP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6E81303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7C91E1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D85D95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8EBA4D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14:paraId="59BF0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8"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9505F0D">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九寨沟县总工会</w:t>
            </w:r>
            <w:r>
              <w:rPr>
                <w:rFonts w:hint="eastAsia" w:ascii="仿宋_GB2312" w:hAnsi="仿宋_GB2312" w:eastAsia="仿宋_GB2312" w:cs="仿宋_GB2312"/>
                <w:color w:val="000000"/>
                <w:sz w:val="24"/>
              </w:rPr>
              <w:t>汇总</w:t>
            </w: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72768FC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5.53</w:t>
            </w: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65075E8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00.94</w:t>
            </w: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2CF4BF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5.44</w:t>
            </w:r>
          </w:p>
        </w:tc>
        <w:tc>
          <w:tcPr>
            <w:tcW w:w="216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42D6090">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92ACA50">
            <w:pPr>
              <w:autoSpaceDN w:val="0"/>
              <w:spacing w:line="320" w:lineRule="exact"/>
              <w:jc w:val="center"/>
              <w:textAlignment w:val="center"/>
              <w:rPr>
                <w:rFonts w:ascii="仿宋_GB2312" w:hAnsi="仿宋_GB2312" w:eastAsia="仿宋_GB2312" w:cs="仿宋_GB2312"/>
                <w:color w:val="000000"/>
                <w:sz w:val="24"/>
              </w:rPr>
            </w:pPr>
          </w:p>
        </w:tc>
      </w:tr>
      <w:tr w14:paraId="58063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8C42D16">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1、九寨沟县总工会</w:t>
            </w: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44B98FB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4.6</w:t>
            </w: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6520A2C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0.94</w:t>
            </w: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7B36BD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4.6</w:t>
            </w:r>
          </w:p>
        </w:tc>
        <w:tc>
          <w:tcPr>
            <w:tcW w:w="216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DD9BF52">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206ECE3">
            <w:pPr>
              <w:autoSpaceDN w:val="0"/>
              <w:spacing w:line="320" w:lineRule="exact"/>
              <w:jc w:val="center"/>
              <w:textAlignment w:val="center"/>
              <w:rPr>
                <w:rFonts w:ascii="仿宋_GB2312" w:hAnsi="仿宋_GB2312" w:eastAsia="仿宋_GB2312" w:cs="仿宋_GB2312"/>
                <w:color w:val="000000"/>
                <w:sz w:val="24"/>
              </w:rPr>
            </w:pPr>
          </w:p>
        </w:tc>
      </w:tr>
      <w:tr w14:paraId="0C7D0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8B7C53D">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2、九寨沟县青少年宫</w:t>
            </w: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2D5B4F4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252DC457">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975DB31">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2DA37DF">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F8CAD77">
            <w:pPr>
              <w:autoSpaceDN w:val="0"/>
              <w:spacing w:line="320" w:lineRule="exact"/>
              <w:jc w:val="center"/>
              <w:textAlignment w:val="center"/>
              <w:rPr>
                <w:rFonts w:ascii="仿宋_GB2312" w:hAnsi="仿宋_GB2312" w:eastAsia="仿宋_GB2312" w:cs="仿宋_GB2312"/>
                <w:color w:val="000000"/>
                <w:sz w:val="24"/>
              </w:rPr>
            </w:pPr>
          </w:p>
        </w:tc>
      </w:tr>
      <w:tr w14:paraId="27C44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57EE58F">
            <w:pPr>
              <w:spacing w:line="320" w:lineRule="exact"/>
              <w:jc w:val="left"/>
              <w:rPr>
                <w:rFonts w:ascii="仿宋_GB2312" w:hAnsi="仿宋_GB2312" w:eastAsia="仿宋_GB2312" w:cs="仿宋_GB2312"/>
                <w:sz w:val="24"/>
              </w:rPr>
            </w:pP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19DF4847">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579DC727">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0BA216A">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4ACC820">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AF4148D">
            <w:pPr>
              <w:autoSpaceDN w:val="0"/>
              <w:spacing w:line="320" w:lineRule="exact"/>
              <w:jc w:val="center"/>
              <w:textAlignment w:val="center"/>
              <w:rPr>
                <w:rFonts w:ascii="仿宋_GB2312" w:hAnsi="仿宋_GB2312" w:eastAsia="仿宋_GB2312" w:cs="仿宋_GB2312"/>
                <w:color w:val="000000"/>
                <w:sz w:val="24"/>
              </w:rPr>
            </w:pPr>
          </w:p>
        </w:tc>
      </w:tr>
      <w:tr w14:paraId="6A43E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700" w:type="dxa"/>
            <w:gridSpan w:val="3"/>
            <w:vMerge w:val="restart"/>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A166157">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1B0E932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14:paraId="1D1BEA1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top w:val="single" w:color="000000" w:sz="4" w:space="0"/>
              <w:left w:val="single" w:color="auto" w:sz="4" w:space="0"/>
              <w:bottom w:val="single" w:color="000000" w:sz="4" w:space="0"/>
              <w:right w:val="single" w:color="auto" w:sz="4" w:space="0"/>
            </w:tcBorders>
            <w:tcMar>
              <w:top w:w="0" w:type="dxa"/>
              <w:left w:w="15" w:type="dxa"/>
              <w:bottom w:w="0" w:type="dxa"/>
              <w:right w:w="15" w:type="dxa"/>
            </w:tcMar>
            <w:vAlign w:val="center"/>
          </w:tcPr>
          <w:p w14:paraId="5ED80FE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1797673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14:paraId="25FFE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90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244DC52">
            <w:pPr>
              <w:widowControl/>
              <w:jc w:val="left"/>
              <w:rPr>
                <w:rFonts w:ascii="仿宋_GB2312" w:hAnsi="仿宋_GB2312" w:eastAsia="仿宋_GB2312" w:cs="仿宋_GB2312"/>
                <w:sz w:val="24"/>
              </w:rPr>
            </w:pPr>
          </w:p>
        </w:tc>
        <w:tc>
          <w:tcPr>
            <w:tcW w:w="300" w:type="dxa"/>
            <w:vMerge w:val="continue"/>
            <w:tcBorders>
              <w:top w:val="single" w:color="000000" w:sz="4" w:space="0"/>
              <w:left w:val="single" w:color="000000" w:sz="4" w:space="0"/>
              <w:bottom w:val="single" w:color="000000" w:sz="4" w:space="0"/>
              <w:right w:val="single" w:color="auto" w:sz="4" w:space="0"/>
            </w:tcBorders>
            <w:vAlign w:val="center"/>
          </w:tcPr>
          <w:p w14:paraId="385F5CED">
            <w:pPr>
              <w:widowControl/>
              <w:jc w:val="left"/>
              <w:rPr>
                <w:rFonts w:ascii="仿宋_GB2312" w:hAnsi="仿宋_GB2312" w:eastAsia="仿宋_GB2312" w:cs="仿宋_GB2312"/>
                <w:color w:val="000000"/>
                <w:sz w:val="24"/>
              </w:rPr>
            </w:pPr>
          </w:p>
        </w:tc>
        <w:tc>
          <w:tcPr>
            <w:tcW w:w="2435" w:type="dxa"/>
            <w:gridSpan w:val="4"/>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6284DCC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453166C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1866" w:type="dxa"/>
            <w:gridSpan w:val="2"/>
            <w:vMerge w:val="continue"/>
            <w:tcBorders>
              <w:top w:val="single" w:color="000000" w:sz="4" w:space="0"/>
              <w:left w:val="single" w:color="auto" w:sz="4" w:space="0"/>
              <w:bottom w:val="single" w:color="000000" w:sz="4" w:space="0"/>
              <w:right w:val="single" w:color="000000" w:sz="4" w:space="0"/>
            </w:tcBorders>
            <w:vAlign w:val="center"/>
          </w:tcPr>
          <w:p w14:paraId="5522E96D">
            <w:pPr>
              <w:widowControl/>
              <w:jc w:val="left"/>
              <w:rPr>
                <w:rFonts w:ascii="仿宋_GB2312" w:hAnsi="仿宋_GB2312" w:eastAsia="仿宋_GB2312" w:cs="仿宋_GB2312"/>
                <w:color w:val="000000"/>
                <w:sz w:val="24"/>
              </w:rPr>
            </w:pPr>
          </w:p>
        </w:tc>
      </w:tr>
      <w:tr w14:paraId="0218A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5"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64F6D24">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九寨沟县总工会汇总</w:t>
            </w: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07B3E39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144.72</w:t>
            </w:r>
          </w:p>
        </w:tc>
        <w:tc>
          <w:tcPr>
            <w:tcW w:w="2435" w:type="dxa"/>
            <w:gridSpan w:val="4"/>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42E0CF8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144.72        </w:t>
            </w:r>
          </w:p>
        </w:tc>
        <w:tc>
          <w:tcPr>
            <w:tcW w:w="3644" w:type="dxa"/>
            <w:gridSpan w:val="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67D29D3">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8EF35E2">
            <w:pPr>
              <w:autoSpaceDN w:val="0"/>
              <w:spacing w:line="320" w:lineRule="exact"/>
              <w:jc w:val="center"/>
              <w:textAlignment w:val="center"/>
              <w:rPr>
                <w:rFonts w:ascii="仿宋_GB2312" w:hAnsi="仿宋_GB2312" w:eastAsia="仿宋_GB2312" w:cs="仿宋_GB2312"/>
                <w:color w:val="000000"/>
                <w:sz w:val="24"/>
              </w:rPr>
            </w:pPr>
          </w:p>
        </w:tc>
      </w:tr>
      <w:tr w14:paraId="00EA5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0D3CFA1">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1、九寨沟县总工会</w:t>
            </w: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7411AB0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144.72</w:t>
            </w:r>
          </w:p>
        </w:tc>
        <w:tc>
          <w:tcPr>
            <w:tcW w:w="2435" w:type="dxa"/>
            <w:gridSpan w:val="4"/>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66C642B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144.72</w:t>
            </w:r>
          </w:p>
        </w:tc>
        <w:tc>
          <w:tcPr>
            <w:tcW w:w="3644" w:type="dxa"/>
            <w:gridSpan w:val="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1B1ABB7">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EC421A3">
            <w:pPr>
              <w:autoSpaceDN w:val="0"/>
              <w:spacing w:line="320" w:lineRule="exact"/>
              <w:jc w:val="center"/>
              <w:textAlignment w:val="center"/>
              <w:rPr>
                <w:rFonts w:ascii="仿宋_GB2312" w:hAnsi="仿宋_GB2312" w:eastAsia="仿宋_GB2312" w:cs="仿宋_GB2312"/>
                <w:color w:val="000000"/>
                <w:sz w:val="24"/>
              </w:rPr>
            </w:pPr>
          </w:p>
        </w:tc>
      </w:tr>
      <w:tr w14:paraId="2FCCB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EC1DFA6">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2、九寨沟县青少年宫</w:t>
            </w: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190D32C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35" w:type="dxa"/>
            <w:gridSpan w:val="4"/>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0326816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3644" w:type="dxa"/>
            <w:gridSpan w:val="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9E54A62">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E44525B">
            <w:pPr>
              <w:autoSpaceDN w:val="0"/>
              <w:spacing w:line="320" w:lineRule="exact"/>
              <w:jc w:val="center"/>
              <w:textAlignment w:val="center"/>
              <w:rPr>
                <w:rFonts w:ascii="仿宋_GB2312" w:hAnsi="仿宋_GB2312" w:eastAsia="仿宋_GB2312" w:cs="仿宋_GB2312"/>
                <w:color w:val="000000"/>
                <w:sz w:val="24"/>
              </w:rPr>
            </w:pPr>
          </w:p>
        </w:tc>
      </w:tr>
      <w:tr w14:paraId="0E874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1C479BE">
            <w:pPr>
              <w:spacing w:line="320" w:lineRule="exact"/>
              <w:jc w:val="left"/>
              <w:rPr>
                <w:rFonts w:ascii="仿宋_GB2312" w:hAnsi="仿宋_GB2312" w:eastAsia="仿宋_GB2312" w:cs="仿宋_GB2312"/>
                <w:sz w:val="24"/>
              </w:rPr>
            </w:pPr>
          </w:p>
        </w:tc>
        <w:tc>
          <w:tcPr>
            <w:tcW w:w="1080" w:type="dxa"/>
            <w:tcBorders>
              <w:top w:val="single" w:color="000000" w:sz="4" w:space="0"/>
              <w:left w:val="single" w:color="000000" w:sz="4" w:space="0"/>
              <w:bottom w:val="single" w:color="000000" w:sz="4" w:space="0"/>
              <w:right w:val="single" w:color="auto" w:sz="4" w:space="0"/>
            </w:tcBorders>
            <w:tcMar>
              <w:top w:w="0" w:type="dxa"/>
              <w:left w:w="15" w:type="dxa"/>
              <w:bottom w:w="0" w:type="dxa"/>
              <w:right w:w="15" w:type="dxa"/>
            </w:tcMar>
            <w:vAlign w:val="center"/>
          </w:tcPr>
          <w:p w14:paraId="24B5AF98">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top w:val="single" w:color="000000" w:sz="4" w:space="0"/>
              <w:left w:val="single" w:color="auto" w:sz="4" w:space="0"/>
              <w:bottom w:val="single" w:color="000000" w:sz="4" w:space="0"/>
              <w:right w:val="single" w:color="000000" w:sz="4" w:space="0"/>
            </w:tcBorders>
            <w:tcMar>
              <w:top w:w="0" w:type="dxa"/>
              <w:left w:w="15" w:type="dxa"/>
              <w:bottom w:w="0" w:type="dxa"/>
              <w:right w:w="15" w:type="dxa"/>
            </w:tcMar>
            <w:vAlign w:val="center"/>
          </w:tcPr>
          <w:p w14:paraId="647CE772">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F1A7653">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2122664">
            <w:pPr>
              <w:autoSpaceDN w:val="0"/>
              <w:spacing w:line="320" w:lineRule="exact"/>
              <w:jc w:val="center"/>
              <w:textAlignment w:val="center"/>
              <w:rPr>
                <w:rFonts w:ascii="仿宋_GB2312" w:hAnsi="仿宋_GB2312" w:eastAsia="仿宋_GB2312" w:cs="仿宋_GB2312"/>
                <w:color w:val="000000"/>
                <w:sz w:val="24"/>
              </w:rPr>
            </w:pPr>
          </w:p>
        </w:tc>
      </w:tr>
      <w:tr w14:paraId="0C02A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646FDFA">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14:paraId="06765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41" w:type="dxa"/>
            <w:vMerge w:val="restart"/>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C8E76B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74230A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0379D6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14:paraId="737D9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2"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68B74215">
            <w:pPr>
              <w:widowControl/>
              <w:jc w:val="left"/>
              <w:rPr>
                <w:rFonts w:ascii="仿宋_GB2312" w:hAnsi="仿宋_GB2312" w:eastAsia="仿宋_GB2312" w:cs="仿宋_GB2312"/>
                <w:color w:val="000000"/>
                <w:sz w:val="24"/>
              </w:rPr>
            </w:pPr>
          </w:p>
        </w:tc>
        <w:tc>
          <w:tcPr>
            <w:tcW w:w="3774" w:type="dxa"/>
            <w:gridSpan w:val="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0CCB4BC">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ascii="仿宋_GB2312" w:hAnsi="黑体" w:eastAsia="仿宋_GB2312"/>
                <w:sz w:val="24"/>
              </w:rPr>
              <w:t>基层组织建设</w:t>
            </w:r>
          </w:p>
          <w:p w14:paraId="750F3886">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eastAsia="仿宋_GB2312"/>
                <w:sz w:val="24"/>
              </w:rPr>
              <w:t>工资集体协商工作进一步推进</w:t>
            </w:r>
          </w:p>
          <w:p w14:paraId="01EC596D">
            <w:pPr>
              <w:autoSpaceDN w:val="0"/>
              <w:spacing w:line="320" w:lineRule="exact"/>
              <w:jc w:val="left"/>
              <w:textAlignment w:val="center"/>
              <w:rPr>
                <w:rFonts w:ascii="仿宋_GB2312" w:eastAsia="仿宋_GB2312"/>
                <w:bCs/>
                <w:sz w:val="24"/>
              </w:rPr>
            </w:pPr>
            <w:r>
              <w:rPr>
                <w:rFonts w:hint="eastAsia" w:ascii="仿宋_GB2312" w:hAnsi="仿宋_GB2312" w:eastAsia="仿宋_GB2312" w:cs="仿宋_GB2312"/>
                <w:color w:val="000000"/>
                <w:sz w:val="24"/>
              </w:rPr>
              <w:t>目标3：</w:t>
            </w:r>
            <w:r>
              <w:rPr>
                <w:rFonts w:hint="eastAsia" w:ascii="仿宋_GB2312" w:eastAsia="仿宋_GB2312"/>
                <w:bCs/>
                <w:sz w:val="24"/>
              </w:rPr>
              <w:t>扎实开展4个乡镇“职工之家”建设活动</w:t>
            </w:r>
          </w:p>
          <w:p w14:paraId="6999612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目标4：完成各项目标责任</w:t>
            </w:r>
          </w:p>
          <w:p w14:paraId="48279E95">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目标5：按要求完成精准扶贫工作</w:t>
            </w:r>
          </w:p>
          <w:p w14:paraId="491A5B66">
            <w:pPr>
              <w:autoSpaceDN w:val="0"/>
              <w:spacing w:line="320" w:lineRule="exact"/>
              <w:jc w:val="left"/>
              <w:textAlignment w:val="center"/>
              <w:rPr>
                <w:rFonts w:ascii="仿宋_GB2312" w:hAnsi="仿宋_GB2312" w:eastAsia="仿宋_GB2312" w:cs="仿宋_GB2312"/>
                <w:b/>
                <w:bCs/>
                <w:color w:val="000000"/>
                <w:sz w:val="24"/>
              </w:rPr>
            </w:pPr>
            <w:r>
              <w:rPr>
                <w:rFonts w:hint="eastAsia" w:ascii="仿宋_GB2312" w:hAnsi="仿宋_GB2312" w:eastAsia="仿宋_GB2312" w:cs="仿宋_GB2312"/>
                <w:color w:val="000000"/>
                <w:sz w:val="24"/>
              </w:rPr>
              <w:t>目标6：完成县委、政府安排的各项工作。</w:t>
            </w:r>
          </w:p>
        </w:tc>
        <w:tc>
          <w:tcPr>
            <w:tcW w:w="4585" w:type="dxa"/>
            <w:gridSpan w:val="9"/>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E70B8FF">
            <w:pPr>
              <w:numPr>
                <w:ilvl w:val="0"/>
                <w:numId w:val="7"/>
              </w:numPr>
              <w:autoSpaceDN w:val="0"/>
              <w:spacing w:line="320" w:lineRule="exact"/>
              <w:jc w:val="left"/>
              <w:textAlignment w:val="center"/>
              <w:rPr>
                <w:rFonts w:ascii="仿宋_GB2312" w:eastAsia="仿宋_GB2312"/>
                <w:sz w:val="24"/>
              </w:rPr>
            </w:pPr>
            <w:r>
              <w:rPr>
                <w:rFonts w:hint="eastAsia" w:ascii="仿宋_GB2312" w:eastAsia="仿宋_GB2312"/>
                <w:sz w:val="24"/>
              </w:rPr>
              <w:t>完成建会工作80%</w:t>
            </w:r>
          </w:p>
          <w:p w14:paraId="5AFEDAB8">
            <w:pPr>
              <w:numPr>
                <w:ilvl w:val="0"/>
                <w:numId w:val="7"/>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eastAsia="仿宋_GB2312"/>
                <w:sz w:val="24"/>
              </w:rPr>
              <w:t>指导100个正常经营的企业签订工资集体协商协议59份，涵盖职工总计2650人</w:t>
            </w:r>
            <w:r>
              <w:rPr>
                <w:rFonts w:hint="eastAsia" w:ascii="仿宋_GB2312" w:hAnsi="仿宋_GB2312" w:eastAsia="仿宋_GB2312" w:cs="仿宋_GB2312"/>
                <w:color w:val="000000"/>
                <w:sz w:val="24"/>
              </w:rPr>
              <w:t>按照</w:t>
            </w:r>
          </w:p>
          <w:p w14:paraId="699BC921">
            <w:pPr>
              <w:autoSpaceDN w:val="0"/>
              <w:spacing w:line="320" w:lineRule="exact"/>
              <w:jc w:val="left"/>
              <w:textAlignment w:val="center"/>
              <w:rPr>
                <w:rFonts w:ascii="仿宋_GB2312" w:eastAsia="仿宋_GB2312"/>
                <w:bCs/>
                <w:sz w:val="24"/>
              </w:rPr>
            </w:pPr>
            <w:r>
              <w:rPr>
                <w:rFonts w:hint="eastAsia" w:ascii="仿宋_GB2312" w:hAnsi="仿宋_GB2312" w:eastAsia="仿宋_GB2312" w:cs="仿宋_GB2312"/>
                <w:color w:val="000000"/>
                <w:sz w:val="24"/>
              </w:rPr>
              <w:t>3、完成4个</w:t>
            </w:r>
            <w:r>
              <w:rPr>
                <w:rFonts w:hint="eastAsia" w:ascii="仿宋_GB2312" w:eastAsia="仿宋_GB2312"/>
                <w:bCs/>
                <w:sz w:val="24"/>
              </w:rPr>
              <w:t>乡镇“职工之家”建设活动</w:t>
            </w:r>
          </w:p>
          <w:p w14:paraId="2B666C23">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4、按照要求完成“四季送”活动</w:t>
            </w:r>
          </w:p>
          <w:p w14:paraId="0F15EC84">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5、根据安排完成县委、政府安排的各项工作。</w:t>
            </w:r>
          </w:p>
        </w:tc>
      </w:tr>
      <w:tr w14:paraId="2882A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441" w:type="dxa"/>
            <w:vMerge w:val="restart"/>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6EF277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14:paraId="3A0532B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DB465F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FF2FD8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EFF570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14:paraId="7C0F2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0CC56DFF">
            <w:pPr>
              <w:widowControl/>
              <w:jc w:val="left"/>
              <w:rPr>
                <w:rFonts w:ascii="仿宋_GB2312" w:hAnsi="仿宋_GB2312" w:eastAsia="仿宋_GB2312" w:cs="仿宋_GB2312"/>
                <w:color w:val="000000"/>
                <w:sz w:val="24"/>
              </w:rPr>
            </w:pPr>
          </w:p>
        </w:tc>
        <w:tc>
          <w:tcPr>
            <w:tcW w:w="1549" w:type="dxa"/>
            <w:gridSpan w:val="4"/>
            <w:vMerge w:val="restart"/>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EE33ED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14:paraId="0FC9887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（部门工作实绩，包含上级部门和市委市政府布置的重点工作、实事任务等，根据部门实际进行调整细化）</w:t>
            </w:r>
          </w:p>
        </w:tc>
        <w:tc>
          <w:tcPr>
            <w:tcW w:w="1417" w:type="dxa"/>
            <w:gridSpan w:val="2"/>
            <w:vMerge w:val="restart"/>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C5CD2A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A202037">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三公经费控制率</w:t>
            </w: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92D7335">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613FB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19309452">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4AA42D9A">
            <w:pPr>
              <w:widowControl/>
              <w:jc w:val="left"/>
              <w:rPr>
                <w:rFonts w:ascii="仿宋_GB2312" w:hAnsi="仿宋_GB2312" w:eastAsia="仿宋_GB2312" w:cs="仿宋_GB2312"/>
                <w:color w:val="000000"/>
                <w:sz w:val="24"/>
              </w:rPr>
            </w:pPr>
          </w:p>
        </w:tc>
        <w:tc>
          <w:tcPr>
            <w:tcW w:w="6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B458ECE">
            <w:pPr>
              <w:widowControl/>
              <w:jc w:val="left"/>
              <w:rPr>
                <w:rFonts w:ascii="仿宋_GB2312" w:hAnsi="仿宋_GB2312" w:eastAsia="仿宋_GB2312" w:cs="仿宋_GB2312"/>
                <w:color w:val="000000"/>
                <w:sz w:val="24"/>
              </w:rPr>
            </w:pP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4E68D39">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指标2：政府采购执行率</w:t>
            </w: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577A605">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5E7E0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4E62E679">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4F2A893B">
            <w:pPr>
              <w:widowControl/>
              <w:jc w:val="left"/>
              <w:rPr>
                <w:rFonts w:ascii="仿宋_GB2312" w:hAnsi="仿宋_GB2312" w:eastAsia="仿宋_GB2312" w:cs="仿宋_GB2312"/>
                <w:color w:val="000000"/>
                <w:sz w:val="24"/>
              </w:rPr>
            </w:pPr>
          </w:p>
        </w:tc>
        <w:tc>
          <w:tcPr>
            <w:tcW w:w="6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E7B331">
            <w:pPr>
              <w:widowControl/>
              <w:jc w:val="left"/>
              <w:rPr>
                <w:rFonts w:ascii="仿宋_GB2312" w:hAnsi="仿宋_GB2312" w:eastAsia="仿宋_GB2312" w:cs="仿宋_GB2312"/>
                <w:color w:val="000000"/>
                <w:sz w:val="24"/>
              </w:rPr>
            </w:pP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134B583">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 各项经济指标完成率</w:t>
            </w: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9A51B24">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0FDF5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58CD8E28">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2F116C1E">
            <w:pPr>
              <w:widowControl/>
              <w:jc w:val="left"/>
              <w:rPr>
                <w:rFonts w:ascii="仿宋_GB2312" w:hAnsi="仿宋_GB2312" w:eastAsia="仿宋_GB2312" w:cs="仿宋_GB2312"/>
                <w:color w:val="000000"/>
                <w:sz w:val="24"/>
              </w:rPr>
            </w:pPr>
          </w:p>
        </w:tc>
        <w:tc>
          <w:tcPr>
            <w:tcW w:w="1417" w:type="dxa"/>
            <w:gridSpan w:val="2"/>
            <w:vMerge w:val="restart"/>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2A32DE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27D0F8E">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指标1：财政供养人员控制率</w:t>
            </w: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8664552">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40411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06EE2695">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7427F223">
            <w:pPr>
              <w:widowControl/>
              <w:jc w:val="left"/>
              <w:rPr>
                <w:rFonts w:ascii="仿宋_GB2312" w:hAnsi="仿宋_GB2312" w:eastAsia="仿宋_GB2312" w:cs="仿宋_GB2312"/>
                <w:color w:val="000000"/>
                <w:sz w:val="24"/>
              </w:rPr>
            </w:pPr>
          </w:p>
        </w:tc>
        <w:tc>
          <w:tcPr>
            <w:tcW w:w="6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6803EAA">
            <w:pPr>
              <w:widowControl/>
              <w:jc w:val="left"/>
              <w:rPr>
                <w:rFonts w:ascii="仿宋_GB2312" w:hAnsi="仿宋_GB2312" w:eastAsia="仿宋_GB2312" w:cs="仿宋_GB2312"/>
                <w:color w:val="000000"/>
                <w:sz w:val="24"/>
              </w:rPr>
            </w:pP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561D8F1">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eastAsia="仿宋_GB2312"/>
                <w:sz w:val="24"/>
              </w:rPr>
              <w:t>做好建档城镇困难职工脱困解困工作</w:t>
            </w:r>
          </w:p>
          <w:p w14:paraId="36A151AF">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8413805">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4D7FC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1BCC2DDD">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724D49C1">
            <w:pPr>
              <w:widowControl/>
              <w:jc w:val="left"/>
              <w:rPr>
                <w:rFonts w:ascii="仿宋_GB2312" w:hAnsi="仿宋_GB2312" w:eastAsia="仿宋_GB2312" w:cs="仿宋_GB2312"/>
                <w:color w:val="000000"/>
                <w:sz w:val="24"/>
              </w:rPr>
            </w:pPr>
          </w:p>
        </w:tc>
        <w:tc>
          <w:tcPr>
            <w:tcW w:w="6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B9D8E2">
            <w:pPr>
              <w:widowControl/>
              <w:jc w:val="left"/>
              <w:rPr>
                <w:rFonts w:ascii="仿宋_GB2312" w:hAnsi="仿宋_GB2312" w:eastAsia="仿宋_GB2312" w:cs="仿宋_GB2312"/>
                <w:color w:val="000000"/>
                <w:sz w:val="24"/>
              </w:rPr>
            </w:pP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DA9D5F3">
            <w:pPr>
              <w:autoSpaceDN w:val="0"/>
              <w:spacing w:line="320" w:lineRule="exact"/>
              <w:jc w:val="left"/>
              <w:textAlignment w:val="center"/>
              <w:rPr>
                <w:rFonts w:ascii="仿宋_GB2312" w:eastAsia="仿宋_GB2312"/>
                <w:bCs/>
                <w:sz w:val="24"/>
              </w:rPr>
            </w:pPr>
            <w:r>
              <w:rPr>
                <w:rFonts w:hint="eastAsia" w:ascii="仿宋_GB2312" w:hAnsi="仿宋_GB2312" w:eastAsia="仿宋_GB2312" w:cs="仿宋_GB2312"/>
                <w:color w:val="000000"/>
                <w:sz w:val="24"/>
              </w:rPr>
              <w:t>指标3：完成</w:t>
            </w:r>
            <w:r>
              <w:rPr>
                <w:rFonts w:hint="eastAsia" w:ascii="仿宋_GB2312" w:eastAsia="仿宋_GB2312"/>
                <w:bCs/>
                <w:sz w:val="24"/>
              </w:rPr>
              <w:t>4个乡镇“职工之家”建设活动</w:t>
            </w:r>
          </w:p>
          <w:p w14:paraId="2B2E9BC9">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A5F253D">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1B231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000F2138">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3B6A705B">
            <w:pPr>
              <w:widowControl/>
              <w:jc w:val="left"/>
              <w:rPr>
                <w:rFonts w:ascii="仿宋_GB2312" w:hAnsi="仿宋_GB2312" w:eastAsia="仿宋_GB2312" w:cs="仿宋_GB2312"/>
                <w:color w:val="000000"/>
                <w:sz w:val="24"/>
              </w:rPr>
            </w:pPr>
          </w:p>
        </w:tc>
        <w:tc>
          <w:tcPr>
            <w:tcW w:w="1417" w:type="dxa"/>
            <w:gridSpan w:val="2"/>
            <w:vMerge w:val="restart"/>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4A7418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B8A0917">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规定时间内完成工作率</w:t>
            </w: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97DF033">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4CFFF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692C24A4">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16879D68">
            <w:pPr>
              <w:widowControl/>
              <w:jc w:val="left"/>
              <w:rPr>
                <w:rFonts w:ascii="仿宋_GB2312" w:hAnsi="仿宋_GB2312" w:eastAsia="仿宋_GB2312" w:cs="仿宋_GB2312"/>
                <w:color w:val="000000"/>
                <w:sz w:val="24"/>
              </w:rPr>
            </w:pPr>
          </w:p>
        </w:tc>
        <w:tc>
          <w:tcPr>
            <w:tcW w:w="6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C05D23D">
            <w:pPr>
              <w:widowControl/>
              <w:jc w:val="left"/>
              <w:rPr>
                <w:rFonts w:ascii="仿宋_GB2312" w:hAnsi="仿宋_GB2312" w:eastAsia="仿宋_GB2312" w:cs="仿宋_GB2312"/>
                <w:color w:val="000000"/>
                <w:sz w:val="24"/>
              </w:rPr>
            </w:pP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D7E10A6">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362A01A">
            <w:pPr>
              <w:autoSpaceDN w:val="0"/>
              <w:spacing w:line="320" w:lineRule="exact"/>
              <w:jc w:val="center"/>
              <w:textAlignment w:val="center"/>
              <w:rPr>
                <w:rFonts w:ascii="仿宋_GB2312" w:hAnsi="仿宋_GB2312" w:eastAsia="仿宋_GB2312" w:cs="仿宋_GB2312"/>
                <w:b/>
                <w:color w:val="000000"/>
                <w:sz w:val="24"/>
              </w:rPr>
            </w:pPr>
          </w:p>
        </w:tc>
      </w:tr>
      <w:tr w14:paraId="76373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45A07339">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175EE301">
            <w:pPr>
              <w:widowControl/>
              <w:jc w:val="left"/>
              <w:rPr>
                <w:rFonts w:ascii="仿宋_GB2312" w:hAnsi="仿宋_GB2312" w:eastAsia="仿宋_GB2312" w:cs="仿宋_GB2312"/>
                <w:color w:val="000000"/>
                <w:sz w:val="24"/>
              </w:rPr>
            </w:pPr>
          </w:p>
        </w:tc>
        <w:tc>
          <w:tcPr>
            <w:tcW w:w="6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8AED76">
            <w:pPr>
              <w:widowControl/>
              <w:jc w:val="left"/>
              <w:rPr>
                <w:rFonts w:ascii="仿宋_GB2312" w:hAnsi="仿宋_GB2312" w:eastAsia="仿宋_GB2312" w:cs="仿宋_GB2312"/>
                <w:color w:val="000000"/>
                <w:sz w:val="24"/>
              </w:rPr>
            </w:pP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BF62DAC">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548E375">
            <w:pPr>
              <w:autoSpaceDN w:val="0"/>
              <w:spacing w:line="320" w:lineRule="exact"/>
              <w:jc w:val="center"/>
              <w:textAlignment w:val="center"/>
              <w:rPr>
                <w:rFonts w:ascii="仿宋_GB2312" w:hAnsi="仿宋_GB2312" w:eastAsia="仿宋_GB2312" w:cs="仿宋_GB2312"/>
                <w:b/>
                <w:color w:val="000000"/>
                <w:sz w:val="24"/>
              </w:rPr>
            </w:pPr>
          </w:p>
        </w:tc>
      </w:tr>
      <w:tr w14:paraId="419A3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054E0F55">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348808AA">
            <w:pPr>
              <w:widowControl/>
              <w:jc w:val="left"/>
              <w:rPr>
                <w:rFonts w:ascii="仿宋_GB2312" w:hAnsi="仿宋_GB2312" w:eastAsia="仿宋_GB2312" w:cs="仿宋_GB2312"/>
                <w:color w:val="000000"/>
                <w:sz w:val="24"/>
              </w:rPr>
            </w:pPr>
          </w:p>
        </w:tc>
        <w:tc>
          <w:tcPr>
            <w:tcW w:w="1417" w:type="dxa"/>
            <w:gridSpan w:val="2"/>
            <w:vMerge w:val="restart"/>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5F68C7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C3E211D">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指标1：固定资产利用率</w:t>
            </w: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F3D69AD">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54607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0E915247">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6E79917D">
            <w:pPr>
              <w:widowControl/>
              <w:jc w:val="left"/>
              <w:rPr>
                <w:rFonts w:ascii="仿宋_GB2312" w:hAnsi="仿宋_GB2312" w:eastAsia="仿宋_GB2312" w:cs="仿宋_GB2312"/>
                <w:color w:val="000000"/>
                <w:sz w:val="24"/>
              </w:rPr>
            </w:pPr>
          </w:p>
        </w:tc>
        <w:tc>
          <w:tcPr>
            <w:tcW w:w="6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8238CA">
            <w:pPr>
              <w:widowControl/>
              <w:jc w:val="left"/>
              <w:rPr>
                <w:rFonts w:ascii="仿宋_GB2312" w:hAnsi="仿宋_GB2312" w:eastAsia="仿宋_GB2312" w:cs="仿宋_GB2312"/>
                <w:color w:val="000000"/>
                <w:sz w:val="24"/>
              </w:rPr>
            </w:pP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BA7A706">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指标2：人员经费支付率</w:t>
            </w: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061CA64">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57FA0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48D2C534">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6620A970">
            <w:pPr>
              <w:widowControl/>
              <w:jc w:val="left"/>
              <w:rPr>
                <w:rFonts w:ascii="仿宋_GB2312" w:hAnsi="仿宋_GB2312" w:eastAsia="仿宋_GB2312" w:cs="仿宋_GB2312"/>
                <w:color w:val="000000"/>
                <w:sz w:val="24"/>
              </w:rPr>
            </w:pPr>
          </w:p>
        </w:tc>
        <w:tc>
          <w:tcPr>
            <w:tcW w:w="6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315ECE6">
            <w:pPr>
              <w:widowControl/>
              <w:jc w:val="left"/>
              <w:rPr>
                <w:rFonts w:ascii="仿宋_GB2312" w:hAnsi="仿宋_GB2312" w:eastAsia="仿宋_GB2312" w:cs="仿宋_GB2312"/>
                <w:color w:val="000000"/>
                <w:sz w:val="24"/>
              </w:rPr>
            </w:pP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08C6D69">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指标3：整体支出绩效目标</w:t>
            </w: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B03AA05">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71004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16B4F615">
            <w:pPr>
              <w:widowControl/>
              <w:jc w:val="left"/>
              <w:rPr>
                <w:rFonts w:ascii="仿宋_GB2312" w:hAnsi="仿宋_GB2312" w:eastAsia="仿宋_GB2312" w:cs="仿宋_GB2312"/>
                <w:color w:val="000000"/>
                <w:sz w:val="24"/>
              </w:rPr>
            </w:pPr>
          </w:p>
        </w:tc>
        <w:tc>
          <w:tcPr>
            <w:tcW w:w="1549" w:type="dxa"/>
            <w:gridSpan w:val="4"/>
            <w:vMerge w:val="restart"/>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09DB93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14:paraId="43E85E3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AA2F9F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E106517">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做好困难职工帮扶工作。</w:t>
            </w: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BA77F89">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效益明显</w:t>
            </w:r>
          </w:p>
        </w:tc>
      </w:tr>
      <w:tr w14:paraId="46107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39FC5408">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1EDF08B7">
            <w:pPr>
              <w:widowControl/>
              <w:jc w:val="left"/>
              <w:rPr>
                <w:rFonts w:ascii="仿宋_GB2312" w:hAnsi="仿宋_GB2312" w:eastAsia="仿宋_GB2312" w:cs="仿宋_GB2312"/>
                <w:color w:val="000000"/>
                <w:sz w:val="24"/>
              </w:rPr>
            </w:pP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B19B3C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D825C25">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解决乡镇职工之家建设资金</w:t>
            </w: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4571D29">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效益明显</w:t>
            </w:r>
          </w:p>
        </w:tc>
      </w:tr>
      <w:tr w14:paraId="472D9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570C6692">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0E9B95B7">
            <w:pPr>
              <w:widowControl/>
              <w:jc w:val="left"/>
              <w:rPr>
                <w:rFonts w:ascii="仿宋_GB2312" w:hAnsi="仿宋_GB2312" w:eastAsia="仿宋_GB2312" w:cs="仿宋_GB2312"/>
                <w:color w:val="000000"/>
                <w:sz w:val="24"/>
              </w:rPr>
            </w:pP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FE2664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E8D4CAF">
            <w:pPr>
              <w:autoSpaceDN w:val="0"/>
              <w:spacing w:line="320" w:lineRule="exact"/>
              <w:ind w:firstLine="420" w:firstLineChars="200"/>
              <w:jc w:val="left"/>
              <w:textAlignment w:val="center"/>
              <w:rPr>
                <w:rFonts w:ascii="仿宋_GB2312" w:hAnsi="仿宋_GB2312" w:eastAsia="仿宋_GB2312" w:cs="仿宋_GB2312"/>
                <w:color w:val="000000"/>
                <w:sz w:val="24"/>
              </w:rPr>
            </w:pPr>
            <w:r>
              <w:rPr>
                <w:rFonts w:hint="eastAsia" w:ascii="仿宋_GB2312" w:eastAsia="仿宋_GB2312"/>
                <w:color w:val="000000"/>
                <w:szCs w:val="21"/>
                <w:shd w:val="clear" w:color="auto" w:fill="FFFFFF"/>
              </w:rPr>
              <w:t>强基固本、切实加强干部队伍建设、通过宣传</w:t>
            </w:r>
            <w:r>
              <w:rPr>
                <w:rFonts w:hint="eastAsia" w:ascii="仿宋_GB2312" w:hAnsi="仿宋_GB2312" w:eastAsia="仿宋_GB2312" w:cs="仿宋_GB2312"/>
                <w:color w:val="000000"/>
                <w:sz w:val="24"/>
              </w:rPr>
              <w:t>让广大职工树立生态意识</w:t>
            </w: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0CCB3C7">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效益明显</w:t>
            </w:r>
          </w:p>
        </w:tc>
      </w:tr>
      <w:tr w14:paraId="3742E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0" w:type="dxa"/>
            <w:vMerge w:val="continue"/>
            <w:tcBorders>
              <w:top w:val="single" w:color="000000" w:sz="4" w:space="0"/>
              <w:left w:val="single" w:color="000000" w:sz="4" w:space="0"/>
              <w:bottom w:val="single" w:color="000000" w:sz="4" w:space="0"/>
              <w:right w:val="single" w:color="000000" w:sz="4" w:space="0"/>
            </w:tcBorders>
            <w:vAlign w:val="center"/>
          </w:tcPr>
          <w:p w14:paraId="52814AD2">
            <w:pPr>
              <w:widowControl/>
              <w:jc w:val="left"/>
              <w:rPr>
                <w:rFonts w:ascii="仿宋_GB2312" w:hAnsi="仿宋_GB2312" w:eastAsia="仿宋_GB2312" w:cs="仿宋_GB2312"/>
                <w:color w:val="000000"/>
                <w:sz w:val="24"/>
              </w:rPr>
            </w:pPr>
          </w:p>
        </w:tc>
        <w:tc>
          <w:tcPr>
            <w:tcW w:w="1200"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5FF1AAD1">
            <w:pPr>
              <w:widowControl/>
              <w:jc w:val="left"/>
              <w:rPr>
                <w:rFonts w:ascii="仿宋_GB2312" w:hAnsi="仿宋_GB2312" w:eastAsia="仿宋_GB2312" w:cs="仿宋_GB2312"/>
                <w:color w:val="000000"/>
                <w:sz w:val="24"/>
              </w:rPr>
            </w:pPr>
          </w:p>
        </w:tc>
        <w:tc>
          <w:tcPr>
            <w:tcW w:w="1417"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5AE2A0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67A5BD9">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困难职工对帮扶工作满意</w:t>
            </w:r>
          </w:p>
        </w:tc>
        <w:tc>
          <w:tcPr>
            <w:tcW w:w="2684"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CD2E78D">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效益明显</w:t>
            </w:r>
          </w:p>
        </w:tc>
      </w:tr>
      <w:tr w14:paraId="5D4C6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1C0DC19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4A4F06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98</w:t>
            </w:r>
          </w:p>
        </w:tc>
      </w:tr>
      <w:tr w14:paraId="0E67A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DDD7A1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6E0220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14:paraId="27839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86BE96C">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14:paraId="6AA55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C2C97C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C8BBBD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62FFC6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A0CEEC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14:paraId="2A29E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BAAC50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侯红荣</w:t>
            </w:r>
          </w:p>
        </w:tc>
        <w:tc>
          <w:tcPr>
            <w:tcW w:w="3561"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942BAD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常务副主席</w:t>
            </w:r>
          </w:p>
        </w:tc>
        <w:tc>
          <w:tcPr>
            <w:tcW w:w="1479" w:type="dxa"/>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0BD1A2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九寨沟县总工会</w:t>
            </w:r>
          </w:p>
        </w:tc>
        <w:tc>
          <w:tcPr>
            <w:tcW w:w="3106" w:type="dxa"/>
            <w:gridSpan w:val="8"/>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9924E67">
            <w:pPr>
              <w:autoSpaceDN w:val="0"/>
              <w:spacing w:line="320" w:lineRule="exact"/>
              <w:jc w:val="center"/>
              <w:textAlignment w:val="center"/>
              <w:rPr>
                <w:rFonts w:ascii="仿宋_GB2312" w:hAnsi="仿宋_GB2312" w:eastAsia="仿宋_GB2312" w:cs="仿宋_GB2312"/>
                <w:color w:val="000000"/>
                <w:sz w:val="24"/>
              </w:rPr>
            </w:pPr>
          </w:p>
        </w:tc>
      </w:tr>
      <w:tr w14:paraId="16D3A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985A26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李晓玲</w:t>
            </w:r>
          </w:p>
        </w:tc>
        <w:tc>
          <w:tcPr>
            <w:tcW w:w="3561"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25B197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副主席</w:t>
            </w:r>
          </w:p>
        </w:tc>
        <w:tc>
          <w:tcPr>
            <w:tcW w:w="1479" w:type="dxa"/>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809868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九寨沟县总工会</w:t>
            </w:r>
          </w:p>
        </w:tc>
        <w:tc>
          <w:tcPr>
            <w:tcW w:w="3106" w:type="dxa"/>
            <w:gridSpan w:val="8"/>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D9A7529">
            <w:pPr>
              <w:autoSpaceDN w:val="0"/>
              <w:spacing w:line="320" w:lineRule="exact"/>
              <w:jc w:val="center"/>
              <w:textAlignment w:val="center"/>
              <w:rPr>
                <w:rFonts w:ascii="仿宋_GB2312" w:hAnsi="仿宋_GB2312" w:eastAsia="仿宋_GB2312" w:cs="仿宋_GB2312"/>
                <w:color w:val="000000"/>
                <w:sz w:val="24"/>
              </w:rPr>
            </w:pPr>
          </w:p>
        </w:tc>
      </w:tr>
      <w:tr w14:paraId="0AECB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862C88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陈正丽</w:t>
            </w:r>
          </w:p>
        </w:tc>
        <w:tc>
          <w:tcPr>
            <w:tcW w:w="3561"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D1DF47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办公室人员</w:t>
            </w:r>
          </w:p>
        </w:tc>
        <w:tc>
          <w:tcPr>
            <w:tcW w:w="1479" w:type="dxa"/>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28BC0A7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九寨沟县总工会</w:t>
            </w:r>
          </w:p>
        </w:tc>
        <w:tc>
          <w:tcPr>
            <w:tcW w:w="3106" w:type="dxa"/>
            <w:gridSpan w:val="8"/>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5A19C711">
            <w:pPr>
              <w:autoSpaceDN w:val="0"/>
              <w:spacing w:line="320" w:lineRule="exact"/>
              <w:jc w:val="center"/>
              <w:textAlignment w:val="center"/>
              <w:rPr>
                <w:rFonts w:ascii="仿宋_GB2312" w:hAnsi="仿宋_GB2312" w:eastAsia="仿宋_GB2312" w:cs="仿宋_GB2312"/>
                <w:color w:val="000000"/>
                <w:sz w:val="24"/>
              </w:rPr>
            </w:pPr>
          </w:p>
        </w:tc>
      </w:tr>
      <w:tr w14:paraId="29911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388C595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龙永丽</w:t>
            </w:r>
          </w:p>
        </w:tc>
        <w:tc>
          <w:tcPr>
            <w:tcW w:w="3561" w:type="dxa"/>
            <w:gridSpan w:val="6"/>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AFF0C2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财务人员</w:t>
            </w:r>
          </w:p>
        </w:tc>
        <w:tc>
          <w:tcPr>
            <w:tcW w:w="1479" w:type="dxa"/>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F701EB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九寨沟县总工会</w:t>
            </w:r>
          </w:p>
        </w:tc>
        <w:tc>
          <w:tcPr>
            <w:tcW w:w="3106" w:type="dxa"/>
            <w:gridSpan w:val="8"/>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0AD105FB">
            <w:pPr>
              <w:autoSpaceDN w:val="0"/>
              <w:spacing w:line="320" w:lineRule="exact"/>
              <w:jc w:val="center"/>
              <w:textAlignment w:val="center"/>
              <w:rPr>
                <w:rFonts w:ascii="仿宋_GB2312" w:hAnsi="仿宋_GB2312" w:eastAsia="仿宋_GB2312" w:cs="仿宋_GB2312"/>
                <w:color w:val="000000"/>
                <w:sz w:val="24"/>
              </w:rPr>
            </w:pPr>
          </w:p>
        </w:tc>
      </w:tr>
      <w:tr w14:paraId="71807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2"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65840628">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14:paraId="6720D9BF">
            <w:pPr>
              <w:autoSpaceDN w:val="0"/>
              <w:spacing w:line="320" w:lineRule="exact"/>
              <w:jc w:val="left"/>
              <w:textAlignment w:val="center"/>
              <w:rPr>
                <w:rFonts w:ascii="仿宋_GB2312" w:hAnsi="仿宋_GB2312" w:eastAsia="仿宋_GB2312" w:cs="仿宋_GB2312"/>
                <w:color w:val="000000"/>
                <w:sz w:val="24"/>
              </w:rPr>
            </w:pPr>
          </w:p>
          <w:p w14:paraId="73893B6C">
            <w:pPr>
              <w:autoSpaceDN w:val="0"/>
              <w:spacing w:line="320" w:lineRule="exact"/>
              <w:jc w:val="left"/>
              <w:textAlignment w:val="center"/>
              <w:rPr>
                <w:rFonts w:ascii="仿宋_GB2312" w:hAnsi="仿宋_GB2312" w:eastAsia="仿宋_GB2312" w:cs="仿宋_GB2312"/>
                <w:color w:val="000000"/>
                <w:sz w:val="24"/>
              </w:rPr>
            </w:pPr>
          </w:p>
          <w:p w14:paraId="264A2ACA">
            <w:pPr>
              <w:autoSpaceDN w:val="0"/>
              <w:spacing w:line="320" w:lineRule="exact"/>
              <w:jc w:val="left"/>
              <w:textAlignment w:val="center"/>
              <w:rPr>
                <w:rFonts w:ascii="仿宋_GB2312" w:hAnsi="仿宋_GB2312" w:eastAsia="仿宋_GB2312" w:cs="仿宋_GB2312"/>
                <w:color w:val="000000"/>
                <w:sz w:val="24"/>
              </w:rPr>
            </w:pPr>
          </w:p>
          <w:p w14:paraId="234D987B">
            <w:pPr>
              <w:autoSpaceDN w:val="0"/>
              <w:spacing w:line="320" w:lineRule="exact"/>
              <w:jc w:val="left"/>
              <w:textAlignment w:val="center"/>
              <w:rPr>
                <w:rFonts w:ascii="仿宋_GB2312" w:hAnsi="仿宋_GB2312" w:eastAsia="仿宋_GB2312" w:cs="仿宋_GB2312"/>
                <w:color w:val="000000"/>
                <w:sz w:val="24"/>
              </w:rPr>
            </w:pPr>
          </w:p>
          <w:p w14:paraId="2C5FEAB7">
            <w:pPr>
              <w:autoSpaceDN w:val="0"/>
              <w:spacing w:line="320" w:lineRule="exact"/>
              <w:jc w:val="left"/>
              <w:textAlignment w:val="center"/>
              <w:rPr>
                <w:rFonts w:ascii="仿宋_GB2312" w:hAnsi="仿宋_GB2312" w:eastAsia="仿宋_GB2312" w:cs="仿宋_GB2312"/>
                <w:color w:val="000000"/>
                <w:sz w:val="24"/>
              </w:rPr>
            </w:pPr>
          </w:p>
          <w:p w14:paraId="3F5423B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034A8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2"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798007A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14:paraId="10AC61DF">
            <w:pPr>
              <w:autoSpaceDN w:val="0"/>
              <w:spacing w:line="320" w:lineRule="exact"/>
              <w:jc w:val="left"/>
              <w:textAlignment w:val="center"/>
              <w:rPr>
                <w:rFonts w:ascii="仿宋_GB2312" w:hAnsi="仿宋_GB2312" w:eastAsia="仿宋_GB2312" w:cs="仿宋_GB2312"/>
                <w:color w:val="000000"/>
                <w:sz w:val="24"/>
              </w:rPr>
            </w:pPr>
          </w:p>
          <w:p w14:paraId="30D62A0E">
            <w:pPr>
              <w:autoSpaceDN w:val="0"/>
              <w:spacing w:line="320" w:lineRule="exact"/>
              <w:jc w:val="left"/>
              <w:textAlignment w:val="center"/>
              <w:rPr>
                <w:rFonts w:ascii="仿宋_GB2312" w:hAnsi="仿宋_GB2312" w:eastAsia="仿宋_GB2312" w:cs="仿宋_GB2312"/>
                <w:color w:val="000000"/>
                <w:sz w:val="24"/>
              </w:rPr>
            </w:pPr>
          </w:p>
          <w:p w14:paraId="6643CA65">
            <w:pPr>
              <w:autoSpaceDN w:val="0"/>
              <w:spacing w:line="320" w:lineRule="exact"/>
              <w:jc w:val="left"/>
              <w:textAlignment w:val="center"/>
              <w:rPr>
                <w:rFonts w:ascii="仿宋_GB2312" w:hAnsi="仿宋_GB2312" w:eastAsia="仿宋_GB2312" w:cs="仿宋_GB2312"/>
                <w:color w:val="000000"/>
                <w:sz w:val="24"/>
              </w:rPr>
            </w:pPr>
          </w:p>
          <w:p w14:paraId="38A9F09E">
            <w:pPr>
              <w:autoSpaceDN w:val="0"/>
              <w:spacing w:line="320" w:lineRule="exact"/>
              <w:jc w:val="left"/>
              <w:textAlignment w:val="center"/>
              <w:rPr>
                <w:rFonts w:ascii="仿宋_GB2312" w:hAnsi="仿宋_GB2312" w:eastAsia="仿宋_GB2312" w:cs="仿宋_GB2312"/>
                <w:color w:val="000000"/>
                <w:sz w:val="24"/>
              </w:rPr>
            </w:pPr>
          </w:p>
          <w:p w14:paraId="1EDB2BD1">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14:paraId="11848384">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49B58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4"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tcMar>
              <w:top w:w="0" w:type="dxa"/>
              <w:left w:w="15" w:type="dxa"/>
              <w:bottom w:w="0" w:type="dxa"/>
              <w:right w:w="15" w:type="dxa"/>
            </w:tcMar>
            <w:vAlign w:val="center"/>
          </w:tcPr>
          <w:p w14:paraId="419FF5EE">
            <w:pPr>
              <w:spacing w:line="320" w:lineRule="exact"/>
              <w:rPr>
                <w:rFonts w:eastAsia="仿宋_GB2312"/>
                <w:sz w:val="24"/>
              </w:rPr>
            </w:pPr>
            <w:r>
              <w:rPr>
                <w:rFonts w:hint="eastAsia" w:eastAsia="仿宋_GB2312"/>
                <w:sz w:val="24"/>
              </w:rPr>
              <w:t>财政部门归口业务股室意见：</w:t>
            </w:r>
          </w:p>
          <w:p w14:paraId="48DF2E0A">
            <w:pPr>
              <w:spacing w:line="320" w:lineRule="exact"/>
              <w:rPr>
                <w:rFonts w:eastAsia="仿宋_GB2312"/>
                <w:sz w:val="24"/>
              </w:rPr>
            </w:pPr>
          </w:p>
          <w:p w14:paraId="1665E60C">
            <w:pPr>
              <w:spacing w:line="320" w:lineRule="exact"/>
              <w:rPr>
                <w:rFonts w:eastAsia="仿宋_GB2312"/>
                <w:sz w:val="24"/>
              </w:rPr>
            </w:pPr>
          </w:p>
          <w:p w14:paraId="105C6D9A">
            <w:pPr>
              <w:spacing w:line="320" w:lineRule="exact"/>
              <w:rPr>
                <w:rFonts w:eastAsia="仿宋_GB2312"/>
                <w:sz w:val="24"/>
              </w:rPr>
            </w:pPr>
          </w:p>
          <w:p w14:paraId="1F855FD7">
            <w:pPr>
              <w:spacing w:line="320" w:lineRule="exact"/>
              <w:rPr>
                <w:rFonts w:eastAsia="仿宋_GB2312"/>
                <w:sz w:val="24"/>
              </w:rPr>
            </w:pPr>
          </w:p>
          <w:p w14:paraId="1F18DEE9">
            <w:pPr>
              <w:spacing w:line="320" w:lineRule="exact"/>
              <w:rPr>
                <w:rFonts w:eastAsia="仿宋_GB2312"/>
                <w:sz w:val="24"/>
              </w:rPr>
            </w:pPr>
            <w:r>
              <w:rPr>
                <w:rFonts w:eastAsia="仿宋_GB2312"/>
                <w:sz w:val="24"/>
              </w:rPr>
              <w:t xml:space="preserve">                                  </w:t>
            </w:r>
            <w:r>
              <w:rPr>
                <w:rFonts w:hint="eastAsia" w:eastAsia="仿宋_GB2312"/>
                <w:sz w:val="24"/>
              </w:rPr>
              <w:t>财政部门归口业务股室负责人（签章）：</w:t>
            </w:r>
          </w:p>
          <w:p w14:paraId="349100FD">
            <w:pPr>
              <w:autoSpaceDN w:val="0"/>
              <w:spacing w:line="320" w:lineRule="exact"/>
              <w:jc w:val="left"/>
              <w:textAlignment w:val="center"/>
              <w:rPr>
                <w:rFonts w:ascii="仿宋_GB2312" w:hAnsi="仿宋_GB2312" w:eastAsia="仿宋_GB2312" w:cs="仿宋_GB2312"/>
                <w:color w:val="000000"/>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bl>
    <w:p w14:paraId="11892117">
      <w:pPr>
        <w:rPr>
          <w:rFonts w:eastAsia="仿宋_GB2312" w:cs="仿宋_GB2312"/>
          <w:bCs/>
          <w:sz w:val="28"/>
          <w:szCs w:val="28"/>
        </w:rPr>
      </w:pPr>
      <w:r>
        <w:rPr>
          <w:rFonts w:hint="eastAsia" w:eastAsia="仿宋_GB2312" w:cs="仿宋_GB2312"/>
          <w:bCs/>
          <w:sz w:val="28"/>
          <w:szCs w:val="28"/>
        </w:rPr>
        <w:t>填报人（签名）：龙永丽</w:t>
      </w:r>
      <w:r>
        <w:rPr>
          <w:rFonts w:eastAsia="仿宋_GB2312" w:cs="仿宋_GB2312"/>
          <w:bCs/>
          <w:sz w:val="28"/>
          <w:szCs w:val="28"/>
        </w:rPr>
        <w:t xml:space="preserve">            </w:t>
      </w:r>
      <w:r>
        <w:rPr>
          <w:rFonts w:hint="eastAsia" w:eastAsia="仿宋_GB2312" w:cs="仿宋_GB2312"/>
          <w:bCs/>
          <w:sz w:val="28"/>
          <w:szCs w:val="28"/>
        </w:rPr>
        <w:t>联系电话：</w:t>
      </w:r>
      <w:r>
        <w:rPr>
          <w:rFonts w:eastAsia="仿宋_GB2312" w:cs="仿宋_GB2312"/>
          <w:bCs/>
          <w:sz w:val="28"/>
          <w:szCs w:val="28"/>
        </w:rPr>
        <w:t>18990422616</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14:paraId="7C3E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Borders>
              <w:top w:val="single" w:color="auto" w:sz="4" w:space="0"/>
              <w:left w:val="single" w:color="auto" w:sz="4" w:space="0"/>
              <w:bottom w:val="single" w:color="auto" w:sz="4" w:space="0"/>
              <w:right w:val="single" w:color="auto" w:sz="4" w:space="0"/>
            </w:tcBorders>
          </w:tcPr>
          <w:p w14:paraId="081EA6BC">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14:paraId="43DC1012">
            <w:pPr>
              <w:spacing w:line="440" w:lineRule="exact"/>
              <w:ind w:firstLine="640" w:firstLineChars="200"/>
              <w:rPr>
                <w:rFonts w:eastAsia="仿宋_GB2312"/>
                <w:sz w:val="32"/>
                <w:szCs w:val="32"/>
              </w:rPr>
            </w:pPr>
          </w:p>
          <w:p w14:paraId="1A1BC7C5">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14:paraId="45CEE811">
            <w:pPr>
              <w:ind w:firstLine="480" w:firstLineChars="200"/>
              <w:rPr>
                <w:rFonts w:ascii="仿宋_GB2312" w:hAnsi="仿宋_GB2312" w:eastAsia="仿宋_GB2312"/>
                <w:sz w:val="24"/>
              </w:rPr>
            </w:pPr>
            <w:r>
              <w:rPr>
                <w:rFonts w:hint="eastAsia" w:ascii="仿宋_GB2312" w:hAnsi="仿宋_GB2312" w:eastAsia="仿宋_GB2312"/>
                <w:sz w:val="24"/>
              </w:rPr>
              <w:t>九寨沟县总工会行政编制4人,行政工勤人员1人，实有人数8人，领导职务3人，非领导职务5人，享受副县经济待遇1人，享受主任科员经济待遇1人，享受副主任科员1 人，退休干部4人。2018年1月工，青、妇三家合并财务到县总工会账上，增加团委公务员2人、工勤人员1人，事业人员3人，增加妇联公务员4人，工勤人员1人，事业人员1人，合计21人。</w:t>
            </w:r>
          </w:p>
          <w:p w14:paraId="5E9B7FEE">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14:paraId="57757E18">
            <w:pPr>
              <w:spacing w:line="560" w:lineRule="exact"/>
              <w:ind w:firstLine="480" w:firstLineChars="200"/>
              <w:rPr>
                <w:rFonts w:ascii="仿宋_GB2312" w:eastAsia="仿宋_GB2312"/>
                <w:sz w:val="24"/>
              </w:rPr>
            </w:pPr>
            <w:r>
              <w:rPr>
                <w:rFonts w:hint="eastAsia" w:ascii="仿宋_GB2312" w:hAnsi="仿宋_GB2312" w:eastAsia="仿宋_GB2312" w:cs="仿宋_GB2312"/>
                <w:bCs/>
                <w:sz w:val="24"/>
              </w:rPr>
              <w:t>（一）基本支出</w:t>
            </w:r>
            <w:r>
              <w:rPr>
                <w:rFonts w:hint="eastAsia" w:ascii="仿宋_GB2312" w:hAnsi="黑体" w:eastAsia="仿宋_GB2312" w:cs="黑体"/>
                <w:bCs/>
                <w:sz w:val="24"/>
              </w:rPr>
              <w:t>九寨沟县总工会2020年度整体支出479.82万元，九寨沟县总工会2020年度整体支出534.76万元，其中一般公共服务支出438.6万元，占总支出82%；教育支出0万元，占总支出%；社会保障就业支出30.25万元，占总支出5.7%；医疗卫生与计划生育支</w:t>
            </w:r>
            <w:r>
              <w:rPr>
                <w:rFonts w:hint="eastAsia" w:ascii="仿宋_GB2312" w:hAnsi="黑体" w:eastAsia="仿宋_GB2312" w:cs="黑体"/>
                <w:bCs/>
                <w:sz w:val="28"/>
                <w:szCs w:val="28"/>
              </w:rPr>
              <w:t>出</w:t>
            </w:r>
            <w:r>
              <w:rPr>
                <w:rFonts w:hint="eastAsia" w:ascii="仿宋_GB2312" w:hAnsi="黑体" w:eastAsia="仿宋_GB2312" w:cs="黑体"/>
                <w:bCs/>
                <w:sz w:val="24"/>
              </w:rPr>
              <w:t>27.43万元，占总支出5%；住房保障支出28.47万元，占总支出5%。</w:t>
            </w:r>
          </w:p>
          <w:p w14:paraId="7BFD92DE">
            <w:pPr>
              <w:spacing w:line="560" w:lineRule="exact"/>
              <w:ind w:firstLine="422" w:firstLineChars="150"/>
              <w:rPr>
                <w:rFonts w:ascii="仿宋_GB2312" w:hAnsi="仿宋_GB2312" w:eastAsia="仿宋_GB2312" w:cs="仿宋_GB2312"/>
                <w:bCs/>
                <w:sz w:val="24"/>
              </w:rPr>
            </w:pPr>
            <w:r>
              <w:rPr>
                <w:rFonts w:hint="eastAsia" w:ascii="仿宋_GB2312" w:hAnsi="仿宋_GB2312" w:eastAsia="仿宋_GB2312" w:cs="仿宋_GB2312"/>
                <w:b/>
                <w:bCs/>
                <w:sz w:val="28"/>
                <w:szCs w:val="28"/>
              </w:rPr>
              <w:t xml:space="preserve">（二）专项支出 </w:t>
            </w:r>
            <w:r>
              <w:rPr>
                <w:rFonts w:hint="eastAsia" w:ascii="仿宋_GB2312" w:hAnsi="仿宋_GB2312" w:eastAsia="仿宋_GB2312" w:cs="仿宋_GB2312"/>
                <w:b/>
                <w:bCs/>
                <w:sz w:val="24"/>
              </w:rPr>
              <w:t xml:space="preserve"> </w:t>
            </w:r>
            <w:r>
              <w:rPr>
                <w:rFonts w:hint="eastAsia" w:ascii="仿宋_GB2312" w:hAnsi="仿宋_GB2312" w:eastAsia="仿宋_GB2312" w:cs="仿宋_GB2312"/>
                <w:bCs/>
                <w:sz w:val="24"/>
              </w:rPr>
              <w:t>2020年度项目支出44.83万元，即是工会会议费20万元，妇联职工之家建设资金20.83万元，妇联两癌救助金4万元。</w:t>
            </w:r>
          </w:p>
          <w:p w14:paraId="71D6D165">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1.专项资金安排落实、总投入等情况分析</w:t>
            </w:r>
          </w:p>
          <w:p w14:paraId="50C5F79C">
            <w:pPr>
              <w:spacing w:line="560" w:lineRule="exact"/>
              <w:ind w:firstLine="360" w:firstLineChars="150"/>
              <w:rPr>
                <w:rFonts w:ascii="仿宋_GB2312" w:hAnsi="仿宋_GB2312" w:eastAsia="仿宋_GB2312" w:cs="仿宋_GB2312"/>
                <w:bCs/>
                <w:sz w:val="24"/>
              </w:rPr>
            </w:pPr>
            <w:r>
              <w:rPr>
                <w:rFonts w:hint="eastAsia" w:ascii="仿宋_GB2312" w:hAnsi="仿宋_GB2312" w:eastAsia="仿宋_GB2312" w:cs="仿宋_GB2312"/>
                <w:bCs/>
                <w:sz w:val="24"/>
              </w:rPr>
              <w:t>2020年度项目支出44.83万元，即是工会会议费20万元，妇联职工之家建设资金20.83万元，妇联两癌救助金4万元。</w:t>
            </w:r>
          </w:p>
          <w:p w14:paraId="627CFD15">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2.专项资金实际使用情况分析</w:t>
            </w:r>
          </w:p>
          <w:p w14:paraId="0C5AED5E">
            <w:pPr>
              <w:spacing w:line="56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2020年度项目支出44.83万元，即是工会会议费20万元，妇联职工之家建设资金20.83万元，妇联两癌救助金4万元。</w:t>
            </w:r>
          </w:p>
          <w:p w14:paraId="515E5AA1">
            <w:pPr>
              <w:spacing w:line="560" w:lineRule="exact"/>
              <w:ind w:firstLine="420" w:firstLineChars="150"/>
              <w:rPr>
                <w:rFonts w:ascii="黑体" w:hAnsi="黑体" w:eastAsia="黑体" w:cs="黑体"/>
                <w:bCs/>
                <w:sz w:val="28"/>
                <w:szCs w:val="28"/>
              </w:rPr>
            </w:pPr>
            <w:r>
              <w:rPr>
                <w:rFonts w:hint="eastAsia" w:ascii="黑体" w:hAnsi="黑体" w:eastAsia="黑体" w:cs="黑体"/>
                <w:bCs/>
                <w:sz w:val="28"/>
                <w:szCs w:val="28"/>
              </w:rPr>
              <w:t>三、单位专项组织实施情况</w:t>
            </w:r>
          </w:p>
          <w:p w14:paraId="344A8B48">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14:paraId="09911438">
            <w:pPr>
              <w:spacing w:line="560" w:lineRule="exact"/>
              <w:ind w:firstLine="600" w:firstLineChars="250"/>
              <w:rPr>
                <w:rFonts w:ascii="仿宋_GB2312" w:hAnsi="仿宋_GB2312" w:eastAsia="仿宋_GB2312" w:cs="仿宋_GB2312"/>
                <w:bCs/>
                <w:sz w:val="24"/>
              </w:rPr>
            </w:pPr>
            <w:r>
              <w:rPr>
                <w:rFonts w:hint="eastAsia" w:ascii="仿宋_GB2312" w:hAnsi="仿宋_GB2312" w:eastAsia="仿宋_GB2312" w:cs="仿宋_GB2312"/>
                <w:bCs/>
                <w:sz w:val="24"/>
              </w:rPr>
              <w:t>2020年度单位对专项工作高度重视，与主体工作同安排，同实施，并有专人负责。</w:t>
            </w:r>
          </w:p>
          <w:p w14:paraId="27B54D23">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14:paraId="00401CB8">
            <w:pPr>
              <w:spacing w:line="560" w:lineRule="exact"/>
              <w:ind w:firstLine="480" w:firstLineChars="200"/>
              <w:rPr>
                <w:rFonts w:ascii="黑体" w:hAnsi="黑体" w:eastAsia="黑体" w:cs="黑体"/>
                <w:bCs/>
                <w:sz w:val="24"/>
              </w:rPr>
            </w:pPr>
            <w:r>
              <w:rPr>
                <w:rFonts w:hint="eastAsia" w:ascii="仿宋_GB2312" w:hAnsi="仿宋_GB2312" w:eastAsia="仿宋_GB2312" w:cs="仿宋_GB2312"/>
                <w:bCs/>
                <w:sz w:val="24"/>
              </w:rPr>
              <w:t>专项管理按照相关制度，压实责任，资金方面按照报销的程序和制度，严格执行</w:t>
            </w:r>
          </w:p>
          <w:p w14:paraId="40969266">
            <w:pPr>
              <w:pStyle w:val="19"/>
              <w:shd w:val="clear" w:color="auto" w:fill="FFFFFF"/>
              <w:ind w:firstLine="628"/>
              <w:rPr>
                <w:rFonts w:ascii="黑体" w:hAnsi="黑体" w:eastAsia="黑体" w:cs="黑体"/>
                <w:bCs/>
                <w:sz w:val="28"/>
                <w:szCs w:val="28"/>
              </w:rPr>
            </w:pPr>
            <w:r>
              <w:rPr>
                <w:rFonts w:hint="eastAsia" w:ascii="黑体" w:hAnsi="黑体" w:eastAsia="黑体" w:cs="黑体"/>
                <w:bCs/>
                <w:sz w:val="28"/>
                <w:szCs w:val="28"/>
              </w:rPr>
              <w:t>四、部门（单位）整体支出绩效情况</w:t>
            </w:r>
          </w:p>
          <w:p w14:paraId="54E2D055">
            <w:pPr>
              <w:pStyle w:val="19"/>
              <w:shd w:val="clear" w:color="auto" w:fill="FFFFFF"/>
              <w:ind w:firstLine="628"/>
              <w:rPr>
                <w:rFonts w:ascii="仿宋_GB2312" w:hAnsi="仿宋_GB2312" w:eastAsia="仿宋_GB2312" w:cs="仿宋_GB2312"/>
                <w:color w:val="000000"/>
              </w:rPr>
            </w:pPr>
            <w:r>
              <w:rPr>
                <w:rFonts w:hint="eastAsia" w:ascii="仿宋_GB2312" w:eastAsia="仿宋_GB2312"/>
              </w:rPr>
              <w:t>（一）帮扶我县在档困难职工5人，指导100个正常经营的企业签订工资集体协商协议69份，涵盖职工总计2650人</w:t>
            </w:r>
            <w:r>
              <w:rPr>
                <w:rFonts w:hint="eastAsia" w:ascii="仿宋_GB2312" w:hAnsi="仿宋_GB2312" w:eastAsia="仿宋_GB2312" w:cs="仿宋_GB2312"/>
                <w:color w:val="000000"/>
              </w:rPr>
              <w:t>按照要求完成精准扶贫工作，完成4个</w:t>
            </w:r>
            <w:r>
              <w:rPr>
                <w:rFonts w:hint="eastAsia" w:ascii="仿宋_GB2312" w:eastAsia="仿宋_GB2312"/>
                <w:bCs/>
              </w:rPr>
              <w:t>乡镇“职工之家”建设活动，</w:t>
            </w:r>
            <w:r>
              <w:rPr>
                <w:rFonts w:hint="eastAsia" w:ascii="仿宋_GB2312" w:hAnsi="仿宋_GB2312" w:eastAsia="仿宋_GB2312" w:cs="仿宋_GB2312"/>
                <w:color w:val="000000"/>
              </w:rPr>
              <w:t>按照要求完成精准扶贫工作，根据安排完成县委、政府安排的各项工作。</w:t>
            </w:r>
          </w:p>
          <w:p w14:paraId="45540BE0">
            <w:pPr>
              <w:pStyle w:val="19"/>
              <w:shd w:val="clear" w:color="auto" w:fill="FFFFFF"/>
              <w:ind w:firstLine="628"/>
              <w:rPr>
                <w:rFonts w:ascii="Times New Roman" w:hAnsi="Times New Roman"/>
                <w:color w:val="333333"/>
              </w:rPr>
            </w:pPr>
            <w:r>
              <w:rPr>
                <w:rFonts w:hint="eastAsia" w:ascii="楷体_GB2312" w:hAnsi="Times New Roman" w:eastAsia="楷体_GB2312"/>
                <w:color w:val="000000"/>
              </w:rPr>
              <w:t>（二）预算执行情况</w:t>
            </w:r>
          </w:p>
          <w:p w14:paraId="3BCC3AFD">
            <w:pPr>
              <w:pStyle w:val="19"/>
              <w:shd w:val="clear" w:color="auto" w:fill="FFFFFF"/>
              <w:ind w:firstLine="628"/>
              <w:rPr>
                <w:rFonts w:ascii="Times New Roman" w:hAnsi="Times New Roman"/>
                <w:color w:val="333333"/>
              </w:rPr>
            </w:pPr>
            <w:r>
              <w:rPr>
                <w:rFonts w:hint="eastAsia" w:ascii="仿宋_GB2312" w:hAnsi="Times New Roman" w:eastAsia="仿宋_GB2312"/>
                <w:color w:val="000000"/>
              </w:rPr>
              <w:t>1.在职人员控制率。2020年单位在职人数21人，年未实有人数21人，控制率为100%，没有超编现象。</w:t>
            </w:r>
          </w:p>
          <w:p w14:paraId="319B508B">
            <w:pPr>
              <w:pStyle w:val="19"/>
              <w:shd w:val="clear" w:color="auto" w:fill="FFFFFF"/>
              <w:ind w:firstLine="628"/>
              <w:rPr>
                <w:rFonts w:ascii="Times New Roman" w:hAnsi="Times New Roman"/>
                <w:color w:val="333333"/>
              </w:rPr>
            </w:pPr>
            <w:r>
              <w:rPr>
                <w:rFonts w:hint="eastAsia" w:ascii="仿宋_GB2312" w:hAnsi="Times New Roman" w:eastAsia="仿宋_GB2312"/>
                <w:color w:val="000000"/>
              </w:rPr>
              <w:t>2.预算完成率。年初预算收支万元.实际收支为</w:t>
            </w:r>
            <w:r>
              <w:rPr>
                <w:rFonts w:hint="eastAsia" w:ascii="仿宋_GB2312" w:hAnsi="仿宋_GB2312" w:eastAsia="仿宋_GB2312" w:cs="仿宋_GB2312"/>
                <w:color w:val="000000"/>
              </w:rPr>
              <w:t>534.76</w:t>
            </w:r>
            <w:r>
              <w:rPr>
                <w:rFonts w:hint="eastAsia" w:ascii="仿宋_GB2312" w:hAnsi="Times New Roman" w:eastAsia="仿宋_GB2312"/>
                <w:color w:val="000000"/>
              </w:rPr>
              <w:t>万元.实现了年度收支平衡。</w:t>
            </w:r>
          </w:p>
          <w:p w14:paraId="2FA2FAF9">
            <w:pPr>
              <w:pStyle w:val="19"/>
              <w:shd w:val="clear" w:color="auto" w:fill="FFFFFF"/>
              <w:ind w:firstLine="628"/>
              <w:rPr>
                <w:rFonts w:ascii="Times New Roman" w:hAnsi="Times New Roman"/>
                <w:color w:val="333333"/>
              </w:rPr>
            </w:pPr>
            <w:r>
              <w:rPr>
                <w:rFonts w:hint="eastAsia" w:ascii="楷体_GB2312" w:hAnsi="Times New Roman" w:eastAsia="楷体_GB2312"/>
                <w:color w:val="000000"/>
              </w:rPr>
              <w:t>（三）预算管理情况</w:t>
            </w:r>
          </w:p>
          <w:p w14:paraId="215F7490">
            <w:pPr>
              <w:pStyle w:val="19"/>
              <w:shd w:val="clear" w:color="auto" w:fill="FFFFFF"/>
              <w:ind w:firstLine="628"/>
              <w:rPr>
                <w:rFonts w:ascii="Times New Roman" w:hAnsi="Times New Roman"/>
                <w:color w:val="333333"/>
              </w:rPr>
            </w:pPr>
            <w:r>
              <w:rPr>
                <w:rFonts w:hint="eastAsia" w:ascii="仿宋_GB2312" w:hAnsi="Times New Roman" w:eastAsia="仿宋_GB2312"/>
                <w:color w:val="000000"/>
              </w:rPr>
              <w:t>1.“三公”经费控制率100%。“三公”经费预算本年列支5.53万元，经费支出未超标。</w:t>
            </w:r>
          </w:p>
          <w:p w14:paraId="5B7E6A39">
            <w:pPr>
              <w:pStyle w:val="19"/>
              <w:shd w:val="clear" w:color="auto" w:fill="FFFFFF"/>
              <w:ind w:firstLine="628"/>
              <w:rPr>
                <w:rFonts w:ascii="Times New Roman" w:hAnsi="Times New Roman"/>
                <w:color w:val="333333"/>
              </w:rPr>
            </w:pPr>
            <w:r>
              <w:rPr>
                <w:rFonts w:hint="eastAsia" w:ascii="仿宋_GB2312" w:hAnsi="Times New Roman" w:eastAsia="仿宋_GB2312"/>
                <w:color w:val="000000"/>
              </w:rPr>
              <w:t>2.管理制度进一步健全。2020年我单位制定了财务管理制度和会计核算等管理制度，明确了财务职责，制定了厉行节约制度，管理制度依照有关国家法律法规而制定的，具有合法性、合规性、完整性、同时相关制度得到认真执行。</w:t>
            </w:r>
          </w:p>
          <w:p w14:paraId="0C30C69A">
            <w:pPr>
              <w:pStyle w:val="19"/>
              <w:shd w:val="clear" w:color="auto" w:fill="FFFFFF"/>
              <w:ind w:firstLine="628"/>
              <w:rPr>
                <w:rFonts w:ascii="Times New Roman" w:hAnsi="Times New Roman"/>
                <w:color w:val="333333"/>
              </w:rPr>
            </w:pPr>
            <w:r>
              <w:rPr>
                <w:rFonts w:hint="eastAsia" w:ascii="仿宋_GB2312" w:hAnsi="Times New Roman" w:eastAsia="仿宋_GB2312"/>
                <w:color w:val="000000"/>
              </w:rPr>
              <w:t>4.资金使用合规性。一切支出按照国家财经法规和财务管理制度规定及专项资金管理办法的规定办理。财务人员认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w:t>
            </w:r>
            <w:r>
              <w:rPr>
                <w:rFonts w:hint="eastAsia" w:ascii="仿宋_GB2312" w:hAnsi="Times New Roman" w:eastAsia="仿宋_GB2312"/>
                <w:color w:val="000000"/>
                <w:sz w:val="32"/>
                <w:szCs w:val="32"/>
              </w:rPr>
              <w:t>复</w:t>
            </w:r>
            <w:r>
              <w:rPr>
                <w:rFonts w:hint="eastAsia" w:ascii="仿宋_GB2312" w:hAnsi="Times New Roman" w:eastAsia="仿宋_GB2312"/>
                <w:color w:val="000000"/>
              </w:rPr>
              <w:t>的用途、资金使用无截留、挤占、挪用、虚列开支等情况。</w:t>
            </w:r>
          </w:p>
          <w:p w14:paraId="46F983D9">
            <w:pPr>
              <w:pStyle w:val="19"/>
              <w:shd w:val="clear" w:color="auto" w:fill="FFFFFF"/>
              <w:ind w:firstLine="628"/>
              <w:rPr>
                <w:rFonts w:ascii="Times New Roman" w:hAnsi="Times New Roman"/>
                <w:color w:val="333333"/>
              </w:rPr>
            </w:pPr>
            <w:r>
              <w:rPr>
                <w:rFonts w:hint="eastAsia" w:ascii="仿宋_GB2312" w:hAnsi="Times New Roman" w:eastAsia="仿宋_GB2312"/>
                <w:color w:val="000000"/>
              </w:rPr>
              <w:t>5.预算信息公开性。按照规定的内容、时间公开预算信息，做到基础数据信息和会计资金真实、完整、准确。</w:t>
            </w:r>
          </w:p>
          <w:p w14:paraId="4796AB00">
            <w:pPr>
              <w:spacing w:line="560" w:lineRule="exact"/>
              <w:ind w:firstLine="700" w:firstLineChars="250"/>
              <w:rPr>
                <w:rFonts w:ascii="黑体" w:hAnsi="黑体" w:eastAsia="黑体" w:cs="黑体"/>
                <w:bCs/>
                <w:sz w:val="28"/>
                <w:szCs w:val="28"/>
              </w:rPr>
            </w:pPr>
            <w:r>
              <w:rPr>
                <w:rFonts w:hint="eastAsia" w:ascii="黑体" w:hAnsi="黑体" w:eastAsia="黑体" w:cs="黑体"/>
                <w:bCs/>
                <w:sz w:val="28"/>
                <w:szCs w:val="28"/>
              </w:rPr>
              <w:t>五、存在的主要问题</w:t>
            </w:r>
          </w:p>
          <w:p w14:paraId="70D28852">
            <w:pPr>
              <w:pStyle w:val="19"/>
              <w:shd w:val="clear" w:color="auto" w:fill="FFFFFF"/>
              <w:ind w:firstLine="628"/>
              <w:rPr>
                <w:rFonts w:ascii="Times New Roman" w:hAnsi="Times New Roman"/>
                <w:color w:val="333333"/>
              </w:rPr>
            </w:pPr>
            <w:r>
              <w:rPr>
                <w:rFonts w:hint="eastAsia" w:ascii="仿宋_GB2312" w:hAnsi="Times New Roman" w:eastAsia="仿宋_GB2312"/>
                <w:color w:val="000000"/>
              </w:rPr>
              <w:t>1.机关运行经费所占比例太少，对争取项目资金处于被动。</w:t>
            </w:r>
          </w:p>
          <w:p w14:paraId="4C231311">
            <w:pPr>
              <w:pStyle w:val="19"/>
              <w:shd w:val="clear" w:color="auto" w:fill="FFFFFF"/>
              <w:ind w:firstLine="628"/>
              <w:rPr>
                <w:rFonts w:ascii="Times New Roman" w:hAnsi="Times New Roman"/>
                <w:color w:val="333333"/>
              </w:rPr>
            </w:pPr>
            <w:r>
              <w:rPr>
                <w:rFonts w:hint="eastAsia" w:ascii="仿宋_GB2312" w:hAnsi="Times New Roman" w:eastAsia="仿宋_GB2312"/>
                <w:color w:val="000000"/>
              </w:rPr>
              <w:t>2.对财务监督管理力度不够。</w:t>
            </w:r>
          </w:p>
          <w:p w14:paraId="308BF4BC">
            <w:pPr>
              <w:pStyle w:val="19"/>
              <w:shd w:val="clear" w:color="auto" w:fill="FFFFFF"/>
              <w:ind w:firstLine="628"/>
              <w:rPr>
                <w:rFonts w:ascii="仿宋_GB2312" w:hAnsi="Times New Roman" w:eastAsia="仿宋_GB2312"/>
                <w:color w:val="000000"/>
              </w:rPr>
            </w:pPr>
            <w:r>
              <w:rPr>
                <w:rFonts w:hint="eastAsia" w:ascii="仿宋_GB2312" w:hAnsi="Times New Roman" w:eastAsia="仿宋_GB2312"/>
                <w:color w:val="000000"/>
              </w:rPr>
              <w:t>3.制度执行力有待加强。</w:t>
            </w:r>
          </w:p>
          <w:p w14:paraId="14F12049">
            <w:pPr>
              <w:pStyle w:val="19"/>
              <w:shd w:val="clear" w:color="auto" w:fill="FFFFFF"/>
              <w:ind w:firstLine="628"/>
              <w:rPr>
                <w:rFonts w:ascii="Times New Roman" w:hAnsi="Times New Roman"/>
                <w:color w:val="333333"/>
                <w:sz w:val="21"/>
                <w:szCs w:val="21"/>
              </w:rPr>
            </w:pPr>
            <w:r>
              <w:rPr>
                <w:rFonts w:hint="eastAsia" w:ascii="黑体" w:hAnsi="黑体" w:eastAsia="黑体" w:cs="黑体"/>
                <w:bCs/>
                <w:sz w:val="28"/>
                <w:szCs w:val="28"/>
              </w:rPr>
              <w:t>六、改进措施和有关建议</w:t>
            </w:r>
          </w:p>
          <w:p w14:paraId="1AF1C4DA">
            <w:pPr>
              <w:pStyle w:val="19"/>
              <w:shd w:val="clear" w:color="auto" w:fill="FFFFFF"/>
              <w:ind w:firstLine="628"/>
              <w:rPr>
                <w:rFonts w:ascii="Times New Roman" w:hAnsi="Times New Roman"/>
                <w:color w:val="333333"/>
              </w:rPr>
            </w:pPr>
            <w:r>
              <w:rPr>
                <w:rFonts w:hint="eastAsia" w:ascii="仿宋_GB2312" w:hAnsi="Times New Roman" w:eastAsia="仿宋_GB2312"/>
                <w:color w:val="000000"/>
              </w:rPr>
              <w:t>1.将财务制度落实到位，规范财经纪律，严格控制非生产性开支。</w:t>
            </w:r>
          </w:p>
          <w:p w14:paraId="077E4463">
            <w:pPr>
              <w:pStyle w:val="19"/>
              <w:shd w:val="clear" w:color="auto" w:fill="FFFFFF"/>
              <w:ind w:firstLine="628"/>
              <w:rPr>
                <w:rFonts w:ascii="Times New Roman" w:hAnsi="Times New Roman"/>
                <w:color w:val="333333"/>
                <w:sz w:val="21"/>
                <w:szCs w:val="21"/>
              </w:rPr>
            </w:pPr>
            <w:r>
              <w:rPr>
                <w:rFonts w:hint="eastAsia" w:ascii="仿宋_GB2312" w:hAnsi="Times New Roman" w:eastAsia="仿宋_GB2312"/>
                <w:color w:val="000000"/>
              </w:rPr>
              <w:t>2.力争来年多争取机关运行经费，多争取项目，扩大影响力</w:t>
            </w:r>
            <w:r>
              <w:rPr>
                <w:rFonts w:hint="eastAsia" w:ascii="仿宋_GB2312" w:hAnsi="Times New Roman" w:eastAsia="仿宋_GB2312"/>
                <w:color w:val="000000"/>
                <w:sz w:val="32"/>
                <w:szCs w:val="32"/>
              </w:rPr>
              <w:t>。</w:t>
            </w:r>
          </w:p>
          <w:p w14:paraId="11B80D62">
            <w:pPr>
              <w:spacing w:line="560" w:lineRule="exact"/>
              <w:ind w:firstLine="560" w:firstLineChars="200"/>
              <w:rPr>
                <w:rFonts w:ascii="黑体" w:hAnsi="黑体" w:eastAsia="黑体" w:cs="黑体"/>
                <w:bCs/>
                <w:sz w:val="28"/>
                <w:szCs w:val="28"/>
              </w:rPr>
            </w:pPr>
          </w:p>
          <w:p w14:paraId="5F879004">
            <w:pPr>
              <w:rPr>
                <w:rFonts w:eastAsia="楷体_GB2312"/>
                <w:bCs/>
                <w:sz w:val="28"/>
                <w:szCs w:val="28"/>
              </w:rPr>
            </w:pPr>
          </w:p>
        </w:tc>
      </w:tr>
    </w:tbl>
    <w:p w14:paraId="6CD33B39">
      <w:pPr>
        <w:pStyle w:val="3"/>
        <w:jc w:val="center"/>
        <w:rPr>
          <w:rFonts w:hint="eastAsia" w:ascii="黑体" w:hAnsi="黑体" w:eastAsia="黑体" w:cs="黑体"/>
          <w:b/>
          <w:bCs w:val="0"/>
          <w:color w:val="000000"/>
          <w:sz w:val="44"/>
          <w:szCs w:val="44"/>
          <w:lang w:val="en-US" w:eastAsia="zh-CN"/>
        </w:rPr>
      </w:pPr>
      <w:bookmarkStart w:id="57" w:name="_Toc15396619"/>
      <w:r>
        <w:rPr>
          <w:rFonts w:hint="eastAsia" w:ascii="黑体" w:hAnsi="黑体" w:eastAsia="黑体" w:cs="黑体"/>
          <w:b/>
          <w:bCs w:val="0"/>
          <w:color w:val="000000"/>
          <w:sz w:val="44"/>
          <w:szCs w:val="44"/>
          <w:lang w:val="en-US" w:eastAsia="zh-CN"/>
        </w:rPr>
        <w:t>第五部分 附表</w:t>
      </w:r>
    </w:p>
    <w:p w14:paraId="117543D5">
      <w:pPr>
        <w:pStyle w:val="3"/>
        <w:rPr>
          <w:rFonts w:ascii="仿宋" w:hAnsi="仿宋" w:eastAsia="仿宋"/>
          <w:b/>
          <w:bCs w:val="0"/>
          <w:color w:val="000000"/>
        </w:rPr>
      </w:pPr>
      <w:r>
        <w:rPr>
          <w:rFonts w:hint="eastAsia" w:ascii="仿宋" w:hAnsi="仿宋" w:eastAsia="仿宋"/>
          <w:b/>
          <w:bCs w:val="0"/>
          <w:color w:val="000000"/>
        </w:rPr>
        <w:t>一、收</w:t>
      </w:r>
      <w:r>
        <w:rPr>
          <w:rStyle w:val="26"/>
          <w:rFonts w:hint="eastAsia" w:ascii="仿宋" w:hAnsi="仿宋" w:eastAsia="仿宋"/>
          <w:b/>
          <w:bCs w:val="0"/>
        </w:rPr>
        <w:t>入支出决算总表</w:t>
      </w:r>
      <w:bookmarkEnd w:id="57"/>
    </w:p>
    <w:p w14:paraId="09B74071">
      <w:pPr>
        <w:pStyle w:val="3"/>
        <w:rPr>
          <w:rFonts w:ascii="仿宋" w:hAnsi="仿宋" w:eastAsia="仿宋"/>
          <w:b/>
          <w:bCs w:val="0"/>
          <w:color w:val="000000"/>
        </w:rPr>
      </w:pPr>
      <w:bookmarkStart w:id="58" w:name="_Toc15396620"/>
      <w:r>
        <w:rPr>
          <w:rFonts w:hint="eastAsia" w:ascii="仿宋" w:hAnsi="仿宋" w:eastAsia="仿宋"/>
          <w:b/>
          <w:bCs w:val="0"/>
          <w:color w:val="000000"/>
        </w:rPr>
        <w:t>二、收</w:t>
      </w:r>
      <w:r>
        <w:rPr>
          <w:rStyle w:val="26"/>
          <w:rFonts w:hint="eastAsia" w:ascii="仿宋" w:hAnsi="仿宋" w:eastAsia="仿宋"/>
          <w:b/>
          <w:bCs w:val="0"/>
        </w:rPr>
        <w:t>入总表</w:t>
      </w:r>
      <w:bookmarkEnd w:id="58"/>
    </w:p>
    <w:p w14:paraId="2987B61B">
      <w:pPr>
        <w:pStyle w:val="3"/>
        <w:rPr>
          <w:rFonts w:ascii="仿宋" w:hAnsi="仿宋" w:eastAsia="仿宋"/>
          <w:b/>
          <w:bCs w:val="0"/>
          <w:color w:val="000000"/>
        </w:rPr>
      </w:pPr>
      <w:bookmarkStart w:id="59" w:name="_Toc15396621"/>
      <w:r>
        <w:rPr>
          <w:rStyle w:val="26"/>
          <w:rFonts w:hint="eastAsia" w:ascii="仿宋" w:hAnsi="仿宋" w:eastAsia="仿宋"/>
          <w:b/>
          <w:bCs w:val="0"/>
        </w:rPr>
        <w:t>三、</w:t>
      </w:r>
      <w:r>
        <w:rPr>
          <w:rFonts w:hint="eastAsia" w:ascii="仿宋" w:hAnsi="仿宋" w:eastAsia="仿宋"/>
          <w:b/>
          <w:bCs w:val="0"/>
          <w:color w:val="000000"/>
        </w:rPr>
        <w:t>支</w:t>
      </w:r>
      <w:r>
        <w:rPr>
          <w:rStyle w:val="26"/>
          <w:rFonts w:hint="eastAsia" w:ascii="仿宋" w:hAnsi="仿宋" w:eastAsia="仿宋"/>
          <w:b/>
          <w:bCs w:val="0"/>
        </w:rPr>
        <w:t>出总表</w:t>
      </w:r>
      <w:bookmarkEnd w:id="59"/>
    </w:p>
    <w:p w14:paraId="1CA0A509">
      <w:pPr>
        <w:pStyle w:val="3"/>
        <w:rPr>
          <w:rFonts w:ascii="仿宋" w:hAnsi="仿宋" w:eastAsia="仿宋"/>
          <w:b/>
          <w:bCs w:val="0"/>
          <w:color w:val="000000"/>
        </w:rPr>
      </w:pPr>
      <w:bookmarkStart w:id="60" w:name="_Toc15396622"/>
      <w:r>
        <w:rPr>
          <w:rStyle w:val="26"/>
          <w:rFonts w:hint="eastAsia" w:ascii="仿宋" w:hAnsi="仿宋" w:eastAsia="仿宋"/>
          <w:b/>
          <w:bCs w:val="0"/>
        </w:rPr>
        <w:t>四、</w:t>
      </w:r>
      <w:r>
        <w:rPr>
          <w:rFonts w:hint="eastAsia" w:ascii="仿宋" w:hAnsi="仿宋" w:eastAsia="仿宋"/>
          <w:b/>
          <w:bCs w:val="0"/>
          <w:color w:val="000000"/>
        </w:rPr>
        <w:t>财</w:t>
      </w:r>
      <w:r>
        <w:rPr>
          <w:rStyle w:val="26"/>
          <w:rFonts w:hint="eastAsia" w:ascii="仿宋" w:hAnsi="仿宋" w:eastAsia="仿宋"/>
          <w:b/>
          <w:bCs w:val="0"/>
        </w:rPr>
        <w:t>政拨款收入支出决算总表</w:t>
      </w:r>
      <w:bookmarkEnd w:id="60"/>
    </w:p>
    <w:p w14:paraId="5107C357">
      <w:pPr>
        <w:pStyle w:val="3"/>
        <w:rPr>
          <w:rFonts w:ascii="仿宋" w:hAnsi="仿宋" w:eastAsia="仿宋"/>
          <w:b/>
          <w:bCs w:val="0"/>
          <w:color w:val="000000"/>
        </w:rPr>
      </w:pPr>
      <w:bookmarkStart w:id="61" w:name="_Toc15396623"/>
      <w:r>
        <w:rPr>
          <w:rStyle w:val="26"/>
          <w:rFonts w:hint="eastAsia" w:ascii="仿宋" w:hAnsi="仿宋" w:eastAsia="仿宋"/>
          <w:b/>
          <w:bCs w:val="0"/>
        </w:rPr>
        <w:t>五、</w:t>
      </w:r>
      <w:r>
        <w:rPr>
          <w:rFonts w:hint="eastAsia" w:ascii="仿宋" w:hAnsi="仿宋" w:eastAsia="仿宋"/>
          <w:b/>
          <w:bCs w:val="0"/>
          <w:color w:val="000000"/>
        </w:rPr>
        <w:t>财</w:t>
      </w:r>
      <w:r>
        <w:rPr>
          <w:rStyle w:val="26"/>
          <w:rFonts w:hint="eastAsia" w:ascii="仿宋" w:hAnsi="仿宋" w:eastAsia="仿宋"/>
          <w:b/>
          <w:bCs w:val="0"/>
        </w:rPr>
        <w:t>政拨款支出决算明细表（政府经济分类科目）</w:t>
      </w:r>
      <w:bookmarkEnd w:id="61"/>
    </w:p>
    <w:p w14:paraId="06B04C87">
      <w:pPr>
        <w:pStyle w:val="3"/>
        <w:rPr>
          <w:rFonts w:ascii="仿宋" w:hAnsi="仿宋" w:eastAsia="仿宋"/>
          <w:b/>
          <w:bCs w:val="0"/>
          <w:color w:val="000000"/>
        </w:rPr>
      </w:pPr>
      <w:bookmarkStart w:id="62" w:name="_Toc15396624"/>
      <w:r>
        <w:rPr>
          <w:rStyle w:val="26"/>
          <w:rFonts w:hint="eastAsia" w:ascii="仿宋" w:hAnsi="仿宋" w:eastAsia="仿宋"/>
          <w:b/>
          <w:bCs w:val="0"/>
        </w:rPr>
        <w:t>六、</w:t>
      </w:r>
      <w:r>
        <w:rPr>
          <w:rFonts w:hint="eastAsia" w:ascii="仿宋" w:hAnsi="仿宋" w:eastAsia="仿宋"/>
          <w:b/>
          <w:bCs w:val="0"/>
          <w:color w:val="000000"/>
        </w:rPr>
        <w:t>一</w:t>
      </w:r>
      <w:r>
        <w:rPr>
          <w:rStyle w:val="26"/>
          <w:rFonts w:hint="eastAsia" w:ascii="仿宋" w:hAnsi="仿宋" w:eastAsia="仿宋"/>
          <w:b/>
          <w:bCs w:val="0"/>
        </w:rPr>
        <w:t>般公共预算财政拨款支出决算表</w:t>
      </w:r>
      <w:bookmarkEnd w:id="62"/>
    </w:p>
    <w:p w14:paraId="314F5D4A">
      <w:pPr>
        <w:pStyle w:val="3"/>
        <w:rPr>
          <w:rFonts w:ascii="仿宋" w:hAnsi="仿宋" w:eastAsia="仿宋"/>
          <w:b/>
          <w:bCs w:val="0"/>
          <w:color w:val="000000"/>
        </w:rPr>
      </w:pPr>
      <w:bookmarkStart w:id="63" w:name="_Toc15396625"/>
      <w:r>
        <w:rPr>
          <w:rStyle w:val="26"/>
          <w:rFonts w:hint="eastAsia" w:ascii="仿宋" w:hAnsi="仿宋" w:eastAsia="仿宋"/>
          <w:b/>
          <w:bCs w:val="0"/>
        </w:rPr>
        <w:t>七、</w:t>
      </w:r>
      <w:r>
        <w:rPr>
          <w:rFonts w:hint="eastAsia" w:ascii="仿宋" w:hAnsi="仿宋" w:eastAsia="仿宋"/>
          <w:b/>
          <w:bCs w:val="0"/>
          <w:color w:val="000000"/>
        </w:rPr>
        <w:t>一</w:t>
      </w:r>
      <w:r>
        <w:rPr>
          <w:rStyle w:val="26"/>
          <w:rFonts w:hint="eastAsia" w:ascii="仿宋" w:hAnsi="仿宋" w:eastAsia="仿宋"/>
          <w:b/>
          <w:bCs w:val="0"/>
        </w:rPr>
        <w:t>般公共预算财政拨款支出决算明细表</w:t>
      </w:r>
      <w:bookmarkEnd w:id="63"/>
    </w:p>
    <w:p w14:paraId="26820386">
      <w:pPr>
        <w:pStyle w:val="3"/>
        <w:rPr>
          <w:rFonts w:ascii="仿宋" w:hAnsi="仿宋" w:eastAsia="仿宋"/>
          <w:b/>
          <w:bCs w:val="0"/>
          <w:color w:val="000000"/>
        </w:rPr>
      </w:pPr>
      <w:bookmarkStart w:id="64" w:name="_Toc15396626"/>
      <w:r>
        <w:rPr>
          <w:rStyle w:val="26"/>
          <w:rFonts w:hint="eastAsia" w:ascii="仿宋" w:hAnsi="仿宋" w:eastAsia="仿宋"/>
          <w:b/>
          <w:bCs w:val="0"/>
        </w:rPr>
        <w:t>八、</w:t>
      </w:r>
      <w:r>
        <w:rPr>
          <w:rFonts w:hint="eastAsia" w:ascii="仿宋" w:hAnsi="仿宋" w:eastAsia="仿宋"/>
          <w:b/>
          <w:bCs w:val="0"/>
          <w:color w:val="000000"/>
        </w:rPr>
        <w:t>一</w:t>
      </w:r>
      <w:r>
        <w:rPr>
          <w:rStyle w:val="26"/>
          <w:rFonts w:hint="eastAsia" w:ascii="仿宋" w:hAnsi="仿宋" w:eastAsia="仿宋"/>
          <w:b/>
          <w:bCs w:val="0"/>
        </w:rPr>
        <w:t>般公共预算财政拨款基本支出决算表</w:t>
      </w:r>
      <w:bookmarkEnd w:id="64"/>
    </w:p>
    <w:p w14:paraId="7A537DFF">
      <w:pPr>
        <w:pStyle w:val="3"/>
        <w:rPr>
          <w:rFonts w:ascii="仿宋" w:hAnsi="仿宋" w:eastAsia="仿宋"/>
          <w:b/>
          <w:bCs w:val="0"/>
          <w:color w:val="000000"/>
        </w:rPr>
      </w:pPr>
      <w:bookmarkStart w:id="65" w:name="_Toc15396627"/>
      <w:r>
        <w:rPr>
          <w:rStyle w:val="26"/>
          <w:rFonts w:hint="eastAsia" w:ascii="仿宋" w:hAnsi="仿宋" w:eastAsia="仿宋"/>
          <w:b/>
          <w:bCs w:val="0"/>
        </w:rPr>
        <w:t>九、</w:t>
      </w:r>
      <w:r>
        <w:rPr>
          <w:rFonts w:hint="eastAsia" w:ascii="仿宋" w:hAnsi="仿宋" w:eastAsia="仿宋"/>
          <w:b/>
          <w:bCs w:val="0"/>
          <w:color w:val="000000"/>
        </w:rPr>
        <w:t>一</w:t>
      </w:r>
      <w:r>
        <w:rPr>
          <w:rStyle w:val="26"/>
          <w:rFonts w:hint="eastAsia" w:ascii="仿宋" w:hAnsi="仿宋" w:eastAsia="仿宋"/>
          <w:b/>
          <w:bCs w:val="0"/>
        </w:rPr>
        <w:t>般公共预算财政拨款项目支出决算表</w:t>
      </w:r>
      <w:bookmarkEnd w:id="65"/>
    </w:p>
    <w:p w14:paraId="0F6BB998">
      <w:pPr>
        <w:pStyle w:val="3"/>
        <w:rPr>
          <w:rFonts w:ascii="仿宋" w:hAnsi="仿宋" w:eastAsia="仿宋"/>
          <w:b/>
          <w:bCs w:val="0"/>
          <w:color w:val="000000"/>
        </w:rPr>
      </w:pPr>
      <w:bookmarkStart w:id="66" w:name="_Toc15396628"/>
      <w:r>
        <w:rPr>
          <w:rStyle w:val="26"/>
          <w:rFonts w:hint="eastAsia" w:ascii="仿宋" w:hAnsi="仿宋" w:eastAsia="仿宋"/>
          <w:b/>
          <w:bCs w:val="0"/>
        </w:rPr>
        <w:t>十、</w:t>
      </w:r>
      <w:r>
        <w:rPr>
          <w:rFonts w:hint="eastAsia" w:ascii="仿宋" w:hAnsi="仿宋" w:eastAsia="仿宋"/>
          <w:b/>
          <w:bCs w:val="0"/>
          <w:color w:val="000000"/>
        </w:rPr>
        <w:t>一</w:t>
      </w:r>
      <w:r>
        <w:rPr>
          <w:rStyle w:val="26"/>
          <w:rFonts w:hint="eastAsia" w:ascii="仿宋" w:hAnsi="仿宋" w:eastAsia="仿宋"/>
          <w:b/>
          <w:bCs w:val="0"/>
        </w:rPr>
        <w:t>般公共预算财政拨款“三公”经费支出决算表</w:t>
      </w:r>
      <w:bookmarkEnd w:id="66"/>
    </w:p>
    <w:p w14:paraId="00343836">
      <w:pPr>
        <w:pStyle w:val="3"/>
        <w:rPr>
          <w:rFonts w:ascii="仿宋" w:hAnsi="仿宋" w:eastAsia="仿宋"/>
          <w:b/>
          <w:bCs w:val="0"/>
          <w:color w:val="000000"/>
        </w:rPr>
      </w:pPr>
      <w:bookmarkStart w:id="67" w:name="_Toc15396629"/>
      <w:r>
        <w:rPr>
          <w:rStyle w:val="26"/>
          <w:rFonts w:hint="eastAsia" w:ascii="仿宋" w:hAnsi="仿宋" w:eastAsia="仿宋"/>
          <w:b/>
          <w:bCs w:val="0"/>
        </w:rPr>
        <w:t>十一、</w:t>
      </w:r>
      <w:r>
        <w:rPr>
          <w:rFonts w:hint="eastAsia" w:ascii="仿宋" w:hAnsi="仿宋" w:eastAsia="仿宋"/>
          <w:b/>
          <w:bCs w:val="0"/>
          <w:color w:val="000000"/>
        </w:rPr>
        <w:t>政</w:t>
      </w:r>
      <w:r>
        <w:rPr>
          <w:rStyle w:val="26"/>
          <w:rFonts w:hint="eastAsia" w:ascii="仿宋" w:hAnsi="仿宋" w:eastAsia="仿宋"/>
          <w:b/>
          <w:bCs w:val="0"/>
        </w:rPr>
        <w:t>府性基金预算财政拨款收入支出决算表</w:t>
      </w:r>
      <w:bookmarkEnd w:id="67"/>
    </w:p>
    <w:p w14:paraId="021DC6AC">
      <w:pPr>
        <w:pStyle w:val="3"/>
        <w:rPr>
          <w:rFonts w:ascii="仿宋" w:hAnsi="仿宋" w:eastAsia="仿宋"/>
          <w:b/>
          <w:bCs w:val="0"/>
          <w:color w:val="000000"/>
        </w:rPr>
      </w:pPr>
      <w:bookmarkStart w:id="68" w:name="_Toc15396630"/>
      <w:r>
        <w:rPr>
          <w:rStyle w:val="26"/>
          <w:rFonts w:hint="eastAsia" w:ascii="仿宋" w:hAnsi="仿宋" w:eastAsia="仿宋"/>
          <w:b/>
          <w:bCs w:val="0"/>
        </w:rPr>
        <w:t>十二、</w:t>
      </w:r>
      <w:r>
        <w:rPr>
          <w:rFonts w:hint="eastAsia" w:ascii="仿宋" w:hAnsi="仿宋" w:eastAsia="仿宋"/>
          <w:b/>
          <w:bCs w:val="0"/>
          <w:color w:val="000000"/>
        </w:rPr>
        <w:t>政</w:t>
      </w:r>
      <w:r>
        <w:rPr>
          <w:rStyle w:val="26"/>
          <w:rFonts w:hint="eastAsia" w:ascii="仿宋" w:hAnsi="仿宋" w:eastAsia="仿宋"/>
          <w:b/>
          <w:bCs w:val="0"/>
        </w:rPr>
        <w:t>府性基金预算财政拨款“三公”经费支出决算表</w:t>
      </w:r>
      <w:bookmarkEnd w:id="68"/>
    </w:p>
    <w:p w14:paraId="5413D4D4">
      <w:pPr>
        <w:pStyle w:val="3"/>
        <w:rPr>
          <w:rStyle w:val="26"/>
          <w:rFonts w:ascii="仿宋" w:hAnsi="仿宋"/>
          <w:b/>
          <w:bCs w:val="0"/>
        </w:rPr>
      </w:pPr>
      <w:bookmarkStart w:id="69" w:name="_Toc15396631"/>
      <w:r>
        <w:rPr>
          <w:rStyle w:val="26"/>
          <w:rFonts w:hint="eastAsia" w:ascii="仿宋" w:hAnsi="仿宋" w:eastAsia="仿宋"/>
          <w:b/>
          <w:bCs w:val="0"/>
        </w:rPr>
        <w:t>十三、</w:t>
      </w:r>
      <w:r>
        <w:rPr>
          <w:rFonts w:hint="eastAsia" w:ascii="仿宋" w:hAnsi="仿宋" w:eastAsia="仿宋"/>
          <w:b/>
          <w:bCs w:val="0"/>
          <w:color w:val="000000"/>
        </w:rPr>
        <w:t>国</w:t>
      </w:r>
      <w:r>
        <w:rPr>
          <w:rStyle w:val="26"/>
          <w:rFonts w:hint="eastAsia" w:ascii="仿宋" w:hAnsi="仿宋" w:eastAsia="仿宋"/>
          <w:b/>
          <w:bCs w:val="0"/>
        </w:rPr>
        <w:t>有资本经营预算支出决算表</w:t>
      </w:r>
      <w:bookmarkEnd w:id="69"/>
    </w:p>
    <w:p w14:paraId="447D250D"/>
    <w:p w14:paraId="3149FFC6">
      <w:pPr>
        <w:pStyle w:val="20"/>
        <w:ind w:left="412" w:leftChars="0" w:firstLine="412"/>
      </w:pPr>
    </w:p>
    <w:p w14:paraId="5035BF72"/>
    <w:sectPr>
      <w:footerReference r:id="rId9" w:type="first"/>
      <w:headerReference r:id="rId7" w:type="default"/>
      <w:footerReference r:id="rId8"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黑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30528">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C0FDBC">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65C0FDBC">
                    <w:pPr>
                      <w:pStyle w:val="12"/>
                    </w:pPr>
                    <w:r>
                      <w:fldChar w:fldCharType="begin"/>
                    </w:r>
                    <w:r>
                      <w:instrText xml:space="preserve"> PAGE  \* MERGEFORMAT </w:instrText>
                    </w:r>
                    <w:r>
                      <w:fldChar w:fldCharType="separate"/>
                    </w:r>
                    <w:r>
                      <w:t>1</w:t>
                    </w:r>
                    <w:r>
                      <w:fldChar w:fldCharType="end"/>
                    </w:r>
                  </w:p>
                </w:txbxContent>
              </v:textbox>
            </v:shape>
          </w:pict>
        </mc:Fallback>
      </mc:AlternateContent>
    </w:r>
  </w:p>
  <w:p w14:paraId="2AA43A96">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5E2DC">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6E693">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73F6C">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726370">
                          <w:pPr>
                            <w:pStyle w:val="12"/>
                          </w:pPr>
                          <w:r>
                            <w:fldChar w:fldCharType="begin"/>
                          </w:r>
                          <w:r>
                            <w:instrText xml:space="preserve"> PAGE  \* MERGEFORMAT </w:instrText>
                          </w:r>
                          <w:r>
                            <w:fldChar w:fldCharType="separate"/>
                          </w:r>
                          <w:r>
                            <w:t>19</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TCrejLAQAAnAMAAA4AAAAAAAAAAQAgAAAAHgEAAGRycy9lMm9E&#10;b2MueG1sUEsFBgAAAAAGAAYAWQEAAFsFAAAAAA==&#10;">
              <v:fill on="f" focussize="0,0"/>
              <v:stroke on="f"/>
              <v:imagedata o:title=""/>
              <o:lock v:ext="edit" aspectratio="f"/>
              <v:textbox inset="0mm,0mm,0mm,0mm" style="mso-fit-shape-to-text:t;">
                <w:txbxContent>
                  <w:p w14:paraId="36726370">
                    <w:pPr>
                      <w:pStyle w:val="12"/>
                    </w:pPr>
                    <w:r>
                      <w:fldChar w:fldCharType="begin"/>
                    </w:r>
                    <w:r>
                      <w:instrText xml:space="preserve"> PAGE  \* MERGEFORMAT </w:instrText>
                    </w:r>
                    <w:r>
                      <w:fldChar w:fldCharType="separate"/>
                    </w:r>
                    <w:r>
                      <w:t>19</w:t>
                    </w:r>
                    <w:r>
                      <w:fldChar w:fldCharType="end"/>
                    </w:r>
                  </w:p>
                </w:txbxContent>
              </v:textbox>
            </v:shape>
          </w:pict>
        </mc:Fallback>
      </mc:AlternateContent>
    </w:r>
  </w:p>
  <w:p w14:paraId="40D18555">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E105B">
    <w:pPr>
      <w:pStyle w:val="12"/>
      <w:tabs>
        <w:tab w:val="clear" w:pos="8306"/>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8582EE">
                          <w:pPr>
                            <w:pStyle w:val="12"/>
                          </w:pPr>
                          <w:r>
                            <w:fldChar w:fldCharType="begin"/>
                          </w:r>
                          <w:r>
                            <w:instrText xml:space="preserve"> PAGE  \* MERGEFORMAT </w:instrText>
                          </w:r>
                          <w:r>
                            <w:fldChar w:fldCharType="separate"/>
                          </w:r>
                          <w:r>
                            <w:t>18</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82XssBAACcAwAADgAAAGRycy9lMm9Eb2MueG1srVPNjtMwEL4j8Q6W&#10;79Rpk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Wt1k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7PNl7LAQAAnAMAAA4AAAAAAAAAAQAgAAAAHgEAAGRycy9lMm9E&#10;b2MueG1sUEsFBgAAAAAGAAYAWQEAAFsFAAAAAA==&#10;">
              <v:fill on="f" focussize="0,0"/>
              <v:stroke on="f"/>
              <v:imagedata o:title=""/>
              <o:lock v:ext="edit" aspectratio="f"/>
              <v:textbox inset="0mm,0mm,0mm,0mm" style="mso-fit-shape-to-text:t;">
                <w:txbxContent>
                  <w:p w14:paraId="6C8582EE">
                    <w:pPr>
                      <w:pStyle w:val="12"/>
                    </w:pPr>
                    <w:r>
                      <w:fldChar w:fldCharType="begin"/>
                    </w:r>
                    <w:r>
                      <w:instrText xml:space="preserve"> PAGE  \* MERGEFORMAT </w:instrText>
                    </w:r>
                    <w:r>
                      <w:fldChar w:fldCharType="separate"/>
                    </w:r>
                    <w:r>
                      <w:t>18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91D84">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0A4B1">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EC0BEF30"/>
    <w:multiLevelType w:val="singleLevel"/>
    <w:tmpl w:val="EC0BEF30"/>
    <w:lvl w:ilvl="0" w:tentative="0">
      <w:start w:val="1"/>
      <w:numFmt w:val="chineseCounting"/>
      <w:suff w:val="nothing"/>
      <w:lvlText w:val="（%1）"/>
      <w:lvlJc w:val="left"/>
      <w:pPr>
        <w:ind w:left="0" w:firstLine="0"/>
      </w:pPr>
      <w:rPr>
        <w:rFonts w:hint="eastAsia" w:ascii="楷体_GB2312" w:hAnsi="楷体_GB2312" w:eastAsia="楷体_GB2312" w:cs="楷体_GB2312"/>
        <w:b/>
        <w:bCs/>
        <w:sz w:val="32"/>
        <w:szCs w:val="32"/>
      </w:rPr>
    </w:lvl>
  </w:abstractNum>
  <w:abstractNum w:abstractNumId="3">
    <w:nsid w:val="F2F90C89"/>
    <w:multiLevelType w:val="singleLevel"/>
    <w:tmpl w:val="F2F90C89"/>
    <w:lvl w:ilvl="0" w:tentative="0">
      <w:start w:val="1"/>
      <w:numFmt w:val="decimal"/>
      <w:suff w:val="space"/>
      <w:lvlText w:val="%1、"/>
      <w:lvlJc w:val="left"/>
      <w:pPr>
        <w:ind w:left="0" w:firstLine="0"/>
      </w:p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7F426B7"/>
    <w:multiLevelType w:val="multilevel"/>
    <w:tmpl w:val="17F426B7"/>
    <w:lvl w:ilvl="0" w:tentative="0">
      <w:start w:val="10"/>
      <w:numFmt w:val="japaneseCounting"/>
      <w:lvlText w:val="%1、"/>
      <w:lvlJc w:val="left"/>
      <w:pPr>
        <w:ind w:left="1429"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5F635371"/>
    <w:multiLevelType w:val="singleLevel"/>
    <w:tmpl w:val="5F635371"/>
    <w:lvl w:ilvl="0" w:tentative="0">
      <w:start w:val="1"/>
      <w:numFmt w:val="decimal"/>
      <w:suff w:val="nothing"/>
      <w:lvlText w:val="%1."/>
      <w:lvlJc w:val="left"/>
      <w:pPr>
        <w:ind w:left="0" w:firstLine="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num>
  <w:num w:numId="3">
    <w:abstractNumId w:val="0"/>
    <w:lvlOverride w:ilvl="0">
      <w:startOverride w:val="9"/>
    </w:lvlOverride>
  </w:num>
  <w:num w:numId="4">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num>
  <w:num w:numId="6">
    <w:abstractNumId w:val="1"/>
    <w:lvlOverride w:ilvl="0">
      <w:startOverride w:val="3"/>
    </w:lvlOverride>
  </w:num>
  <w:num w:numId="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34785"/>
    <w:rsid w:val="000468DB"/>
    <w:rsid w:val="000617D1"/>
    <w:rsid w:val="0006487A"/>
    <w:rsid w:val="00065F8F"/>
    <w:rsid w:val="00070A43"/>
    <w:rsid w:val="000768F2"/>
    <w:rsid w:val="0009184B"/>
    <w:rsid w:val="00094236"/>
    <w:rsid w:val="0009593C"/>
    <w:rsid w:val="00097322"/>
    <w:rsid w:val="000A6A92"/>
    <w:rsid w:val="000B047F"/>
    <w:rsid w:val="000B377E"/>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60A4"/>
    <w:rsid w:val="00157BAB"/>
    <w:rsid w:val="001654D1"/>
    <w:rsid w:val="00174518"/>
    <w:rsid w:val="001805A6"/>
    <w:rsid w:val="0018106D"/>
    <w:rsid w:val="001877A7"/>
    <w:rsid w:val="00191536"/>
    <w:rsid w:val="00196687"/>
    <w:rsid w:val="001C0962"/>
    <w:rsid w:val="001D7531"/>
    <w:rsid w:val="001E737D"/>
    <w:rsid w:val="001F0592"/>
    <w:rsid w:val="001F7506"/>
    <w:rsid w:val="002006CD"/>
    <w:rsid w:val="002008AA"/>
    <w:rsid w:val="00202B36"/>
    <w:rsid w:val="00204B7A"/>
    <w:rsid w:val="00204CDE"/>
    <w:rsid w:val="0021101A"/>
    <w:rsid w:val="00217C8E"/>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E1212"/>
    <w:rsid w:val="002F1818"/>
    <w:rsid w:val="002F567B"/>
    <w:rsid w:val="003216A9"/>
    <w:rsid w:val="00335A74"/>
    <w:rsid w:val="0036561B"/>
    <w:rsid w:val="0037013F"/>
    <w:rsid w:val="00380C92"/>
    <w:rsid w:val="003900AE"/>
    <w:rsid w:val="00390699"/>
    <w:rsid w:val="003A484F"/>
    <w:rsid w:val="003A4883"/>
    <w:rsid w:val="003B0BE0"/>
    <w:rsid w:val="003B0C1B"/>
    <w:rsid w:val="003B688C"/>
    <w:rsid w:val="003C0291"/>
    <w:rsid w:val="003C39AE"/>
    <w:rsid w:val="003C516D"/>
    <w:rsid w:val="003C7B60"/>
    <w:rsid w:val="003D0C0F"/>
    <w:rsid w:val="003D1FB2"/>
    <w:rsid w:val="003D66DA"/>
    <w:rsid w:val="003E1310"/>
    <w:rsid w:val="003E6F55"/>
    <w:rsid w:val="003E6FE4"/>
    <w:rsid w:val="004012AB"/>
    <w:rsid w:val="00406254"/>
    <w:rsid w:val="004107A7"/>
    <w:rsid w:val="004223DE"/>
    <w:rsid w:val="00434489"/>
    <w:rsid w:val="00437085"/>
    <w:rsid w:val="00443880"/>
    <w:rsid w:val="00445607"/>
    <w:rsid w:val="004464F4"/>
    <w:rsid w:val="00471401"/>
    <w:rsid w:val="00473F31"/>
    <w:rsid w:val="0048263A"/>
    <w:rsid w:val="00487E5D"/>
    <w:rsid w:val="004A00CE"/>
    <w:rsid w:val="004A711F"/>
    <w:rsid w:val="004B199D"/>
    <w:rsid w:val="004B4690"/>
    <w:rsid w:val="004D5479"/>
    <w:rsid w:val="004E0A2D"/>
    <w:rsid w:val="004E206B"/>
    <w:rsid w:val="004E4216"/>
    <w:rsid w:val="004E6DF7"/>
    <w:rsid w:val="004F0FBD"/>
    <w:rsid w:val="004F50D6"/>
    <w:rsid w:val="004F6275"/>
    <w:rsid w:val="004F7CEF"/>
    <w:rsid w:val="00505A47"/>
    <w:rsid w:val="00512FDA"/>
    <w:rsid w:val="00520DA0"/>
    <w:rsid w:val="00521132"/>
    <w:rsid w:val="005269A7"/>
    <w:rsid w:val="005269D7"/>
    <w:rsid w:val="005664BB"/>
    <w:rsid w:val="00566FFA"/>
    <w:rsid w:val="0057481D"/>
    <w:rsid w:val="0058486E"/>
    <w:rsid w:val="00585B33"/>
    <w:rsid w:val="0059014D"/>
    <w:rsid w:val="005A4081"/>
    <w:rsid w:val="005A5DAB"/>
    <w:rsid w:val="005B2E14"/>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8CC"/>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79"/>
    <w:rsid w:val="0071798E"/>
    <w:rsid w:val="007416B6"/>
    <w:rsid w:val="007424BA"/>
    <w:rsid w:val="00746F48"/>
    <w:rsid w:val="0075404D"/>
    <w:rsid w:val="00755881"/>
    <w:rsid w:val="00755DB8"/>
    <w:rsid w:val="0076182A"/>
    <w:rsid w:val="00767B7E"/>
    <w:rsid w:val="007770C3"/>
    <w:rsid w:val="00784D24"/>
    <w:rsid w:val="00785FBA"/>
    <w:rsid w:val="00786E4A"/>
    <w:rsid w:val="007875EB"/>
    <w:rsid w:val="0079426B"/>
    <w:rsid w:val="007C668A"/>
    <w:rsid w:val="007D1682"/>
    <w:rsid w:val="007D312A"/>
    <w:rsid w:val="007D3F19"/>
    <w:rsid w:val="007E23B0"/>
    <w:rsid w:val="007E23E5"/>
    <w:rsid w:val="007E448C"/>
    <w:rsid w:val="007F1991"/>
    <w:rsid w:val="007F2C2F"/>
    <w:rsid w:val="007F55FC"/>
    <w:rsid w:val="007F5665"/>
    <w:rsid w:val="00800112"/>
    <w:rsid w:val="00813348"/>
    <w:rsid w:val="008253BB"/>
    <w:rsid w:val="0083706E"/>
    <w:rsid w:val="008408F6"/>
    <w:rsid w:val="008423A5"/>
    <w:rsid w:val="00850625"/>
    <w:rsid w:val="00853718"/>
    <w:rsid w:val="00855221"/>
    <w:rsid w:val="008554C5"/>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1787"/>
    <w:rsid w:val="00902155"/>
    <w:rsid w:val="00902BBA"/>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4897"/>
    <w:rsid w:val="0098660A"/>
    <w:rsid w:val="009931C3"/>
    <w:rsid w:val="00994656"/>
    <w:rsid w:val="009A4BE9"/>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84E63"/>
    <w:rsid w:val="00A91760"/>
    <w:rsid w:val="00A93204"/>
    <w:rsid w:val="00A93B00"/>
    <w:rsid w:val="00A93C21"/>
    <w:rsid w:val="00AB64C9"/>
    <w:rsid w:val="00AC3C6A"/>
    <w:rsid w:val="00AD5620"/>
    <w:rsid w:val="00AD656B"/>
    <w:rsid w:val="00AD7C1B"/>
    <w:rsid w:val="00AE16BA"/>
    <w:rsid w:val="00AE1EBE"/>
    <w:rsid w:val="00AE52FD"/>
    <w:rsid w:val="00AF1FE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A394C"/>
    <w:rsid w:val="00BB4DF0"/>
    <w:rsid w:val="00BC289F"/>
    <w:rsid w:val="00BC2D50"/>
    <w:rsid w:val="00BC5361"/>
    <w:rsid w:val="00BC5460"/>
    <w:rsid w:val="00BC6B50"/>
    <w:rsid w:val="00BD0E25"/>
    <w:rsid w:val="00BF5BD6"/>
    <w:rsid w:val="00C03E31"/>
    <w:rsid w:val="00C33E72"/>
    <w:rsid w:val="00C354B2"/>
    <w:rsid w:val="00C35554"/>
    <w:rsid w:val="00C42709"/>
    <w:rsid w:val="00C5114B"/>
    <w:rsid w:val="00C533CC"/>
    <w:rsid w:val="00C5751C"/>
    <w:rsid w:val="00C61BFC"/>
    <w:rsid w:val="00C62B85"/>
    <w:rsid w:val="00C65438"/>
    <w:rsid w:val="00C87C1E"/>
    <w:rsid w:val="00C87FD8"/>
    <w:rsid w:val="00C91381"/>
    <w:rsid w:val="00C91CBB"/>
    <w:rsid w:val="00CB4E70"/>
    <w:rsid w:val="00CC09B6"/>
    <w:rsid w:val="00CC666F"/>
    <w:rsid w:val="00CD1E3F"/>
    <w:rsid w:val="00CE44F6"/>
    <w:rsid w:val="00CE49DA"/>
    <w:rsid w:val="00CE576C"/>
    <w:rsid w:val="00CE7B61"/>
    <w:rsid w:val="00D00095"/>
    <w:rsid w:val="00D114F0"/>
    <w:rsid w:val="00D20620"/>
    <w:rsid w:val="00D254F7"/>
    <w:rsid w:val="00D26091"/>
    <w:rsid w:val="00D2685C"/>
    <w:rsid w:val="00D31ECA"/>
    <w:rsid w:val="00D34E7C"/>
    <w:rsid w:val="00D35489"/>
    <w:rsid w:val="00D36AFE"/>
    <w:rsid w:val="00D51276"/>
    <w:rsid w:val="00D6363F"/>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209E3"/>
    <w:rsid w:val="00E32CAD"/>
    <w:rsid w:val="00E331A1"/>
    <w:rsid w:val="00E33202"/>
    <w:rsid w:val="00E336A9"/>
    <w:rsid w:val="00E3384B"/>
    <w:rsid w:val="00E472B1"/>
    <w:rsid w:val="00E50624"/>
    <w:rsid w:val="00E568DF"/>
    <w:rsid w:val="00E64269"/>
    <w:rsid w:val="00E70975"/>
    <w:rsid w:val="00E80392"/>
    <w:rsid w:val="00E82267"/>
    <w:rsid w:val="00E853CE"/>
    <w:rsid w:val="00E867B6"/>
    <w:rsid w:val="00E92F07"/>
    <w:rsid w:val="00EA010F"/>
    <w:rsid w:val="00ED1B63"/>
    <w:rsid w:val="00ED32D4"/>
    <w:rsid w:val="00ED3C1F"/>
    <w:rsid w:val="00ED4085"/>
    <w:rsid w:val="00ED420E"/>
    <w:rsid w:val="00ED6FBE"/>
    <w:rsid w:val="00EE2F57"/>
    <w:rsid w:val="00EF4C34"/>
    <w:rsid w:val="00EF60EF"/>
    <w:rsid w:val="00EF77C6"/>
    <w:rsid w:val="00F05438"/>
    <w:rsid w:val="00F056CF"/>
    <w:rsid w:val="00F1361C"/>
    <w:rsid w:val="00F14ABC"/>
    <w:rsid w:val="00F156F0"/>
    <w:rsid w:val="00F160C7"/>
    <w:rsid w:val="00F2408F"/>
    <w:rsid w:val="00F240E9"/>
    <w:rsid w:val="00F30E76"/>
    <w:rsid w:val="00F36D8F"/>
    <w:rsid w:val="00F417B1"/>
    <w:rsid w:val="00F45853"/>
    <w:rsid w:val="00F602DF"/>
    <w:rsid w:val="00F754A1"/>
    <w:rsid w:val="00F81FD9"/>
    <w:rsid w:val="00F841AA"/>
    <w:rsid w:val="00F84A94"/>
    <w:rsid w:val="00F869DA"/>
    <w:rsid w:val="00F87E96"/>
    <w:rsid w:val="00FA23E8"/>
    <w:rsid w:val="00FD3CC1"/>
    <w:rsid w:val="00FF1E02"/>
    <w:rsid w:val="00FF30B4"/>
    <w:rsid w:val="0A2032A3"/>
    <w:rsid w:val="10C055FF"/>
    <w:rsid w:val="118107EC"/>
    <w:rsid w:val="16AC42F4"/>
    <w:rsid w:val="16BB723D"/>
    <w:rsid w:val="1D155CEE"/>
    <w:rsid w:val="240371BF"/>
    <w:rsid w:val="29FD04D3"/>
    <w:rsid w:val="319F7F4E"/>
    <w:rsid w:val="3C967987"/>
    <w:rsid w:val="49BE6DDF"/>
    <w:rsid w:val="4ECE2238"/>
    <w:rsid w:val="6C4A05C8"/>
    <w:rsid w:val="72734D90"/>
    <w:rsid w:val="7F8F3B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4"/>
    <w:qFormat/>
    <w:uiPriority w:val="99"/>
    <w:pPr>
      <w:spacing w:beforeLines="30"/>
    </w:pPr>
    <w:rPr>
      <w:rFonts w:ascii="仿宋_GB2312" w:eastAsia="仿宋_GB2312"/>
      <w:kern w:val="0"/>
      <w:sz w:val="24"/>
      <w:szCs w:val="20"/>
    </w:rPr>
  </w:style>
  <w:style w:type="paragraph" w:styleId="7">
    <w:name w:val="Body Text Indent"/>
    <w:basedOn w:val="1"/>
    <w:link w:val="41"/>
    <w:semiHidden/>
    <w:unhideWhenUsed/>
    <w:qFormat/>
    <w:uiPriority w:val="99"/>
    <w:pPr>
      <w:spacing w:after="120"/>
      <w:ind w:left="420" w:leftChars="200"/>
    </w:pPr>
  </w:style>
  <w:style w:type="paragraph" w:styleId="8">
    <w:name w:val="toc 5"/>
    <w:basedOn w:val="1"/>
    <w:next w:val="1"/>
    <w:unhideWhenUsed/>
    <w:qFormat/>
    <w:uiPriority w:val="39"/>
    <w:pPr>
      <w:ind w:left="840"/>
      <w:jc w:val="left"/>
    </w:pPr>
    <w:rPr>
      <w:rFonts w:asciiTheme="minorHAnsi" w:eastAsiaTheme="minorHAnsi"/>
      <w:sz w:val="18"/>
      <w:szCs w:val="18"/>
    </w:rPr>
  </w:style>
  <w:style w:type="paragraph" w:styleId="9">
    <w:name w:val="toc 3"/>
    <w:basedOn w:val="1"/>
    <w:next w:val="1"/>
    <w:unhideWhenUsed/>
    <w:qFormat/>
    <w:uiPriority w:val="39"/>
    <w:pPr>
      <w:ind w:left="420"/>
      <w:jc w:val="left"/>
    </w:pPr>
    <w:rPr>
      <w:rFonts w:asciiTheme="minorHAnsi" w:eastAsiaTheme="minorHAnsi"/>
      <w:i/>
      <w:iCs/>
      <w:sz w:val="20"/>
      <w:szCs w:val="20"/>
    </w:rPr>
  </w:style>
  <w:style w:type="paragraph" w:styleId="10">
    <w:name w:val="toc 8"/>
    <w:basedOn w:val="1"/>
    <w:next w:val="1"/>
    <w:unhideWhenUsed/>
    <w:qFormat/>
    <w:uiPriority w:val="39"/>
    <w:pPr>
      <w:ind w:left="1470"/>
      <w:jc w:val="left"/>
    </w:pPr>
    <w:rPr>
      <w:rFonts w:asciiTheme="minorHAnsi" w:eastAsiaTheme="minorHAnsi"/>
      <w:sz w:val="18"/>
      <w:szCs w:val="18"/>
    </w:rPr>
  </w:style>
  <w:style w:type="paragraph" w:styleId="11">
    <w:name w:val="Balloon Text"/>
    <w:basedOn w:val="1"/>
    <w:link w:val="29"/>
    <w:semiHidden/>
    <w:unhideWhenUsed/>
    <w:qFormat/>
    <w:uiPriority w:val="99"/>
    <w:rPr>
      <w:sz w:val="18"/>
      <w:szCs w:val="18"/>
    </w:rPr>
  </w:style>
  <w:style w:type="paragraph" w:styleId="12">
    <w:name w:val="footer"/>
    <w:basedOn w:val="1"/>
    <w:link w:val="33"/>
    <w:qFormat/>
    <w:uiPriority w:val="99"/>
    <w:pPr>
      <w:tabs>
        <w:tab w:val="center" w:pos="4153"/>
        <w:tab w:val="right" w:pos="8306"/>
      </w:tabs>
      <w:snapToGrid w:val="0"/>
      <w:jc w:val="left"/>
    </w:pPr>
    <w:rPr>
      <w:rFonts w:ascii="Calibri" w:hAnsi="Calibri"/>
      <w:kern w:val="0"/>
      <w:sz w:val="18"/>
      <w:szCs w:val="20"/>
    </w:rPr>
  </w:style>
  <w:style w:type="paragraph" w:styleId="13">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paragraph" w:styleId="19">
    <w:name w:val="Normal (Web)"/>
    <w:basedOn w:val="1"/>
    <w:qFormat/>
    <w:uiPriority w:val="99"/>
    <w:rPr>
      <w:rFonts w:ascii="Calibri" w:hAnsi="Calibri"/>
      <w:sz w:val="24"/>
    </w:rPr>
  </w:style>
  <w:style w:type="paragraph" w:styleId="20">
    <w:name w:val="Body Text First Indent 2"/>
    <w:basedOn w:val="7"/>
    <w:link w:val="42"/>
    <w:semiHidden/>
    <w:unhideWhenUsed/>
    <w:qFormat/>
    <w:uiPriority w:val="99"/>
    <w:pPr>
      <w:ind w:firstLine="420" w:firstLineChars="200"/>
    </w:p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Char"/>
    <w:basedOn w:val="22"/>
    <w:link w:val="2"/>
    <w:qFormat/>
    <w:locked/>
    <w:uiPriority w:val="9"/>
    <w:rPr>
      <w:rFonts w:ascii="Times New Roman" w:hAnsi="Times New Roman" w:cs="Times New Roman"/>
      <w:b/>
      <w:bCs/>
      <w:kern w:val="44"/>
      <w:sz w:val="44"/>
      <w:szCs w:val="44"/>
    </w:rPr>
  </w:style>
  <w:style w:type="character" w:customStyle="1" w:styleId="26">
    <w:name w:val="标题 2 Char"/>
    <w:basedOn w:val="22"/>
    <w:link w:val="3"/>
    <w:qFormat/>
    <w:locked/>
    <w:uiPriority w:val="9"/>
    <w:rPr>
      <w:rFonts w:ascii="Cambria" w:hAnsi="Cambria" w:eastAsia="宋体" w:cs="Times New Roman"/>
      <w:b/>
      <w:bCs/>
      <w:kern w:val="2"/>
      <w:sz w:val="32"/>
      <w:szCs w:val="32"/>
    </w:rPr>
  </w:style>
  <w:style w:type="character" w:customStyle="1" w:styleId="27">
    <w:name w:val="标题 3 Char"/>
    <w:basedOn w:val="22"/>
    <w:link w:val="4"/>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Char"/>
    <w:basedOn w:val="22"/>
    <w:link w:val="11"/>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Char"/>
    <w:link w:val="13"/>
    <w:semiHidden/>
    <w:qFormat/>
    <w:locked/>
    <w:uiPriority w:val="99"/>
    <w:rPr>
      <w:sz w:val="18"/>
    </w:rPr>
  </w:style>
  <w:style w:type="character" w:customStyle="1" w:styleId="33">
    <w:name w:val="页脚 Char"/>
    <w:link w:val="12"/>
    <w:qFormat/>
    <w:locked/>
    <w:uiPriority w:val="99"/>
    <w:rPr>
      <w:sz w:val="18"/>
    </w:rPr>
  </w:style>
  <w:style w:type="character" w:customStyle="1" w:styleId="34">
    <w:name w:val="正文文本 Char"/>
    <w:link w:val="6"/>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517D55" w:themeColor="accent1" w:themeShade="BF"/>
      <w:kern w:val="0"/>
      <w:sz w:val="32"/>
      <w:szCs w:val="32"/>
    </w:rPr>
  </w:style>
  <w:style w:type="paragraph" w:styleId="40">
    <w:name w:val="List Paragraph"/>
    <w:basedOn w:val="1"/>
    <w:qFormat/>
    <w:uiPriority w:val="34"/>
    <w:pPr>
      <w:ind w:firstLine="420" w:firstLineChars="200"/>
    </w:pPr>
  </w:style>
  <w:style w:type="character" w:customStyle="1" w:styleId="41">
    <w:name w:val="正文文本缩进 Char"/>
    <w:basedOn w:val="22"/>
    <w:link w:val="7"/>
    <w:semiHidden/>
    <w:qFormat/>
    <w:uiPriority w:val="99"/>
    <w:rPr>
      <w:rFonts w:ascii="Times New Roman" w:hAnsi="Times New Roman"/>
      <w:kern w:val="2"/>
      <w:sz w:val="21"/>
      <w:szCs w:val="24"/>
    </w:rPr>
  </w:style>
  <w:style w:type="character" w:customStyle="1" w:styleId="42">
    <w:name w:val="正文首行缩进 2 Char"/>
    <w:basedOn w:val="41"/>
    <w:link w:val="20"/>
    <w:semiHidden/>
    <w:qFormat/>
    <w:uiPriority w:val="99"/>
  </w:style>
  <w:style w:type="paragraph" w:customStyle="1" w:styleId="43">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沉稳">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41EB75-C8AD-426C-8402-D5C7EE426E6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6084</Words>
  <Characters>6670</Characters>
  <Lines>77</Lines>
  <Paragraphs>21</Paragraphs>
  <TotalTime>11</TotalTime>
  <ScaleCrop>false</ScaleCrop>
  <LinksUpToDate>false</LinksUpToDate>
  <CharactersWithSpaces>6814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2021-09-15T03:30:00Z</dcterms:created>
  <dc:creator>曹颖</dc:creator>
  <cp:lastModifiedBy>长江水</cp:lastModifiedBy>
  <cp:lastPrinted>2021-09-13T03:31:00Z</cp:lastPrinted>
  <dcterms:modified xsi:type="dcterms:W3CDTF">2025-04-10T08:33:08Z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F1F6FDC4DB39472AA8F3764DBEF600FD_13</vt:lpwstr>
  </property>
  <property fmtid="{D5CDD505-2E9C-101B-9397-08002B2CF9AE}" pid="4" name="KSOTemplateDocerSaveRecord">
    <vt:lpwstr>eyJoZGlkIjoiN2FkYzJhY2JjOGViZWM2Mjk3YzI5YTU4YjFhMTQxYWUiLCJ1c2VySWQiOiIyODMxNjg0ODQifQ==</vt:lpwstr>
  </property>
</Properties>
</file>